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097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097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 de abril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Alcalde Nicol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>s Toro aclar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situaci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financiera de la Secretar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Tr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 xml:space="preserve">nsito y Transporte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Tras la reciente informaci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que 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ala una supuesta liquidaci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nsito y Transporte, el alcalde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aclar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este proceso tendr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un costo de aproximadamente 15 mil millones de pesos, recursos que no tendr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el municipio por lo cual esta iniciativa no se realizar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a en el corto plazo.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Adicionalmente, el mandatario local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ya se solicit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a la concesi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el apoyo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 para los gastos operativos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nsito y Transporte especialmente con los agentes de movilidad. Esto teniendo en cuenta que, seg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n el alcalde, la concesi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est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recibiendo el 64% de ganancias respecto a los ingresos de esta dependencia la cual solamente se queda con el 36% de ingresos y con los cuales estar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asumiendo los gastos operativos.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"Lo peor que le pudo a pasar a Pasto fue la concesi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porque se est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llevando el 64% de ingresos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nsito la cual asume los gastos operativos. Estamos solicitando a la concesi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que ellos paguen los agentes, pero ellos nos dijeron que contratar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an a agentes de Polic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alcalde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Finalmente, el mandatario 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al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se continuar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realizando las consultas respectivas y asesor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as jur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dicas para determinar el futuro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nsito y Transporte. 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</w:pP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