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25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EMPOPASTO entregan obras de acueducto, alcantarillado y pavimentaci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cuatro comunas de la ciudad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un esfuerzo conjunto por mejorar la infraestructura urbana y los servicios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sicos, el Alcalde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pt-PT"/>
        </w:rPr>
        <w:t>oz, junto al gerente de EMPOPASTO, Neyip Javier  O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ate, y todo su equipo de trabajo, hicieron entrega oficial de importantes obras de acueducto, alcantarillado y pavimentaci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distintos sectores del municipio.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Durante el acto de entrega, el mandatario local destac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estos trabajos fueron culminados dentro de los tiempos estipulados, cumpliendo as</w:t>
      </w:r>
      <w:r>
        <w:rPr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los compromisos adquiridos con las comunidades beneficiadas. Asimismo, afirm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este tipo de obras se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ejecutando de manera permanente en el municipio, con el objetivo de mejorar la calidad 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182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Century Gothic" w:hAnsi="Century Gothic"/>
          <w:sz w:val="24"/>
          <w:szCs w:val="24"/>
          <w:rtl w:val="0"/>
          <w:lang w:val="es-ES_tradnl"/>
        </w:rPr>
        <w:t>de vida de los ciudadanos y avanzar hacia un desarrollo urbano integral.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Estas acciones nos permiten seguir transformando a Pasto. Estamos comprometidos con el progreso de nuestras comunas y por eso continuaremos ejecutando proyectos que impulsen el bienestar colectivo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fr-FR"/>
        </w:rPr>
        <w:t>, expres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it-IT"/>
        </w:rPr>
        <w:t>el mandatario local.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Por su parte, el gerente de EMPOPASTO,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Javier</w:t>
      </w:r>
      <w:r>
        <w:rPr>
          <w:rFonts w:ascii="Century Gothic" w:hAnsi="Century Gothic"/>
          <w:sz w:val="24"/>
          <w:szCs w:val="24"/>
          <w:rtl w:val="0"/>
        </w:rPr>
        <w:t xml:space="preserve"> O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ate,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explic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la inversi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total en estas obras supera los 5.668 millones de pesos. Adem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>s, anunci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en las pr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ximas semanas se entregar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nuevas obras de gran impacto para la ciudad.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Los sectores beneficiados con estas intervenciones, que abarcan las comunas 3, 4, 8 y 10 son los siguientes: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Nuevo Horizonte: $271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Gualcaloma: $493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Prados del Norte: $441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</w:rPr>
        <w:t>Rinc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Pasto: $389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Madrigal: $470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Mariluz: $307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</w:rPr>
        <w:t>Bel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n: $825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es-ES_tradnl"/>
        </w:rPr>
        <w:t>12 de Octubre: $458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pt-PT"/>
        </w:rPr>
        <w:t>Santa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sv-SE"/>
        </w:rPr>
        <w:t>rbara 2</w:t>
      </w:r>
      <w:r>
        <w:rPr>
          <w:rFonts w:ascii="Century Gothic" w:hAnsi="Century Gothic" w:hint="default"/>
          <w:sz w:val="24"/>
          <w:szCs w:val="24"/>
          <w:rtl w:val="0"/>
        </w:rPr>
        <w:t>ª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: $557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pt-PT"/>
        </w:rPr>
        <w:t>Santa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sv-SE"/>
        </w:rPr>
        <w:t>rbara 1</w:t>
      </w:r>
      <w:r>
        <w:rPr>
          <w:rFonts w:ascii="Century Gothic" w:hAnsi="Century Gothic" w:hint="default"/>
          <w:sz w:val="24"/>
          <w:szCs w:val="24"/>
          <w:rtl w:val="0"/>
        </w:rPr>
        <w:t>ª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: $422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pt-PT"/>
        </w:rPr>
        <w:t>Santa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sv-SE"/>
        </w:rPr>
        <w:t>rbara 3</w:t>
      </w:r>
      <w:r>
        <w:rPr>
          <w:rFonts w:ascii="Century Gothic" w:hAnsi="Century Gothic" w:hint="default"/>
          <w:sz w:val="24"/>
          <w:szCs w:val="24"/>
          <w:rtl w:val="0"/>
        </w:rPr>
        <w:t>ª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: $493 millones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  <w:sz w:val="24"/>
          <w:szCs w:val="24"/>
          <w:rtl w:val="0"/>
        </w:rPr>
        <w:tab/>
        <w:t>•</w:t>
        <w:tab/>
      </w:r>
      <w:r>
        <w:rPr>
          <w:rFonts w:ascii="Century Gothic" w:hAnsi="Century Gothic"/>
          <w:sz w:val="24"/>
          <w:szCs w:val="24"/>
          <w:rtl w:val="0"/>
          <w:lang w:val="pt-PT"/>
        </w:rPr>
        <w:t>Santa B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sv-SE"/>
        </w:rPr>
        <w:t>rbara 4</w:t>
      </w:r>
      <w:r>
        <w:rPr>
          <w:rFonts w:ascii="Century Gothic" w:hAnsi="Century Gothic" w:hint="default"/>
          <w:sz w:val="24"/>
          <w:szCs w:val="24"/>
          <w:rtl w:val="0"/>
        </w:rPr>
        <w:t>ª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Cra. 2: $542 millones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Estas obras no solo mejoran la cobertura y calidad de los servicios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blicos, sino que 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representan un paso firme hacia una ciudad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moderna, segura y funcional para todos sus habitantes.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