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7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un balance positivo en los operativos de control,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Municipal y Polic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Nacional contin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an trabajando por la seguridad de Pasto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trabajo operativo interinstitucional,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junto 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lideraron labores de registro y control en puntos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gicos de la ciudad durante el pasado fin de semana. Estas acciones que se vienen desarrollando diariamente buscan evitar incidentes y garantizar el orden y bienestar de todas las personas que residen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Entre los resultados que se lograron el pasado fin de semana se destaca la inmovilizaci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184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(108 motocicletas y 76 autom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viles), de igual manera se presentaron 6 accidentes con lesionados y un siniestro vial con un occiso.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 se intensificaron las labores operativos en establecimientos comerciales y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donde se busca garantizar el cumplimiento de los decretos respecto a la venta de bebidas artesanales y la ocupaci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ilegal de las calles. En lo que hace referencia a establecimientos comerciales,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Gobierno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sensibilizando a los propietarios de estas locaciones para que avancen en el proceso de insonorizaci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acuerdo a la orden del Tribunal Administrativo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"Estamos controlando el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de Pasto en beneficio de toda la comunidad. Desde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Control avanzan en el proceso de insonorizaci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establecimientos comerciales de acuerdo a lo ordenado por el Tribunal Administrativo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El llamado a todos es que trabajemos por la seguridad local",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