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443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Pasto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lanza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c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ampa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m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asiva y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g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ratuita de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v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acunaci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ntirr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bica para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c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aninos y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f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elinos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Salud de Pasto anunci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el lanzamiento de una jornada masiva de vacunaci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antirr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bica, para diciembre, un servicio completamente gratuito dirigido a perros y gatos mayores de tres meses que se encuentren en buen estado de salud.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El objetivo es proteger la salud de las mascotas y, por extensi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n, la salud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 de la comunidad, explic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ngela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Ojeda Caicedo, profesional, Universitaria, coordinadora del centro de Zoonosis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La campa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 tiene como meta vacunar a 60,000 perros y gatos en el transcurso del mes.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La jornada se llevar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 cabo en las 12 comunas y los 18 corregimientos de la ciudad.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A</w:t>
      </w:r>
      <w:r>
        <w:rPr>
          <w:rStyle w:val="Ninguno"/>
          <w:rFonts w:ascii="Century Gothic" w:hAnsi="Century Gothic"/>
          <w:rtl w:val="0"/>
          <w:lang w:val="es-ES_tradnl"/>
        </w:rPr>
        <w:t>dem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se dispondr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cinco puntos de vacunaci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funcionando simult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neamente en la ciudad para cumplir con la meta establecida.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La funcionaria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explic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la jornada se coordinar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con el apoyo de 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deres comunitarios, corregidores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y  que se comunicar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 </w:t>
      </w:r>
      <w:r>
        <w:rPr>
          <w:rStyle w:val="Ninguno"/>
          <w:rFonts w:ascii="Century Gothic" w:hAnsi="Century Gothic"/>
          <w:rtl w:val="0"/>
          <w:lang w:val="es-ES_tradnl"/>
        </w:rPr>
        <w:t>a los habitantes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perifoneo, adem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publicaciones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las redes sociales, oficiales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de Salud</w:t>
      </w:r>
      <w:r>
        <w:rPr>
          <w:rStyle w:val="Ninguno"/>
          <w:rFonts w:ascii="Century Gothic" w:hAnsi="Century Gothic"/>
          <w:rtl w:val="0"/>
          <w:lang w:val="es-ES_tradnl"/>
        </w:rPr>
        <w:t>,  semana a semana.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"Uno de los puntos importantes de la tenencia responsable de mascotas justamente es ese, es velar por la salud de nuestros animales y que al hacerlo  estamos protegiendo la salud de nuestra familia y comunidad",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adi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funcionaria.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La vacunaci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se aplica a animales mayores de tres meses, ya que este es el rango establecido para que puedan adquirir la inmunidad.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Aunque Pasto no ha registrado rabia humana ni rabia transmitida por perro en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20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os, la autoridad sanitaria enfatiza que no se puede bajar la guardia.</w:t>
      </w:r>
      <w:r>
        <w:rPr>
          <w:rStyle w:val="Ninguno"/>
          <w:rFonts w:ascii="Century Gothic" w:cs="Century Gothic" w:hAnsi="Century Gothic" w:eastAsia="Century Gothic"/>
          <w:lang w:val="es-ES_tradnl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