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5F" w:rsidRDefault="00A33A5F" w:rsidP="00A33A5F">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A33A5F">
        <w:rPr>
          <w:rFonts w:ascii="Century Gothic" w:eastAsia="Calibri" w:hAnsi="Century Gothic" w:cs="Calibri"/>
          <w:b/>
          <w:bCs/>
          <w:lang w:eastAsia="ar-SA"/>
        </w:rPr>
        <w:t>MINISTRO DE DEFENSA, PRESIDIÓ CONSEJO DE SEGURIDAD, DONDE SE ANALIZÓ SITUACIÓN DE ORDEN PÚBLICO DE LA REGIÓN</w:t>
      </w:r>
    </w:p>
    <w:p w:rsidR="00A33A5F" w:rsidRPr="00A33A5F" w:rsidRDefault="00A33A5F" w:rsidP="00A33A5F">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r>
        <w:rPr>
          <w:rFonts w:ascii="Century Gothic" w:eastAsia="Calibri" w:hAnsi="Century Gothic" w:cs="Calibri"/>
          <w:b/>
          <w:bCs/>
          <w:noProof/>
          <w:lang w:val="en-US" w:eastAsia="en-US"/>
        </w:rPr>
        <w:drawing>
          <wp:inline distT="0" distB="0" distL="0" distR="0">
            <wp:extent cx="5613400" cy="42100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efensa - chachagui.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El Ministro de Defensa, Guillermo Botero Nieto presidió un Consejo de Seguridad, que se llevó a cabo en el municipio de Chachagüi, en el que se analizó la situación de o</w:t>
      </w:r>
      <w:r>
        <w:rPr>
          <w:rFonts w:ascii="Century Gothic" w:eastAsia="Calibri" w:hAnsi="Century Gothic" w:cs="Calibri"/>
          <w:bCs/>
          <w:lang w:eastAsia="ar-SA"/>
        </w:rPr>
        <w:t>rden público en Pasto y Nariño,</w:t>
      </w:r>
      <w:r w:rsidRPr="00A33A5F">
        <w:rPr>
          <w:rFonts w:ascii="Century Gothic" w:eastAsia="Calibri" w:hAnsi="Century Gothic" w:cs="Calibri"/>
          <w:bCs/>
          <w:lang w:eastAsia="ar-SA"/>
        </w:rPr>
        <w:t> y donde se evaluó el impacto de las acciones adelantadas por las Fuerzas Militares y la Policía Nacional para garantizar el bienestar de la población.</w:t>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Al término del encuentro, el jefe de la cartera ministerial, anunció que se incrementará la presencia de la fuerza pública, para garantizar la seguridad en la vía Pasto-Popayán, donde la comunidad se ha visto afectada por atracos y extorsiones a los conductores.</w:t>
      </w:r>
      <w:r>
        <w:rPr>
          <w:rFonts w:ascii="Century Gothic" w:eastAsia="Calibri" w:hAnsi="Century Gothic" w:cs="Calibri"/>
          <w:bCs/>
          <w:lang w:eastAsia="ar-SA"/>
        </w:rPr>
        <w:t xml:space="preserve"> Los asistentes, solicitaron al</w:t>
      </w:r>
      <w:r w:rsidRPr="00A33A5F">
        <w:rPr>
          <w:rFonts w:ascii="Century Gothic" w:eastAsia="Calibri" w:hAnsi="Century Gothic" w:cs="Calibri"/>
          <w:bCs/>
          <w:lang w:eastAsia="ar-SA"/>
        </w:rPr>
        <w:t xml:space="preserve"> Ministerio de Defensa, mayor acompañamiento, se retomen las caravanas vigiladas y la estrategia de la patrulla móvil.</w:t>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 xml:space="preserve">De otro lado, se dio a conocer que en la región, se han venido impulsando programas preventivos como ‘abre tus ojos’ que incluyen 194 actividades, 5 campañas de protección a infancia y adolescencia, 96 comités de vigilancia, 19 campañas contra el reclutamiento, 5 contra la extorsión y 3 contra la explotación sexual. “Informar que se continúa trabajando con </w:t>
      </w:r>
      <w:r w:rsidRPr="00A33A5F">
        <w:rPr>
          <w:rFonts w:ascii="Century Gothic" w:eastAsia="Calibri" w:hAnsi="Century Gothic" w:cs="Calibri"/>
          <w:bCs/>
          <w:lang w:eastAsia="ar-SA"/>
        </w:rPr>
        <w:lastRenderedPageBreak/>
        <w:t>contundencia, frente a temas como el narcotráfico, se ha logrado hasta la fecha 272 capturas y la destrucción de cientos de laboratorios”.</w:t>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 xml:space="preserve">El funcionario, destacó el compromiso de las autoridades locales, departamentales y otros actores de la sociedad civil, para realizar un consejo de seguridad semestralmente, del cual se informará al Ministerio de Defensa. “También vamos a prestar toda la colaboración para que a través del Fondo de Seguridad y Convivencia Ciudadana- Fonsecon, administrado por el Ministerio del Interior, se pueda girar los recursos, para los proyectos de construcción de las estaciones de policía de Chachagüi y Samaniego, si se encuentran viables” </w:t>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 xml:space="preserve">Con respecto a la jornada electoral, que se cumplirá el próximo domingo 27 de octubre, se dio a conocer que se garantizará la presencia de la fuerza pública en todos los puestos de votación. </w:t>
      </w:r>
    </w:p>
    <w:p w:rsidR="00A33A5F" w:rsidRPr="00A33A5F"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A33A5F">
        <w:rPr>
          <w:rFonts w:ascii="Century Gothic" w:eastAsia="Calibri" w:hAnsi="Century Gothic" w:cs="Calibri"/>
          <w:bCs/>
          <w:lang w:eastAsia="ar-SA"/>
        </w:rPr>
        <w:t>Durante la agenda, se habló de la alerta temprana 032 expedida por la Defensoría del Pueblo para el municipio de Samaniego, frente a la cual se ha realizado un plan de trabajo, que reporta avances favorables. </w:t>
      </w:r>
    </w:p>
    <w:p w:rsidR="00A33A5F" w:rsidRDefault="00A33A5F" w:rsidP="00A33A5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33A5F" w:rsidRDefault="00A33A5F"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A33A5F" w:rsidRDefault="00A33A5F"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68EB" w:rsidRPr="000468EB" w:rsidRDefault="000468EB"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68EB">
        <w:rPr>
          <w:rFonts w:ascii="Century Gothic" w:eastAsia="Calibri" w:hAnsi="Century Gothic" w:cs="Calibri"/>
          <w:b/>
          <w:bCs/>
          <w:sz w:val="22"/>
          <w:szCs w:val="22"/>
          <w:lang w:eastAsia="ar-SA"/>
        </w:rPr>
        <w:t>FUERON SOCIALIZADOS LOS AVANCES DEL PROGRAMA PREPARE EN EL MUNICIPIO DE PASTO</w:t>
      </w:r>
    </w:p>
    <w:p w:rsidR="000468EB" w:rsidRDefault="000468EB" w:rsidP="000468EB">
      <w:pPr>
        <w:spacing w:after="0"/>
        <w:jc w:val="both"/>
        <w:rPr>
          <w:rFonts w:ascii="Century Gothic" w:hAnsi="Century Gothic" w:cs="Arial"/>
          <w:b/>
          <w:sz w:val="18"/>
          <w:szCs w:val="18"/>
          <w:lang w:val="es-ES_tradnl"/>
        </w:rPr>
      </w:pPr>
      <w:r>
        <w:rPr>
          <w:noProof/>
          <w:lang w:val="en-US"/>
        </w:rPr>
        <w:drawing>
          <wp:inline distT="0" distB="0" distL="0" distR="0">
            <wp:extent cx="5613400" cy="3749040"/>
            <wp:effectExtent l="0" t="0" r="635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3400" cy="3749040"/>
                    </a:xfrm>
                    <a:prstGeom prst="rect">
                      <a:avLst/>
                    </a:prstGeom>
                    <a:noFill/>
                    <a:ln>
                      <a:noFill/>
                    </a:ln>
                  </pic:spPr>
                </pic:pic>
              </a:graphicData>
            </a:graphic>
          </wp:inline>
        </w:drawing>
      </w:r>
    </w:p>
    <w:p w:rsidR="000468EB" w:rsidRPr="000468EB"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0468EB">
        <w:rPr>
          <w:rFonts w:ascii="Century Gothic" w:eastAsia="Calibri" w:hAnsi="Century Gothic" w:cs="Calibri"/>
          <w:bCs/>
          <w:lang w:eastAsia="ar-SA"/>
        </w:rPr>
        <w:lastRenderedPageBreak/>
        <w:t xml:space="preserve">Ante diferentes entidades públicas y privadas fueron presentados avances del programa Prepare que se ha ejecutado durante cerca de 4 años en la ciudad Pasto, a través de acciones para estimar el riesgo sísmico y preparativos para la respuesta, además de presentar lo que será la nueva etapa de esta iniciativa. </w:t>
      </w:r>
    </w:p>
    <w:p w:rsidR="000468EB" w:rsidRPr="000468EB"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0468EB">
        <w:rPr>
          <w:rFonts w:ascii="Century Gothic" w:eastAsia="Calibri" w:hAnsi="Century Gothic" w:cs="Calibri"/>
          <w:bCs/>
          <w:lang w:eastAsia="ar-SA"/>
        </w:rPr>
        <w:t xml:space="preserve">Durante esta reunión el gerente Nacional para Colombia del programa Prepare Jaime Eraso, entregó el avance en los componentes relacionados con la evaluación de daños, estrategias sobre cómo gestionar los escombros que se generan durante estos eventos y </w:t>
      </w:r>
      <w:r w:rsidR="00B53AEA">
        <w:rPr>
          <w:rFonts w:ascii="Century Gothic" w:eastAsia="Calibri" w:hAnsi="Century Gothic" w:cs="Calibri"/>
          <w:bCs/>
          <w:lang w:eastAsia="ar-SA"/>
        </w:rPr>
        <w:t xml:space="preserve">los </w:t>
      </w:r>
      <w:r w:rsidRPr="000468EB">
        <w:rPr>
          <w:rFonts w:ascii="Century Gothic" w:eastAsia="Calibri" w:hAnsi="Century Gothic" w:cs="Calibri"/>
          <w:bCs/>
          <w:lang w:eastAsia="ar-SA"/>
        </w:rPr>
        <w:t>procedimientos municipales ante un desastre. “Existe una debilidad general en todas las ciudades donde trabajamos, y Pasto no es la excepción en lo que se refiere a la vulnerabilidad de las edificaciones altas</w:t>
      </w:r>
      <w:r>
        <w:rPr>
          <w:rFonts w:ascii="Century Gothic" w:eastAsia="Calibri" w:hAnsi="Century Gothic" w:cs="Calibri"/>
          <w:bCs/>
          <w:lang w:eastAsia="ar-SA"/>
        </w:rPr>
        <w:t>.</w:t>
      </w:r>
      <w:r w:rsidRPr="000468EB">
        <w:rPr>
          <w:rFonts w:ascii="Century Gothic" w:eastAsia="Calibri" w:hAnsi="Century Gothic" w:cs="Calibri"/>
          <w:bCs/>
          <w:lang w:eastAsia="ar-SA"/>
        </w:rPr>
        <w:t xml:space="preserve"> </w:t>
      </w:r>
      <w:r>
        <w:rPr>
          <w:rFonts w:ascii="Century Gothic" w:eastAsia="Calibri" w:hAnsi="Century Gothic" w:cs="Calibri"/>
          <w:bCs/>
          <w:lang w:eastAsia="ar-SA"/>
        </w:rPr>
        <w:t>E</w:t>
      </w:r>
      <w:r w:rsidRPr="000468EB">
        <w:rPr>
          <w:rFonts w:ascii="Century Gothic" w:eastAsia="Calibri" w:hAnsi="Century Gothic" w:cs="Calibri"/>
          <w:bCs/>
          <w:lang w:eastAsia="ar-SA"/>
        </w:rPr>
        <w:t>sto conjugado con la amenaza sísmica de la zona, genera un riesgo y un nivel de pérdidas, en términos probabilísticos, bastante alta”, indicó el directivo.</w:t>
      </w:r>
    </w:p>
    <w:p w:rsidR="000468EB" w:rsidRPr="000468EB"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0468EB">
        <w:rPr>
          <w:rFonts w:ascii="Century Gothic" w:eastAsia="Calibri" w:hAnsi="Century Gothic" w:cs="Calibri"/>
          <w:bCs/>
          <w:lang w:eastAsia="ar-SA"/>
        </w:rPr>
        <w:t xml:space="preserve">Con base en estos hallazgos, se generaron estrategias para reducir el nivel de riesgos, </w:t>
      </w:r>
      <w:r w:rsidR="00B53AEA">
        <w:rPr>
          <w:rFonts w:ascii="Century Gothic" w:eastAsia="Calibri" w:hAnsi="Century Gothic" w:cs="Calibri"/>
          <w:bCs/>
          <w:lang w:eastAsia="ar-SA"/>
        </w:rPr>
        <w:t>y</w:t>
      </w:r>
      <w:r w:rsidRPr="000468EB">
        <w:rPr>
          <w:rFonts w:ascii="Century Gothic" w:eastAsia="Calibri" w:hAnsi="Century Gothic" w:cs="Calibri"/>
          <w:bCs/>
          <w:lang w:eastAsia="ar-SA"/>
        </w:rPr>
        <w:t xml:space="preserve"> gestar herramientas para poder afrontar </w:t>
      </w:r>
      <w:r w:rsidR="00B53AEA">
        <w:rPr>
          <w:rFonts w:ascii="Century Gothic" w:eastAsia="Calibri" w:hAnsi="Century Gothic" w:cs="Calibri"/>
          <w:bCs/>
          <w:lang w:eastAsia="ar-SA"/>
        </w:rPr>
        <w:t xml:space="preserve">de manera </w:t>
      </w:r>
      <w:r w:rsidRPr="000468EB">
        <w:rPr>
          <w:rFonts w:ascii="Century Gothic" w:eastAsia="Calibri" w:hAnsi="Century Gothic" w:cs="Calibri"/>
          <w:bCs/>
          <w:lang w:eastAsia="ar-SA"/>
        </w:rPr>
        <w:t xml:space="preserve">más eficiente </w:t>
      </w:r>
      <w:r w:rsidR="00B53AEA">
        <w:rPr>
          <w:rFonts w:ascii="Century Gothic" w:eastAsia="Calibri" w:hAnsi="Century Gothic" w:cs="Calibri"/>
          <w:bCs/>
          <w:lang w:eastAsia="ar-SA"/>
        </w:rPr>
        <w:t>un</w:t>
      </w:r>
      <w:r w:rsidRPr="000468EB">
        <w:rPr>
          <w:rFonts w:ascii="Century Gothic" w:eastAsia="Calibri" w:hAnsi="Century Gothic" w:cs="Calibri"/>
          <w:bCs/>
          <w:lang w:eastAsia="ar-SA"/>
        </w:rPr>
        <w:t xml:space="preserve"> desastre en la ciudad</w:t>
      </w:r>
      <w:r w:rsidR="00B53AEA">
        <w:rPr>
          <w:rFonts w:ascii="Century Gothic" w:eastAsia="Calibri" w:hAnsi="Century Gothic" w:cs="Calibri"/>
          <w:bCs/>
          <w:lang w:eastAsia="ar-SA"/>
        </w:rPr>
        <w:t xml:space="preserve">. Además, se buscó </w:t>
      </w:r>
      <w:r>
        <w:rPr>
          <w:rFonts w:ascii="Century Gothic" w:eastAsia="Calibri" w:hAnsi="Century Gothic" w:cs="Calibri"/>
          <w:bCs/>
          <w:lang w:eastAsia="ar-SA"/>
        </w:rPr>
        <w:t>que</w:t>
      </w:r>
      <w:r w:rsidRPr="000468EB">
        <w:rPr>
          <w:rFonts w:ascii="Century Gothic" w:eastAsia="Calibri" w:hAnsi="Century Gothic" w:cs="Calibri"/>
          <w:bCs/>
          <w:lang w:eastAsia="ar-SA"/>
        </w:rPr>
        <w:t xml:space="preserve"> los organismos </w:t>
      </w:r>
      <w:r w:rsidR="00B53AEA">
        <w:rPr>
          <w:rFonts w:ascii="Century Gothic" w:eastAsia="Calibri" w:hAnsi="Century Gothic" w:cs="Calibri"/>
          <w:bCs/>
          <w:lang w:eastAsia="ar-SA"/>
        </w:rPr>
        <w:t xml:space="preserve">estén </w:t>
      </w:r>
      <w:r w:rsidRPr="000468EB">
        <w:rPr>
          <w:rFonts w:ascii="Century Gothic" w:eastAsia="Calibri" w:hAnsi="Century Gothic" w:cs="Calibri"/>
          <w:bCs/>
          <w:lang w:eastAsia="ar-SA"/>
        </w:rPr>
        <w:t>mejor prepar</w:t>
      </w:r>
      <w:r w:rsidR="00B53AEA">
        <w:rPr>
          <w:rFonts w:ascii="Century Gothic" w:eastAsia="Calibri" w:hAnsi="Century Gothic" w:cs="Calibri"/>
          <w:bCs/>
          <w:lang w:eastAsia="ar-SA"/>
        </w:rPr>
        <w:t>ados</w:t>
      </w:r>
      <w:r w:rsidRPr="000468EB">
        <w:rPr>
          <w:rFonts w:ascii="Century Gothic" w:eastAsia="Calibri" w:hAnsi="Century Gothic" w:cs="Calibri"/>
          <w:bCs/>
          <w:lang w:eastAsia="ar-SA"/>
        </w:rPr>
        <w:t xml:space="preserve"> </w:t>
      </w:r>
      <w:r w:rsidR="00B53AEA">
        <w:rPr>
          <w:rFonts w:ascii="Century Gothic" w:eastAsia="Calibri" w:hAnsi="Century Gothic" w:cs="Calibri"/>
          <w:bCs/>
          <w:lang w:eastAsia="ar-SA"/>
        </w:rPr>
        <w:t>y de esta manera se</w:t>
      </w:r>
      <w:r w:rsidRPr="000468EB">
        <w:rPr>
          <w:rFonts w:ascii="Century Gothic" w:eastAsia="Calibri" w:hAnsi="Century Gothic" w:cs="Calibri"/>
          <w:bCs/>
          <w:lang w:eastAsia="ar-SA"/>
        </w:rPr>
        <w:t xml:space="preserve"> puedan reducir el número de víctimas. </w:t>
      </w:r>
    </w:p>
    <w:p w:rsidR="000468EB" w:rsidRPr="000468EB"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0468EB">
        <w:rPr>
          <w:rFonts w:ascii="Century Gothic" w:eastAsia="Calibri" w:hAnsi="Century Gothic" w:cs="Calibri"/>
          <w:bCs/>
          <w:lang w:eastAsia="ar-SA"/>
        </w:rPr>
        <w:t>Una de las variables que más se han estudiado a través del programa Prepare es</w:t>
      </w:r>
      <w:r w:rsidR="00B53AEA">
        <w:rPr>
          <w:rFonts w:ascii="Century Gothic" w:eastAsia="Calibri" w:hAnsi="Century Gothic" w:cs="Calibri"/>
          <w:bCs/>
          <w:lang w:eastAsia="ar-SA"/>
        </w:rPr>
        <w:t xml:space="preserve"> el alto volumen de desastres que se generan durante y después de un sismo, cuya importancia radica en la </w:t>
      </w:r>
      <w:r w:rsidRPr="000468EB">
        <w:rPr>
          <w:rFonts w:ascii="Century Gothic" w:eastAsia="Calibri" w:hAnsi="Century Gothic" w:cs="Calibri"/>
          <w:bCs/>
          <w:lang w:eastAsia="ar-SA"/>
        </w:rPr>
        <w:t xml:space="preserve">emergencia ambiental y </w:t>
      </w:r>
      <w:r w:rsidR="00B53AEA">
        <w:rPr>
          <w:rFonts w:ascii="Century Gothic" w:eastAsia="Calibri" w:hAnsi="Century Gothic" w:cs="Calibri"/>
          <w:bCs/>
          <w:lang w:eastAsia="ar-SA"/>
        </w:rPr>
        <w:t>el incremento del riesgo</w:t>
      </w:r>
      <w:r w:rsidRPr="000468EB">
        <w:rPr>
          <w:rFonts w:ascii="Century Gothic" w:eastAsia="Calibri" w:hAnsi="Century Gothic" w:cs="Calibri"/>
          <w:bCs/>
          <w:lang w:eastAsia="ar-SA"/>
        </w:rPr>
        <w:t>. “Generalmente en los planes de emergencia no se tiene en cuenta cómo manejar estos escombros, lo que resulta muy importante debido a la contaminación y la falta de identificación de los sitios donde se puedan depositar estos elementos. Dentro de esta estrategia se buscó saber el volumen y las rutas para transportar los escombros hacia lugares con características muy precisas</w:t>
      </w:r>
      <w:r w:rsidR="00B53AEA">
        <w:rPr>
          <w:rFonts w:ascii="Century Gothic" w:eastAsia="Calibri" w:hAnsi="Century Gothic" w:cs="Calibri"/>
          <w:bCs/>
          <w:lang w:eastAsia="ar-SA"/>
        </w:rPr>
        <w:t xml:space="preserve"> en la ciudad</w:t>
      </w:r>
      <w:r w:rsidRPr="000468EB">
        <w:rPr>
          <w:rFonts w:ascii="Century Gothic" w:eastAsia="Calibri" w:hAnsi="Century Gothic" w:cs="Calibri"/>
          <w:bCs/>
          <w:lang w:eastAsia="ar-SA"/>
        </w:rPr>
        <w:t>”, indicó Jaime Eraso.</w:t>
      </w:r>
    </w:p>
    <w:p w:rsidR="000468EB"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0468EB">
        <w:rPr>
          <w:rFonts w:ascii="Century Gothic" w:eastAsia="Calibri" w:hAnsi="Century Gothic" w:cs="Calibri"/>
          <w:bCs/>
          <w:lang w:eastAsia="ar-SA"/>
        </w:rPr>
        <w:t>Durante la tercera fase que irá hasta el 2020 se pretende fortalecer el talento humano y la capacidad operativas de las instituciones para la atención de un desastre en Pasto. El director de la DRGD municipal Darío Andrés Gómez, precisó que por medio de este programa se busca atender rápidamente las necesidades que se presenten</w:t>
      </w:r>
      <w:r w:rsidR="00B53AEA">
        <w:rPr>
          <w:rFonts w:ascii="Century Gothic" w:eastAsia="Calibri" w:hAnsi="Century Gothic" w:cs="Calibri"/>
          <w:bCs/>
          <w:lang w:eastAsia="ar-SA"/>
        </w:rPr>
        <w:t xml:space="preserve"> en</w:t>
      </w:r>
      <w:r w:rsidRPr="000468EB">
        <w:rPr>
          <w:rFonts w:ascii="Century Gothic" w:eastAsia="Calibri" w:hAnsi="Century Gothic" w:cs="Calibri"/>
          <w:bCs/>
          <w:lang w:eastAsia="ar-SA"/>
        </w:rPr>
        <w:t xml:space="preserve"> un evento y los efectos post sísmicos como la evaluación de los daños, a partir de l</w:t>
      </w:r>
      <w:r w:rsidR="00B53AEA">
        <w:rPr>
          <w:rFonts w:ascii="Century Gothic" w:eastAsia="Calibri" w:hAnsi="Century Gothic" w:cs="Calibri"/>
          <w:bCs/>
          <w:lang w:eastAsia="ar-SA"/>
        </w:rPr>
        <w:t>os</w:t>
      </w:r>
      <w:r w:rsidRPr="000468EB">
        <w:rPr>
          <w:rFonts w:ascii="Century Gothic" w:eastAsia="Calibri" w:hAnsi="Century Gothic" w:cs="Calibri"/>
          <w:bCs/>
          <w:lang w:eastAsia="ar-SA"/>
        </w:rPr>
        <w:t xml:space="preserve"> cual</w:t>
      </w:r>
      <w:r w:rsidR="00B53AEA">
        <w:rPr>
          <w:rFonts w:ascii="Century Gothic" w:eastAsia="Calibri" w:hAnsi="Century Gothic" w:cs="Calibri"/>
          <w:bCs/>
          <w:lang w:eastAsia="ar-SA"/>
        </w:rPr>
        <w:t>es</w:t>
      </w:r>
      <w:r w:rsidRPr="000468EB">
        <w:rPr>
          <w:rFonts w:ascii="Century Gothic" w:eastAsia="Calibri" w:hAnsi="Century Gothic" w:cs="Calibri"/>
          <w:bCs/>
          <w:lang w:eastAsia="ar-SA"/>
        </w:rPr>
        <w:t xml:space="preserve"> se pueden determinar acciones importantes para dar</w:t>
      </w:r>
      <w:r w:rsidR="00B53AEA">
        <w:rPr>
          <w:rFonts w:ascii="Century Gothic" w:eastAsia="Calibri" w:hAnsi="Century Gothic" w:cs="Calibri"/>
          <w:bCs/>
          <w:lang w:eastAsia="ar-SA"/>
        </w:rPr>
        <w:t xml:space="preserve"> una</w:t>
      </w:r>
      <w:r w:rsidRPr="000468EB">
        <w:rPr>
          <w:rFonts w:ascii="Century Gothic" w:eastAsia="Calibri" w:hAnsi="Century Gothic" w:cs="Calibri"/>
          <w:bCs/>
          <w:lang w:eastAsia="ar-SA"/>
        </w:rPr>
        <w:t xml:space="preserve"> respuesta eficiente. </w:t>
      </w:r>
    </w:p>
    <w:p w:rsidR="00B53AEA" w:rsidRDefault="00B53AEA" w:rsidP="00B53AEA">
      <w:pPr>
        <w:pStyle w:val="Sinespaciado"/>
        <w:jc w:val="both"/>
        <w:rPr>
          <w:rFonts w:ascii="Century Gothic" w:hAnsi="Century Gothic"/>
          <w:b/>
          <w:sz w:val="18"/>
          <w:szCs w:val="18"/>
        </w:rPr>
      </w:pPr>
      <w:r w:rsidRPr="00B53AEA">
        <w:rPr>
          <w:rFonts w:ascii="Century Gothic" w:hAnsi="Century Gothic"/>
          <w:b/>
          <w:sz w:val="18"/>
          <w:szCs w:val="18"/>
        </w:rPr>
        <w:t>Información: Director Gestión del Riesgo Darío Andrés Gómez. Celular: 3137082503</w:t>
      </w:r>
    </w:p>
    <w:p w:rsidR="00B53AEA" w:rsidRDefault="00B53AEA" w:rsidP="00B53AE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53AEA" w:rsidRDefault="00B53AEA" w:rsidP="00B53AEA">
      <w:pPr>
        <w:pStyle w:val="Sinespaciado"/>
        <w:jc w:val="both"/>
        <w:rPr>
          <w:rFonts w:ascii="Century Gothic" w:hAnsi="Century Gothic"/>
          <w:b/>
          <w:sz w:val="18"/>
          <w:szCs w:val="18"/>
        </w:rPr>
      </w:pPr>
    </w:p>
    <w:p w:rsidR="00A33A5F" w:rsidRPr="00B53AEA" w:rsidRDefault="00A33A5F" w:rsidP="00B53AEA">
      <w:pPr>
        <w:pStyle w:val="Sinespaciado"/>
        <w:jc w:val="both"/>
        <w:rPr>
          <w:rFonts w:ascii="Century Gothic" w:hAnsi="Century Gothic"/>
          <w:b/>
          <w:sz w:val="18"/>
          <w:szCs w:val="18"/>
        </w:rPr>
      </w:pPr>
    </w:p>
    <w:p w:rsidR="000468EB" w:rsidRDefault="000468EB"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95044C" w:rsidRDefault="004F198D"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ESTE 18 DE OCTUBRE SE LLEVARÁ A CABO LA </w:t>
      </w:r>
      <w:r w:rsidRPr="004F198D">
        <w:rPr>
          <w:rFonts w:ascii="Century Gothic" w:eastAsia="Calibri" w:hAnsi="Century Gothic" w:cs="Calibri"/>
          <w:b/>
          <w:bCs/>
          <w:sz w:val="22"/>
          <w:szCs w:val="22"/>
          <w:lang w:eastAsia="ar-SA"/>
        </w:rPr>
        <w:t xml:space="preserve">ESTRATEGIA DEPORTIVA </w:t>
      </w:r>
      <w:r>
        <w:rPr>
          <w:rFonts w:ascii="Century Gothic" w:eastAsia="Calibri" w:hAnsi="Century Gothic" w:cs="Calibri"/>
          <w:b/>
          <w:bCs/>
          <w:sz w:val="22"/>
          <w:szCs w:val="22"/>
          <w:lang w:eastAsia="ar-SA"/>
        </w:rPr>
        <w:t>‘</w:t>
      </w:r>
      <w:r w:rsidRPr="004F198D">
        <w:rPr>
          <w:rFonts w:ascii="Century Gothic" w:eastAsia="Calibri" w:hAnsi="Century Gothic" w:cs="Calibri"/>
          <w:b/>
          <w:bCs/>
          <w:sz w:val="22"/>
          <w:szCs w:val="22"/>
          <w:lang w:eastAsia="ar-SA"/>
        </w:rPr>
        <w:t>MÉTELE UN GOL AL TRABAJO INFANTIL</w:t>
      </w:r>
      <w:r>
        <w:rPr>
          <w:rFonts w:ascii="Century Gothic" w:eastAsia="Calibri" w:hAnsi="Century Gothic" w:cs="Calibri"/>
          <w:b/>
          <w:bCs/>
          <w:sz w:val="22"/>
          <w:szCs w:val="22"/>
          <w:lang w:eastAsia="ar-SA"/>
        </w:rPr>
        <w:t xml:space="preserve">’, </w:t>
      </w:r>
      <w:r w:rsidRPr="004F198D">
        <w:rPr>
          <w:rFonts w:ascii="Century Gothic" w:eastAsia="Calibri" w:hAnsi="Century Gothic" w:cs="Calibri"/>
          <w:b/>
          <w:bCs/>
          <w:sz w:val="22"/>
          <w:szCs w:val="22"/>
          <w:lang w:eastAsia="ar-SA"/>
        </w:rPr>
        <w:t>EN EL COLISEO SERGIO ANTONIO RUANO</w:t>
      </w: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530248" cy="347165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10-15 at 5.12.33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6517" cy="3480251"/>
                    </a:xfrm>
                    <a:prstGeom prst="rect">
                      <a:avLst/>
                    </a:prstGeom>
                  </pic:spPr>
                </pic:pic>
              </a:graphicData>
            </a:graphic>
          </wp:inline>
        </w:drawing>
      </w:r>
    </w:p>
    <w:p w:rsidR="0095044C" w:rsidRDefault="0095044C"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95044C" w:rsidRP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El Comité Interinstitucional de erradicación del trabajo infantil, invita a la comunidad del municipio de Pasto para que se una </w:t>
      </w:r>
      <w:r w:rsidR="00E63F75">
        <w:rPr>
          <w:rFonts w:ascii="Century Gothic" w:eastAsia="Calibri" w:hAnsi="Century Gothic" w:cs="Calibri"/>
          <w:bCs/>
          <w:sz w:val="22"/>
          <w:szCs w:val="22"/>
          <w:lang w:eastAsia="ar-SA"/>
        </w:rPr>
        <w:t>a la</w:t>
      </w:r>
      <w:r w:rsidRPr="004F198D">
        <w:rPr>
          <w:rFonts w:ascii="Century Gothic" w:eastAsia="Calibri" w:hAnsi="Century Gothic" w:cs="Calibri"/>
          <w:bCs/>
          <w:sz w:val="22"/>
          <w:szCs w:val="22"/>
          <w:lang w:eastAsia="ar-SA"/>
        </w:rPr>
        <w:t xml:space="preserve"> estrategia deportiva ‘Métele un gol al trabajo infantil’, que se llevará a cabo el próximo viernes 18 de octubre en el coliseo Sergio Antonio Ruano. </w:t>
      </w:r>
    </w:p>
    <w:p w:rsid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Esta iniciativa busca que a través de la actividad, niños y jóvenes encuentren escenarios que mitiguen el trabajo infantil, incentivando la cero tolerancia frente a esta problemática. “Nuestros menores de edad deben estar estudiando, jugando, haciendo parte de los procesos de cultura y que sus derechos sean garantizados”, indicó el subsecretario de Promoción y Asistencia Social, Álvaro Javier Zarama. </w:t>
      </w:r>
    </w:p>
    <w:p w:rsidR="00867B10" w:rsidRDefault="00867B10" w:rsidP="00867B10">
      <w:pPr>
        <w:pStyle w:val="Sinespaciado"/>
        <w:jc w:val="both"/>
        <w:rPr>
          <w:rFonts w:ascii="Century Gothic" w:hAnsi="Century Gothic"/>
          <w:b/>
          <w:sz w:val="18"/>
          <w:szCs w:val="18"/>
        </w:rPr>
      </w:pPr>
      <w:r>
        <w:rPr>
          <w:rFonts w:ascii="Century Gothic" w:hAnsi="Century Gothic"/>
          <w:b/>
          <w:sz w:val="18"/>
          <w:szCs w:val="18"/>
        </w:rPr>
        <w:t>Información: Álvaro Zarama, Subsecretario de Promoción y Asistencia Social, celular 3165774170</w:t>
      </w:r>
    </w:p>
    <w:p w:rsidR="00867B10" w:rsidRDefault="00867B10"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33A5F" w:rsidRDefault="00A33A5F"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867B10" w:rsidRDefault="00867B10"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D7680" w:rsidRDefault="007748F1" w:rsidP="002D76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ESTE 18 DE OCTUBRES SE REALIZARÁ </w:t>
      </w:r>
      <w:r w:rsidR="002D7680" w:rsidRPr="002D7680">
        <w:rPr>
          <w:rFonts w:ascii="Century Gothic" w:eastAsia="Calibri" w:hAnsi="Century Gothic" w:cs="Calibri"/>
          <w:b/>
          <w:sz w:val="22"/>
          <w:szCs w:val="22"/>
          <w:lang w:val="es-ES_tradnl" w:eastAsia="ar-SA"/>
        </w:rPr>
        <w:t xml:space="preserve">MUESTRA ARTESANAL CON LA MARCA </w:t>
      </w:r>
      <w:r>
        <w:rPr>
          <w:rFonts w:ascii="Century Gothic" w:eastAsia="Calibri" w:hAnsi="Century Gothic" w:cs="Calibri"/>
          <w:b/>
          <w:sz w:val="22"/>
          <w:szCs w:val="22"/>
          <w:lang w:val="es-ES_tradnl" w:eastAsia="ar-SA"/>
        </w:rPr>
        <w:t>‘</w:t>
      </w:r>
      <w:r w:rsidR="002D7680" w:rsidRPr="002D7680">
        <w:rPr>
          <w:rFonts w:ascii="Century Gothic" w:eastAsia="Calibri" w:hAnsi="Century Gothic" w:cs="Calibri"/>
          <w:b/>
          <w:sz w:val="22"/>
          <w:szCs w:val="22"/>
          <w:lang w:val="es-ES_tradnl" w:eastAsia="ar-SA"/>
        </w:rPr>
        <w:t>JENNY VARIEDADES</w:t>
      </w:r>
      <w:r>
        <w:rPr>
          <w:rFonts w:ascii="Century Gothic" w:eastAsia="Calibri" w:hAnsi="Century Gothic" w:cs="Calibri"/>
          <w:b/>
          <w:sz w:val="22"/>
          <w:szCs w:val="22"/>
          <w:lang w:val="es-ES_tradnl" w:eastAsia="ar-SA"/>
        </w:rPr>
        <w:t>’</w:t>
      </w:r>
    </w:p>
    <w:p w:rsidR="007748F1" w:rsidRPr="002D7680" w:rsidRDefault="007748F1" w:rsidP="002D76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noProof/>
          <w:lang w:val="en-US" w:eastAsia="en-US"/>
        </w:rPr>
        <w:drawing>
          <wp:inline distT="0" distB="0" distL="0" distR="0">
            <wp:extent cx="5613400" cy="3172111"/>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3172111"/>
                    </a:xfrm>
                    <a:prstGeom prst="rect">
                      <a:avLst/>
                    </a:prstGeom>
                    <a:noFill/>
                    <a:ln>
                      <a:noFill/>
                    </a:ln>
                  </pic:spPr>
                </pic:pic>
              </a:graphicData>
            </a:graphic>
          </wp:inline>
        </w:drawing>
      </w:r>
    </w:p>
    <w:p w:rsidR="002D7680" w:rsidRP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18 de octubre, a la muestra artesanal con la marca ‘Jenny Variedades’, en el Punto de Información Turística PIT, ubicado en la calle 19 con carrera 25, esquina Plaza de Nariño.</w:t>
      </w:r>
    </w:p>
    <w:p w:rsidR="002D7680" w:rsidRP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 xml:space="preserve"> ‘Jenny Variedades’, es una técnica que consiste en la elaboración en tela y felpa de muñequería para toda ocasión como lo es la figura del cuy en diversos personajes y temporada navideña, así como también la fabricación de todo tipo de lencería, adornos decorativos y demás accesorios para el hogar.</w:t>
      </w:r>
    </w:p>
    <w:p w:rsid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 xml:space="preserve">La jornada se realiza con el fin de impulsar los productos artesanales y culturales de nuestra ciudad, para promover y seguir rescatando nuestras tradiciones </w:t>
      </w:r>
      <w:r w:rsidR="007748F1" w:rsidRPr="002D7680">
        <w:rPr>
          <w:rFonts w:ascii="Century Gothic" w:eastAsia="Calibri" w:hAnsi="Century Gothic" w:cs="Calibri"/>
          <w:bCs/>
          <w:sz w:val="22"/>
          <w:szCs w:val="22"/>
          <w:lang w:eastAsia="ar-SA"/>
        </w:rPr>
        <w:t>ancestrales que</w:t>
      </w:r>
      <w:r w:rsidRPr="002D7680">
        <w:rPr>
          <w:rFonts w:ascii="Century Gothic" w:eastAsia="Calibri" w:hAnsi="Century Gothic" w:cs="Calibri"/>
          <w:bCs/>
          <w:sz w:val="22"/>
          <w:szCs w:val="22"/>
          <w:lang w:eastAsia="ar-SA"/>
        </w:rPr>
        <w:t xml:space="preserve"> constituyen nuestra identidad, conocimiento e inicia desde las 9:00 de la mañana, totalmente gratuita y permite adquirir los diferentes productos elaborados por las y los artesanos nariñenses.</w:t>
      </w:r>
    </w:p>
    <w:p w:rsidR="007748F1" w:rsidRDefault="007748F1" w:rsidP="007748F1">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7748F1" w:rsidRDefault="007748F1" w:rsidP="007748F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FF73AE" w:rsidRDefault="00FF73AE" w:rsidP="007748F1">
      <w:pPr>
        <w:pStyle w:val="NormalWeb"/>
        <w:shd w:val="clear" w:color="auto" w:fill="FFFFFF"/>
        <w:spacing w:before="0" w:beforeAutospacing="0" w:after="90" w:afterAutospacing="0" w:line="240" w:lineRule="auto"/>
        <w:rPr>
          <w:rFonts w:ascii="Century Gothic" w:eastAsiaTheme="minorHAnsi" w:hAnsi="Century Gothic" w:cs="Helvetica"/>
          <w:b/>
          <w:color w:val="1D2129"/>
          <w:shd w:val="clear" w:color="auto" w:fill="FFFFFF"/>
          <w:lang w:eastAsia="en-US"/>
        </w:rPr>
      </w:pPr>
    </w:p>
    <w:p w:rsidR="00A33A5F" w:rsidRDefault="00A33A5F" w:rsidP="007748F1">
      <w:pPr>
        <w:pStyle w:val="NormalWeb"/>
        <w:shd w:val="clear" w:color="auto" w:fill="FFFFFF"/>
        <w:spacing w:before="0" w:beforeAutospacing="0" w:after="90" w:afterAutospacing="0" w:line="240" w:lineRule="auto"/>
        <w:rPr>
          <w:rFonts w:ascii="Century Gothic" w:eastAsiaTheme="minorHAnsi" w:hAnsi="Century Gothic" w:cs="Helvetica"/>
          <w:b/>
          <w:color w:val="1D2129"/>
          <w:shd w:val="clear" w:color="auto" w:fill="FFFFFF"/>
          <w:lang w:eastAsia="en-US"/>
        </w:rPr>
      </w:pPr>
    </w:p>
    <w:p w:rsidR="00A33A5F" w:rsidRDefault="00A33A5F" w:rsidP="007748F1">
      <w:pPr>
        <w:pStyle w:val="NormalWeb"/>
        <w:shd w:val="clear" w:color="auto" w:fill="FFFFFF"/>
        <w:spacing w:before="0" w:beforeAutospacing="0" w:after="90" w:afterAutospacing="0" w:line="240" w:lineRule="auto"/>
        <w:rPr>
          <w:rFonts w:ascii="Century Gothic" w:eastAsiaTheme="minorHAnsi" w:hAnsi="Century Gothic" w:cs="Helvetica"/>
          <w:b/>
          <w:color w:val="1D2129"/>
          <w:shd w:val="clear" w:color="auto" w:fill="FFFFFF"/>
          <w:lang w:eastAsia="en-US"/>
        </w:rPr>
      </w:pPr>
    </w:p>
    <w:p w:rsidR="00A33A5F" w:rsidRPr="00FF73AE" w:rsidRDefault="00A33A5F" w:rsidP="007748F1">
      <w:pPr>
        <w:pStyle w:val="NormalWeb"/>
        <w:shd w:val="clear" w:color="auto" w:fill="FFFFFF"/>
        <w:spacing w:before="0" w:beforeAutospacing="0" w:after="90" w:afterAutospacing="0" w:line="240" w:lineRule="auto"/>
        <w:rPr>
          <w:rFonts w:ascii="Century Gothic" w:eastAsiaTheme="minorHAnsi" w:hAnsi="Century Gothic" w:cs="Helvetica"/>
          <w:b/>
          <w:color w:val="1D2129"/>
          <w:shd w:val="clear" w:color="auto" w:fill="FFFFFF"/>
          <w:lang w:eastAsia="en-US"/>
        </w:rPr>
      </w:pPr>
      <w:bookmarkStart w:id="12" w:name="_GoBack"/>
      <w:bookmarkEnd w:id="12"/>
    </w:p>
    <w:p w:rsidR="0034552C" w:rsidRDefault="0034552C" w:rsidP="003455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OFICINA DE ASUNTOS INTERNACIONALES INVITA A ORGANIZACIONES SOCIALES A PARTICIPAR EN CONVOCATORIAS</w:t>
      </w:r>
    </w:p>
    <w:p w:rsidR="0034552C" w:rsidRDefault="0034552C" w:rsidP="003455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921686" cy="29413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web  - facebbok  - asuntos inter (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3490" cy="2948374"/>
                    </a:xfrm>
                    <a:prstGeom prst="rect">
                      <a:avLst/>
                    </a:prstGeom>
                  </pic:spPr>
                </pic:pic>
              </a:graphicData>
            </a:graphic>
          </wp:inline>
        </w:drawing>
      </w:r>
    </w:p>
    <w:p w:rsidR="00A91746" w:rsidRPr="00A91746" w:rsidRDefault="00A91746"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1746">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Convocatoria</w:t>
      </w:r>
      <w:r w:rsidR="00A91746" w:rsidRPr="0034552C">
        <w:rPr>
          <w:rFonts w:ascii="Century Gothic" w:eastAsia="Calibri" w:hAnsi="Century Gothic" w:cs="Calibri"/>
          <w:bCs/>
          <w:sz w:val="22"/>
          <w:szCs w:val="22"/>
          <w:u w:val="single"/>
          <w:lang w:eastAsia="ar-SA"/>
        </w:rPr>
        <w:t>:</w:t>
      </w:r>
      <w:r w:rsidR="00A91746" w:rsidRPr="00A91746">
        <w:rPr>
          <w:rFonts w:ascii="Century Gothic" w:eastAsia="Calibri" w:hAnsi="Century Gothic" w:cs="Calibri"/>
          <w:bCs/>
          <w:sz w:val="22"/>
          <w:szCs w:val="22"/>
          <w:lang w:eastAsia="ar-SA"/>
        </w:rPr>
        <w:t xml:space="preserve"> Convocatoria de Becas Institucionales Belisario Betancur - Jóvenes Talentos</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Entidad oferente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Fundación Carolina</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Características</w:t>
      </w:r>
      <w:r w:rsidR="00A91746" w:rsidRPr="0034552C">
        <w:rPr>
          <w:rFonts w:ascii="Century Gothic" w:eastAsia="Calibri" w:hAnsi="Century Gothic" w:cs="Calibri"/>
          <w:bCs/>
          <w:sz w:val="22"/>
          <w:szCs w:val="22"/>
          <w:u w:val="single"/>
          <w:lang w:eastAsia="ar-SA"/>
        </w:rPr>
        <w:t>:</w:t>
      </w:r>
      <w:r w:rsidR="00A91746" w:rsidRPr="00A91746">
        <w:rPr>
          <w:rFonts w:ascii="Century Gothic" w:eastAsia="Calibri" w:hAnsi="Century Gothic" w:cs="Calibri"/>
          <w:bCs/>
          <w:sz w:val="22"/>
          <w:szCs w:val="22"/>
          <w:lang w:eastAsia="ar-SA"/>
        </w:rPr>
        <w:t xml:space="preserve"> A través de esta convocatoria, se otorgarán 50 becas a ciudadanos afrocolombianos para realizar cursos cortos relacionados con industrias creativas de la Escuela Complutense de Verano (Universidad Complutense de Madrid), estas becas incluyen el pago total del importe de matrícula, tiquetes aéreos ida y regreso, seguro médico y apoyo para alojamiento y manutención.</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Fecha de cierre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31 de octubre de 2019</w:t>
      </w:r>
    </w:p>
    <w:p w:rsidR="00A91746" w:rsidRPr="008E3E88"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34552C">
        <w:rPr>
          <w:rFonts w:ascii="Century Gothic" w:eastAsia="Calibri" w:hAnsi="Century Gothic" w:cs="Calibri"/>
          <w:bCs/>
          <w:sz w:val="22"/>
          <w:szCs w:val="22"/>
          <w:u w:val="single"/>
          <w:lang w:val="en-US" w:eastAsia="ar-SA"/>
        </w:rPr>
        <w:t>Link</w:t>
      </w:r>
      <w:r w:rsidR="00A91746" w:rsidRPr="0034552C">
        <w:rPr>
          <w:rFonts w:ascii="Century Gothic" w:eastAsia="Calibri" w:hAnsi="Century Gothic" w:cs="Calibri"/>
          <w:bCs/>
          <w:sz w:val="22"/>
          <w:szCs w:val="22"/>
          <w:u w:val="single"/>
          <w:lang w:val="en-US" w:eastAsia="ar-SA"/>
        </w:rPr>
        <w:t xml:space="preserve">: </w:t>
      </w:r>
      <w:hyperlink r:id="rId13" w:history="1">
        <w:r w:rsidR="00A91746" w:rsidRPr="008E3E88">
          <w:rPr>
            <w:rFonts w:eastAsia="Calibri" w:cs="Calibri"/>
            <w:bCs/>
            <w:sz w:val="22"/>
            <w:szCs w:val="22"/>
            <w:lang w:val="en-US" w:eastAsia="ar-SA"/>
          </w:rPr>
          <w:t>http://gestion.fundacioncarolina.es/programas</w:t>
        </w:r>
      </w:hyperlink>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Convocatoria</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Motorola financia proyectos educativos en ciencia, tecnología e ingeniería</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Entidad oferente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Fundación Motorola Solutions</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Características</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Fundación Motorola Solutions ofrece subvenciones, las cuales se enfocan en temas de ciencia, tecnología, ingeniería y matemáticas, buscando así apoyar a organizaciones a nivel internacional en términos educativos.</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Fecha de cierre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febrero de 2020</w:t>
      </w:r>
    </w:p>
    <w:p w:rsidR="00A91746" w:rsidRPr="00BA7A87"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lastRenderedPageBreak/>
        <w:t>Link</w:t>
      </w:r>
      <w:r w:rsidR="00A91746" w:rsidRPr="00BA7A87">
        <w:rPr>
          <w:rFonts w:ascii="Century Gothic" w:eastAsia="Calibri" w:hAnsi="Century Gothic" w:cs="Calibri"/>
          <w:bCs/>
          <w:sz w:val="22"/>
          <w:szCs w:val="22"/>
          <w:lang w:eastAsia="ar-SA"/>
        </w:rPr>
        <w:t>:https://www.motorolasolutions.com/en_us/about/companyoverview/corporateresponsibility/motorola-solutions-foundation.html</w:t>
      </w:r>
    </w:p>
    <w:p w:rsidR="00A91746" w:rsidRDefault="00A91746"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1746">
        <w:rPr>
          <w:rFonts w:ascii="Century Gothic" w:eastAsia="Calibri" w:hAnsi="Century Gothic" w:cs="Calibri"/>
          <w:bCs/>
          <w:sz w:val="22"/>
          <w:szCs w:val="22"/>
          <w:lang w:eastAsia="ar-SA"/>
        </w:rPr>
        <w:t xml:space="preserve">Para </w:t>
      </w:r>
      <w:r w:rsidR="008E3E88">
        <w:rPr>
          <w:rFonts w:ascii="Century Gothic" w:eastAsia="Calibri" w:hAnsi="Century Gothic" w:cs="Calibri"/>
          <w:bCs/>
          <w:sz w:val="22"/>
          <w:szCs w:val="22"/>
          <w:lang w:eastAsia="ar-SA"/>
        </w:rPr>
        <w:t>más</w:t>
      </w:r>
      <w:r w:rsidRPr="00A91746">
        <w:rPr>
          <w:rFonts w:ascii="Century Gothic" w:eastAsia="Calibri" w:hAnsi="Century Gothic" w:cs="Calibri"/>
          <w:bCs/>
          <w:sz w:val="22"/>
          <w:szCs w:val="22"/>
          <w:lang w:eastAsia="ar-SA"/>
        </w:rPr>
        <w:t xml:space="preserve"> información puede comunicarse a la Oficina de Asuntos Internacionales, a través del correo electrónico asuntosinternacionales@pasto.gov.co o al teléfono 7236157.</w:t>
      </w:r>
    </w:p>
    <w:p w:rsidR="0034552C" w:rsidRDefault="0034552C" w:rsidP="0034552C">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34552C" w:rsidRDefault="0034552C" w:rsidP="0034552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A5601" w:rsidRDefault="004A5601" w:rsidP="002A4925">
      <w:pPr>
        <w:tabs>
          <w:tab w:val="left" w:pos="2310"/>
        </w:tabs>
        <w:jc w:val="center"/>
        <w:rPr>
          <w:rFonts w:ascii="Century Gothic" w:hAnsi="Century Gothic" w:cs="Arial"/>
          <w:b/>
          <w:sz w:val="20"/>
          <w:szCs w:val="20"/>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ALCALDÍA DE PASTO ABRE CONVOCATORIA A MUJERES DE PASTO PARA FORMAR PARTE DEL CONSEJO CIUDADANO DE MUJERES – CCMP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611A1161" wp14:editId="4019A6C8">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8571" cy="3029858"/>
                    </a:xfrm>
                    <a:prstGeom prst="rect">
                      <a:avLst/>
                    </a:prstGeom>
                  </pic:spPr>
                </pic:pic>
              </a:graphicData>
            </a:graphic>
          </wp:inline>
        </w:drawing>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CCMP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15. Una representante de las organizaciones de mujeres del sector LBT.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Los documentos y el proceso de inscripción deben ser entregados en las instalaciones de la Secretaría de las Mujeres, Orientaciones Sexuales e Identidades de Género de la Alcaldía de Pasto, carrera 28 # 10-05 San Andrés – Rumipamba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Rumipamba.</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22953" w:rsidRDefault="00B22953" w:rsidP="00C3364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2F5" w:rsidRDefault="002E42F5">
      <w:pPr>
        <w:spacing w:after="0" w:line="240" w:lineRule="auto"/>
      </w:pPr>
      <w:r>
        <w:separator/>
      </w:r>
    </w:p>
  </w:endnote>
  <w:endnote w:type="continuationSeparator" w:id="0">
    <w:p w:rsidR="002E42F5" w:rsidRDefault="002E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D06D1E">
        <w:pPr>
          <w:pStyle w:val="Piedepgina"/>
          <w:jc w:val="right"/>
        </w:pPr>
        <w:r>
          <w:fldChar w:fldCharType="begin"/>
        </w:r>
        <w:r>
          <w:instrText>PAGE   \* MERGEFORMAT</w:instrText>
        </w:r>
        <w:r>
          <w:fldChar w:fldCharType="separate"/>
        </w:r>
        <w:r w:rsidR="00A33A5F" w:rsidRPr="00A33A5F">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2F5" w:rsidRDefault="002E42F5">
      <w:pPr>
        <w:spacing w:after="0" w:line="240" w:lineRule="auto"/>
      </w:pPr>
      <w:r>
        <w:separator/>
      </w:r>
    </w:p>
  </w:footnote>
  <w:footnote w:type="continuationSeparator" w:id="0">
    <w:p w:rsidR="002E42F5" w:rsidRDefault="002E4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D06D1E">
    <w:pPr>
      <w:pStyle w:val="Encabezado"/>
    </w:pPr>
    <w:r>
      <w:rPr>
        <w:noProof/>
        <w:lang w:val="en-US"/>
      </w:rPr>
      <mc:AlternateContent>
        <mc:Choice Requires="wps">
          <w:drawing>
            <wp:anchor distT="0" distB="0" distL="114300" distR="114300" simplePos="0" relativeHeight="251659264" behindDoc="0" locked="0" layoutInCell="1" allowOverlap="1" wp14:anchorId="5C813975" wp14:editId="648634B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0468EB">
                            <w:rPr>
                              <w:rFonts w:cs="Tahoma"/>
                              <w:b/>
                              <w:sz w:val="20"/>
                              <w:szCs w:val="20"/>
                            </w:rPr>
                            <w:t>8</w:t>
                          </w:r>
                        </w:p>
                        <w:p w:rsidR="00D06D1E" w:rsidRPr="00895C86" w:rsidRDefault="00D82D40" w:rsidP="008363C6">
                          <w:pPr>
                            <w:spacing w:after="0"/>
                            <w:rPr>
                              <w:b/>
                              <w:sz w:val="20"/>
                              <w:szCs w:val="20"/>
                            </w:rPr>
                          </w:pPr>
                          <w:r>
                            <w:rPr>
                              <w:b/>
                              <w:sz w:val="20"/>
                              <w:szCs w:val="20"/>
                            </w:rPr>
                            <w:t>1</w:t>
                          </w:r>
                          <w:r w:rsidR="000468EB">
                            <w:rPr>
                              <w:b/>
                              <w:sz w:val="20"/>
                              <w:szCs w:val="20"/>
                            </w:rPr>
                            <w:t>7</w:t>
                          </w:r>
                          <w:r w:rsidR="00D06D1E">
                            <w:rPr>
                              <w:b/>
                              <w:sz w:val="20"/>
                              <w:szCs w:val="20"/>
                            </w:rPr>
                            <w:t>/octubre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813975"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0468EB">
                      <w:rPr>
                        <w:rFonts w:cs="Tahoma"/>
                        <w:b/>
                        <w:sz w:val="20"/>
                        <w:szCs w:val="20"/>
                      </w:rPr>
                      <w:t>8</w:t>
                    </w:r>
                  </w:p>
                  <w:p w:rsidR="00D06D1E" w:rsidRPr="00895C86" w:rsidRDefault="00D82D40" w:rsidP="008363C6">
                    <w:pPr>
                      <w:spacing w:after="0"/>
                      <w:rPr>
                        <w:b/>
                        <w:sz w:val="20"/>
                        <w:szCs w:val="20"/>
                      </w:rPr>
                    </w:pPr>
                    <w:r>
                      <w:rPr>
                        <w:b/>
                        <w:sz w:val="20"/>
                        <w:szCs w:val="20"/>
                      </w:rPr>
                      <w:t>1</w:t>
                    </w:r>
                    <w:r w:rsidR="000468EB">
                      <w:rPr>
                        <w:b/>
                        <w:sz w:val="20"/>
                        <w:szCs w:val="20"/>
                      </w:rPr>
                      <w:t>7</w:t>
                    </w:r>
                    <w:r w:rsidR="00D06D1E">
                      <w:rPr>
                        <w:b/>
                        <w:sz w:val="20"/>
                        <w:szCs w:val="20"/>
                      </w:rPr>
                      <w:t>/octubre</w:t>
                    </w:r>
                    <w:r w:rsidR="00D06D1E"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BA129F3" wp14:editId="40D2FE1C">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15:restartNumberingAfterBreak="0">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8EB"/>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07A6"/>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BBA"/>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0189"/>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680"/>
    <w:rsid w:val="002D7C17"/>
    <w:rsid w:val="002E03D7"/>
    <w:rsid w:val="002E282E"/>
    <w:rsid w:val="002E312D"/>
    <w:rsid w:val="002E40DC"/>
    <w:rsid w:val="002E42F5"/>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4401"/>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552C"/>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3E4E"/>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1F07"/>
    <w:rsid w:val="00493BF7"/>
    <w:rsid w:val="0049582C"/>
    <w:rsid w:val="00495F2F"/>
    <w:rsid w:val="00497250"/>
    <w:rsid w:val="00497BCE"/>
    <w:rsid w:val="00497EC9"/>
    <w:rsid w:val="004A1DD7"/>
    <w:rsid w:val="004A2121"/>
    <w:rsid w:val="004A2515"/>
    <w:rsid w:val="004A351C"/>
    <w:rsid w:val="004A3FC3"/>
    <w:rsid w:val="004A5601"/>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198D"/>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18BB"/>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1BC"/>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9CA"/>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48F1"/>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10"/>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3E88"/>
    <w:rsid w:val="008E4C75"/>
    <w:rsid w:val="008E4DDF"/>
    <w:rsid w:val="008E56AE"/>
    <w:rsid w:val="008E68CB"/>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44C"/>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5F"/>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746"/>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3AEA"/>
    <w:rsid w:val="00B54140"/>
    <w:rsid w:val="00B550D7"/>
    <w:rsid w:val="00B55D2A"/>
    <w:rsid w:val="00B56C61"/>
    <w:rsid w:val="00B60A20"/>
    <w:rsid w:val="00B61503"/>
    <w:rsid w:val="00B61696"/>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A7A87"/>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64E"/>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3F75"/>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192A"/>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833"/>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3A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69ADC"/>
  <w15:docId w15:val="{8609B457-EFFC-411A-8493-1922C4DE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3C1F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155088">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1884313">
      <w:bodyDiv w:val="1"/>
      <w:marLeft w:val="0"/>
      <w:marRight w:val="0"/>
      <w:marTop w:val="0"/>
      <w:marBottom w:val="0"/>
      <w:divBdr>
        <w:top w:val="none" w:sz="0" w:space="0" w:color="auto"/>
        <w:left w:val="none" w:sz="0" w:space="0" w:color="auto"/>
        <w:bottom w:val="none" w:sz="0" w:space="0" w:color="auto"/>
        <w:right w:val="none" w:sz="0" w:space="0" w:color="auto"/>
      </w:divBdr>
    </w:div>
    <w:div w:id="302396331">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1779234">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096290605">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6004722">
      <w:bodyDiv w:val="1"/>
      <w:marLeft w:val="0"/>
      <w:marRight w:val="0"/>
      <w:marTop w:val="0"/>
      <w:marBottom w:val="0"/>
      <w:divBdr>
        <w:top w:val="none" w:sz="0" w:space="0" w:color="auto"/>
        <w:left w:val="none" w:sz="0" w:space="0" w:color="auto"/>
        <w:bottom w:val="none" w:sz="0" w:space="0" w:color="auto"/>
        <w:right w:val="none" w:sz="0" w:space="0" w:color="auto"/>
      </w:divBdr>
      <w:divsChild>
        <w:div w:id="1580939553">
          <w:marLeft w:val="0"/>
          <w:marRight w:val="0"/>
          <w:marTop w:val="0"/>
          <w:marBottom w:val="0"/>
          <w:divBdr>
            <w:top w:val="none" w:sz="0" w:space="0" w:color="auto"/>
            <w:left w:val="none" w:sz="0" w:space="0" w:color="auto"/>
            <w:bottom w:val="none" w:sz="0" w:space="0" w:color="auto"/>
            <w:right w:val="none" w:sz="0" w:space="0" w:color="auto"/>
          </w:divBdr>
        </w:div>
      </w:divsChild>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1847056">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366168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8271674">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829386">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estion.fundacioncarolina.es/program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3BCAB-6B48-4C8D-937F-21B1BCE1F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1930</Words>
  <Characters>11003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2019-10-15T00:11:00Z</cp:lastPrinted>
  <dcterms:created xsi:type="dcterms:W3CDTF">2019-10-16T23:41:00Z</dcterms:created>
  <dcterms:modified xsi:type="dcterms:W3CDTF">2019-10-16T23:41:00Z</dcterms:modified>
</cp:coreProperties>
</file>