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285</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285</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18 de septiembre</w:t>
      </w:r>
      <w:r>
        <w:rPr>
          <w:rStyle w:val="Ninguno"/>
          <w:rFonts w:ascii="Century Gothic" w:hAnsi="Century Gothic"/>
          <w:sz w:val="24"/>
          <w:szCs w:val="24"/>
          <w:rtl w:val="0"/>
          <w:lang w:val="it-IT"/>
        </w:rPr>
        <w:t xml:space="preserve"> del 2024</w:t>
      </w:r>
    </w:p>
    <w:p>
      <w:pPr>
        <w:pStyle w:val="Cuerpo"/>
        <w:jc w:val="center"/>
        <w:rPr>
          <w:rStyle w:val="Ninguno"/>
          <w:rFonts w:ascii="Century Gothic" w:cs="Century Gothic" w:hAnsi="Century Gothic" w:eastAsia="Century Gothic"/>
          <w:b w:val="1"/>
          <w:bCs w:val="1"/>
          <w:sz w:val="24"/>
          <w:szCs w:val="24"/>
        </w:rPr>
      </w:pP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hAnsi="Century Gothic"/>
          <w:b w:val="1"/>
          <w:bCs w:val="1"/>
          <w:sz w:val="24"/>
          <w:szCs w:val="24"/>
          <w:rtl w:val="0"/>
          <w:lang w:val="es-ES_tradnl"/>
        </w:rPr>
        <w:t>Con un recorrido tur</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stico y gastron</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mico en El Encano, la 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dio apertura al II encuentro de Ibercocinas</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En el resguardo ind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gena del corregimiento de El Encano se dio apertura al II encuentro de Ibercocinas en donde representantes de M</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xico, Argentina, Per</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 Ecuador y Colombia se reunieron para hablar de la cocina tradicional y el potencial gastron</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mico de Pasto.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la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Cultura, fueron los embajadores de este encuentro que ir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hasta el 20 de septiembre.</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"Este evento ser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importante porque desde Pasto es donde se confluyen la diversidad de saberes, historias y sabores de las cocinas tradicionales. Estamos en El Encano en donde quisimos dar apertura de este evento porque buscamos que Pasto sea el sitio donde la biodiversidad confluya. Tendremos conversatorios, talleres, charlas, demostraciones en vivo y habr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un ambiente para promover y salvaguardar las cocinas tradicionales", dijo la secretaria de Cultura, Mar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Mercedes Figueroa.</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la funcionaria del Ministerio de Cultura, Ruth Fl</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rez, coment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la realizaci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Ibercocinas en Pasto es importante porque la ciudad tiene una biodiversidad en alimentaci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Adicionalmente, la funcionaria 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adi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es importante resaltar la cocina tradicional porque se visibiliza al campo y la cultura local.</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"Pasto tiene una variedad de productos y cuando hay variedad se pueden hacer muchas cosas. Nos sentimos hermanados con todo Am</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rica con este evento.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all</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de las fronteras pol</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ticas compartimos muchos productos y t</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cnicas",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cocinera argentina Ana Ponce.</w:t>
      </w:r>
    </w:p>
    <w:p>
      <w:pPr>
        <w:pStyle w:val="Cuerpo"/>
        <w:jc w:val="both"/>
      </w:pPr>
      <w:r>
        <w:rPr>
          <w:rStyle w:val="Ninguno"/>
          <w:rFonts w:ascii="Century Gothic" w:hAnsi="Century Gothic"/>
          <w:sz w:val="24"/>
          <w:szCs w:val="24"/>
          <w:rtl w:val="0"/>
          <w:lang w:val="es-ES_tradnl"/>
        </w:rPr>
        <w:t>Finalmente, el II encuentro de Ibercocinas ir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hasta el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ximo 20 de septiembre y la mayor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sus encuentros e intervenciones gastron</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micas se realizar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en la Casona de Taminango con la entrada gratuita para propios y turistas.</w:t>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