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349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349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8 de noviembre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y vendedores de bebidas artesanales establecieron acuerdos para garantizar el orden en sectores p</w:t>
      </w:r>
      <w:r>
        <w:rPr>
          <w:b w:val="1"/>
          <w:bCs w:val="1"/>
          <w:rtl w:val="0"/>
          <w:lang w:val="es-ES_tradnl"/>
        </w:rPr>
        <w:t>ú</w:t>
      </w:r>
      <w:r>
        <w:rPr>
          <w:b w:val="1"/>
          <w:bCs w:val="1"/>
          <w:rtl w:val="0"/>
          <w:lang w:val="es-ES_tradnl"/>
        </w:rPr>
        <w:t xml:space="preserve">blicos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Con el 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nimo de garantizar el orden y seguridad en sectores como Rumipamba, Santiago y Parque Infantil, el alcalde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y su gabinete se reuni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con vendedores de bebidas artesanales para establecer acuerdos respecto al horario 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mite de venta de estos productos y la reducci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total de ruido en favor del bienestar de las comunidades residentes en estos sectores.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Entre los compromisos adquiridos por dichos comerciantes se destaca el horario de las 11:00 am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tiempo 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mite para vender bebidas artesanales en sectores como Rumipamba, Santiago y Parque Infantil. De igual manera, los vendedores se comprometieron a no utilizar parlantes ni equipos de sonido que generen ruido y malestar entre los habitantes de estas zonas.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"Nos reunimos con vendedores de bebidas artesanales para hablar sobre un programa de reconversi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laboral y las normas de convivencia. Intensificaremos los operativos de control con la institucionalidad y Polic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Nacional para que se respeto los decretos como el no parque de veh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culos en estos sectores. Estos comerciantes se comprometieron a brindar apoyo a los operativos de control", dijo 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la secretaria de la Unidad General de Trabajadores Independientes y de la Econom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Informal, Nancy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rdoba, destac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buena voluntad de la institucionalidad y los vendedores de bebidas artesanales para llegar acuerdos que beneficien el comercio local y la seguridad y bienestar de las personas residentes en estos sectores.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"A pesar de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hay inconformismos de algunos sectores, debemos acostumbrarnos a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hay reglas y horarios que cumplir. Es prudente que hasta las 11:00 pm trabajemos y dejemos descansar a la comunidad. Contamos con la buena voluntad de trabajar este fin de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con las disposiciones establecidas con el alcalde",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secretaria Nancy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rdoba.</w:t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