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354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12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Municipal, Gobernaci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Nari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o y C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mara de Comercio anunciaron la construcci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un centro de convenciones en Pasto y la ejecuci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obras de infraestructura vial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las instalaciones de la Gobernaci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se llev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cabo una reuni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Toro, funcionarios de la 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mara de Comercio y representantes 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Departamental para firmar un memorando de entendimiento que garantice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un centro de convenciones en Pasto.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mismo, durante el encuentro se planificaron diferentes procesos alrededor del Plan de Alimentaci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Escolar, mejoramiento de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en zonas rurales y la culminaci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proyecto de la carrera 27 que conectar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con la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perimetral.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Construcci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centro de convenciones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expres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su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centro de convenciones ya que esto permitir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la reactivaci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mica del municipio. Ante ello, el mandatario municipal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en los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ximos 6 meses se entregar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la estructura del proyecto el cual ya cuenta con recursos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para su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Recursos econ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micos para el Plan de Alimentaci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Escolar 2025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gobernador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Luis Alfonso Escobar,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que, en conjunto con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Municipal. se garantizar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recursos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para el Plan de Alimentaci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Escolar en su vigencia 2025 para Pasto en un monto aproximado de 27 mil millones de pesos.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Proyectos de mejoramiento vial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"Tenemos un proyecto de infraestructura vial para el mejoramiento de la movilidad en la zona rural de Pasto con un valor de 16 mil millones de pesos para la optimizaci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36 kil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metros de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as. Complementaremos, junto 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el proyecto de la carrera 27 que conectar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a la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perimetral y garantizaremos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la movilidad hacia el aeropuerto Antonio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o",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gobernador Luis Alfonso Escobar.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