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378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378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3 de diciembre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se reuni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funcionarios del Banco de la Rep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blica para financiar la construcci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Palacio de Bellas Artes en Pasto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ciudad de Bogot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sostuvo 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Toro, con funcionarios del Banco de la Republica para gestionar el apoyo de esta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Palacio de Bellas Artes. Durante el encuentro estuvo presente la secretaria de Cultura,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Mercedes Figueroa; la secretaria de Hacienda, Rosa Sotelo; la secretaria de Educaci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n, Piedad Figueroa; y el concejal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lvaro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Gomezjurado.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el proyecto de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Palacio de Bellas Artes, las autoridades del municipio expusieron posibles estrategias para el uso de inmuebles de esta entidad para hacer realidad este proyecto. Ante ello, 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se espera una respuesta positiva por parte del Banco de la Republica a las propuestas planteadas por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Toro y su equipo de gobierno.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"Tenemos un balance positivo en las gestiones realizadas para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Palacio de Bellas Artes. Queremos fortalecer esa mirada que tiene el mundo entero a Pasto. Estamos viendo la posibilidad en el uso de inmuebles y espacios del Banco de la Rep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para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Palacio de Bellas Artes", dijo la secretaria de Cultura,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Mercedes Figueroa.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Por su parte, la subgerente Cultural del Banco de la Republica,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rez,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visita de los funcionarios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ya 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unas propuestas claras para consolidar una alianza entre el Banco de la Republica y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Municipal. De igual manera, la funcionaria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estudiar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las propuestas planteadas por el alcalde.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"Tuvimos una recepci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interesante por parte del Banco de la Republica. Aspiramos tener una respuesta definitiva y favorable para la construcci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este palacio",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concejal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lvaro Jos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Gomezjurado.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