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2.xml" ContentType="application/vnd.openxmlformats-officedocument.themeOverride+xml"/>
  <Override PartName="/word/charts/chart1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entury Gothic" w:hAnsi="Century Gothic"/>
          <w:highlight w:val="yellow"/>
          <w:lang w:val="es-ES"/>
        </w:rPr>
        <w:id w:val="198601390"/>
        <w:docPartObj>
          <w:docPartGallery w:val="Cover Pages"/>
          <w:docPartUnique/>
        </w:docPartObj>
      </w:sdtPr>
      <w:sdtEndPr>
        <w:rPr>
          <w:b/>
          <w:color w:val="FFFFFF" w:themeColor="background1"/>
          <w:sz w:val="60"/>
          <w:szCs w:val="60"/>
        </w:rPr>
      </w:sdtEndPr>
      <w:sdtContent>
        <w:p w14:paraId="4438F964" w14:textId="77777777" w:rsidR="001174F6" w:rsidRPr="001E2110" w:rsidRDefault="001174F6">
          <w:pPr>
            <w:rPr>
              <w:rFonts w:ascii="Century Gothic" w:hAnsi="Century Gothic"/>
              <w:highlight w:val="yellow"/>
              <w:lang w:val="es-ES"/>
            </w:rPr>
          </w:pPr>
          <w:r w:rsidRPr="001E2110">
            <w:rPr>
              <w:rFonts w:ascii="Century Gothic" w:hAnsi="Century Gothic"/>
              <w:noProof/>
              <w:highlight w:val="yellow"/>
              <w:lang w:val="es-ES" w:eastAsia="es-ES"/>
            </w:rPr>
            <w:drawing>
              <wp:anchor distT="0" distB="0" distL="114300" distR="114300" simplePos="0" relativeHeight="251663872" behindDoc="0" locked="0" layoutInCell="1" allowOverlap="1" wp14:anchorId="11139BF1" wp14:editId="385213D0">
                <wp:simplePos x="0" y="0"/>
                <wp:positionH relativeFrom="column">
                  <wp:posOffset>7620</wp:posOffset>
                </wp:positionH>
                <wp:positionV relativeFrom="paragraph">
                  <wp:posOffset>261511</wp:posOffset>
                </wp:positionV>
                <wp:extent cx="5596758" cy="2324397"/>
                <wp:effectExtent l="0" t="0" r="0" b="0"/>
                <wp:wrapNone/>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6758" cy="2324397"/>
                        </a:xfrm>
                        <a:prstGeom prst="rect">
                          <a:avLst/>
                        </a:prstGeom>
                      </pic:spPr>
                    </pic:pic>
                  </a:graphicData>
                </a:graphic>
                <wp14:sizeRelH relativeFrom="margin">
                  <wp14:pctWidth>0</wp14:pctWidth>
                </wp14:sizeRelH>
                <wp14:sizeRelV relativeFrom="margin">
                  <wp14:pctHeight>0</wp14:pctHeight>
                </wp14:sizeRelV>
              </wp:anchor>
            </w:drawing>
          </w:r>
        </w:p>
        <w:p w14:paraId="58C45A74" w14:textId="77777777" w:rsidR="001174F6" w:rsidRPr="001E2110" w:rsidRDefault="00880E74">
          <w:pPr>
            <w:rPr>
              <w:rFonts w:ascii="Century Gothic" w:hAnsi="Century Gothic"/>
              <w:bCs/>
              <w:color w:val="FFFFFF" w:themeColor="background1"/>
              <w:sz w:val="60"/>
              <w:szCs w:val="60"/>
              <w:highlight w:val="yellow"/>
              <w:lang w:val="es-ES"/>
            </w:rPr>
          </w:pPr>
          <w:r w:rsidRPr="001E2110">
            <w:rPr>
              <w:rFonts w:ascii="Century Gothic" w:hAnsi="Century Gothic"/>
              <w:noProof/>
              <w:highlight w:val="yellow"/>
              <w:lang w:val="es-ES" w:eastAsia="es-ES"/>
            </w:rPr>
            <mc:AlternateContent>
              <mc:Choice Requires="wps">
                <w:drawing>
                  <wp:anchor distT="0" distB="0" distL="114300" distR="114300" simplePos="0" relativeHeight="251694592" behindDoc="0" locked="0" layoutInCell="1" allowOverlap="1" wp14:anchorId="3FCEF34C" wp14:editId="01587132">
                    <wp:simplePos x="0" y="0"/>
                    <wp:positionH relativeFrom="page">
                      <wp:posOffset>646981</wp:posOffset>
                    </wp:positionH>
                    <wp:positionV relativeFrom="margin">
                      <wp:align>bottom</wp:align>
                    </wp:positionV>
                    <wp:extent cx="6476365" cy="139700"/>
                    <wp:effectExtent l="0" t="0" r="0" b="5715"/>
                    <wp:wrapSquare wrapText="bothSides"/>
                    <wp:docPr id="25" name="Cuadro de texto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365" cy="13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CD7D3" w14:textId="77777777" w:rsidR="008954F2" w:rsidRPr="003B52CB" w:rsidRDefault="008954F2">
                                <w:pPr>
                                  <w:pStyle w:val="Sinespaciado"/>
                                  <w:rPr>
                                    <w:rFonts w:ascii="Century Gothic" w:hAnsi="Century Gothic"/>
                                    <w:szCs w:val="18"/>
                                  </w:rPr>
                                </w:pPr>
                                <w:sdt>
                                  <w:sdtPr>
                                    <w:rPr>
                                      <w:rFonts w:ascii="Century Gothic" w:hAnsi="Century Gothic"/>
                                      <w:caps/>
                                      <w:szCs w:val="18"/>
                                    </w:rPr>
                                    <w:alias w:val="Compañía"/>
                                    <w:tag w:val=""/>
                                    <w:id w:val="-1880927279"/>
                                    <w:dataBinding w:prefixMappings="xmlns:ns0='http://schemas.openxmlformats.org/officeDocument/2006/extended-properties' " w:xpath="/ns0:Properties[1]/ns0:Company[1]" w:storeItemID="{6668398D-A668-4E3E-A5EB-62B293D839F1}"/>
                                    <w:text/>
                                  </w:sdtPr>
                                  <w:sdtContent>
                                    <w:r w:rsidRPr="003B52CB">
                                      <w:rPr>
                                        <w:rFonts w:ascii="Century Gothic" w:hAnsi="Century Gothic"/>
                                        <w:szCs w:val="18"/>
                                      </w:rPr>
                                      <w:t>Septiembre</w:t>
                                    </w:r>
                                  </w:sdtContent>
                                </w:sdt>
                                <w:r w:rsidRPr="003B52CB">
                                  <w:rPr>
                                    <w:rFonts w:ascii="Century Gothic" w:hAnsi="Century Gothic"/>
                                    <w:caps/>
                                    <w:szCs w:val="18"/>
                                    <w:lang w:val="es-ES"/>
                                  </w:rPr>
                                  <w:t> </w:t>
                                </w:r>
                                <w:r w:rsidRPr="003B52CB">
                                  <w:rPr>
                                    <w:rFonts w:ascii="Century Gothic" w:hAnsi="Century Gothic"/>
                                    <w:szCs w:val="18"/>
                                    <w:lang w:val="es-ES"/>
                                  </w:rPr>
                                  <w:t>| </w:t>
                                </w:r>
                                <w:sdt>
                                  <w:sdtPr>
                                    <w:rPr>
                                      <w:rFonts w:ascii="Century Gothic" w:hAnsi="Century Gothic"/>
                                      <w:szCs w:val="18"/>
                                    </w:rPr>
                                    <w:alias w:val="Dirección"/>
                                    <w:tag w:val=""/>
                                    <w:id w:val="-1023088507"/>
                                    <w:dataBinding w:prefixMappings="xmlns:ns0='http://schemas.microsoft.com/office/2006/coverPageProps' " w:xpath="/ns0:CoverPageProperties[1]/ns0:CompanyAddress[1]" w:storeItemID="{55AF091B-3C7A-41E3-B477-F2FDAA23CFDA}"/>
                                    <w:text/>
                                  </w:sdtPr>
                                  <w:sdtContent>
                                    <w:r w:rsidRPr="003B52CB">
                                      <w:rPr>
                                        <w:rFonts w:ascii="Century Gothic" w:hAnsi="Century Gothic"/>
                                        <w:szCs w:val="18"/>
                                      </w:rPr>
                                      <w:t>2018</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28" o:spid="_x0000_s1026" type="#_x0000_t202" style="position:absolute;margin-left:50.95pt;margin-top:0;width:509.95pt;height:11pt;z-index:251694592;visibility:visible;mso-wrap-style:square;mso-width-percent:1154;mso-height-percent:0;mso-wrap-distance-left:9pt;mso-wrap-distance-top:0;mso-wrap-distance-right:9pt;mso-wrap-distance-bottom:0;mso-position-horizontal:absolute;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" filled="f" stroked="f" strokeweight=".5pt">
                    <v:path arrowok="t"/>
                    <v:textbox style="mso-fit-shape-to-text:t" inset="1in,0,86.4pt,0">
                      <w:txbxContent>
                        <w:p w14:paraId="2C8CD7D3" w14:textId="77777777" w:rsidR="008954F2" w:rsidRPr="003B52CB" w:rsidRDefault="008954F2">
                          <w:pPr>
                            <w:pStyle w:val="Sinespaciado"/>
                            <w:rPr>
                              <w:rFonts w:ascii="Century Gothic" w:hAnsi="Century Gothic"/>
                              <w:szCs w:val="18"/>
                            </w:rPr>
                          </w:pPr>
                          <w:sdt>
                            <w:sdtPr>
                              <w:rPr>
                                <w:rFonts w:ascii="Century Gothic" w:hAnsi="Century Gothic"/>
                                <w:caps/>
                                <w:szCs w:val="18"/>
                              </w:rPr>
                              <w:alias w:val="Compañía"/>
                              <w:tag w:val=""/>
                              <w:id w:val="-1880927279"/>
                              <w:dataBinding w:prefixMappings="xmlns:ns0='http://schemas.openxmlformats.org/officeDocument/2006/extended-properties' " w:xpath="/ns0:Properties[1]/ns0:Company[1]" w:storeItemID="{6668398D-A668-4E3E-A5EB-62B293D839F1}"/>
                              <w:text/>
                            </w:sdtPr>
                            <w:sdtContent>
                              <w:r w:rsidRPr="003B52CB">
                                <w:rPr>
                                  <w:rFonts w:ascii="Century Gothic" w:hAnsi="Century Gothic"/>
                                  <w:szCs w:val="18"/>
                                </w:rPr>
                                <w:t>Septiembre</w:t>
                              </w:r>
                            </w:sdtContent>
                          </w:sdt>
                          <w:r w:rsidRPr="003B52CB">
                            <w:rPr>
                              <w:rFonts w:ascii="Century Gothic" w:hAnsi="Century Gothic"/>
                              <w:caps/>
                              <w:szCs w:val="18"/>
                              <w:lang w:val="es-ES"/>
                            </w:rPr>
                            <w:t> </w:t>
                          </w:r>
                          <w:r w:rsidRPr="003B52CB">
                            <w:rPr>
                              <w:rFonts w:ascii="Century Gothic" w:hAnsi="Century Gothic"/>
                              <w:szCs w:val="18"/>
                              <w:lang w:val="es-ES"/>
                            </w:rPr>
                            <w:t>| </w:t>
                          </w:r>
                          <w:sdt>
                            <w:sdtPr>
                              <w:rPr>
                                <w:rFonts w:ascii="Century Gothic" w:hAnsi="Century Gothic"/>
                                <w:szCs w:val="18"/>
                              </w:rPr>
                              <w:alias w:val="Dirección"/>
                              <w:tag w:val=""/>
                              <w:id w:val="-1023088507"/>
                              <w:dataBinding w:prefixMappings="xmlns:ns0='http://schemas.microsoft.com/office/2006/coverPageProps' " w:xpath="/ns0:CoverPageProperties[1]/ns0:CompanyAddress[1]" w:storeItemID="{55AF091B-3C7A-41E3-B477-F2FDAA23CFDA}"/>
                              <w:text/>
                            </w:sdtPr>
                            <w:sdtContent>
                              <w:r w:rsidRPr="003B52CB">
                                <w:rPr>
                                  <w:rFonts w:ascii="Century Gothic" w:hAnsi="Century Gothic"/>
                                  <w:szCs w:val="18"/>
                                </w:rPr>
                                <w:t>2018</w:t>
                              </w:r>
                            </w:sdtContent>
                          </w:sdt>
                        </w:p>
                      </w:txbxContent>
                    </v:textbox>
                    <w10:wrap type="square" anchorx="page" anchory="margin"/>
                  </v:shape>
                </w:pict>
              </mc:Fallback>
            </mc:AlternateContent>
          </w:r>
          <w:r w:rsidR="001174F6" w:rsidRPr="001E2110">
            <w:rPr>
              <w:rFonts w:ascii="Century Gothic" w:hAnsi="Century Gothic"/>
              <w:noProof/>
              <w:highlight w:val="yellow"/>
              <w:lang w:val="es-ES" w:eastAsia="es-ES"/>
            </w:rPr>
            <mc:AlternateContent>
              <mc:Choice Requires="wpg">
                <w:drawing>
                  <wp:anchor distT="0" distB="0" distL="114300" distR="114300" simplePos="0" relativeHeight="251691520" behindDoc="1" locked="0" layoutInCell="1" allowOverlap="1" wp14:anchorId="38FB42B0" wp14:editId="1A3A244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476365" cy="6730365"/>
                    <wp:effectExtent l="0" t="0" r="0" b="0"/>
                    <wp:wrapNone/>
                    <wp:docPr id="28"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76365" cy="6730365"/>
                              <a:chOff x="0" y="0"/>
                              <a:chExt cx="5561330" cy="5404485"/>
                            </a:xfrm>
                          </wpg:grpSpPr>
                          <wps:wsp>
                            <wps:cNvPr id="29"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2449BFF" w14:textId="4799C039" w:rsidR="008954F2" w:rsidRPr="001174F6" w:rsidRDefault="008954F2" w:rsidP="001174F6">
                                  <w:pPr>
                                    <w:jc w:val="center"/>
                                    <w:rPr>
                                      <w:rFonts w:ascii="Century Gothic" w:hAnsi="Century Gothic"/>
                                      <w:b/>
                                      <w:color w:val="FFFFFF" w:themeColor="background1"/>
                                      <w:sz w:val="72"/>
                                      <w:szCs w:val="72"/>
                                    </w:rPr>
                                  </w:pPr>
                                  <w:sdt>
                                    <w:sdtPr>
                                      <w:rPr>
                                        <w:rFonts w:ascii="Century Gothic" w:hAnsi="Century Gothic"/>
                                        <w:b/>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Content>
                                      <w:r>
                                        <w:rPr>
                                          <w:rFonts w:ascii="Century Gothic" w:hAnsi="Century Gothic"/>
                                          <w:b/>
                                          <w:color w:val="FFFFFF" w:themeColor="background1"/>
                                          <w:sz w:val="72"/>
                                          <w:szCs w:val="72"/>
                                        </w:rPr>
                                        <w:t>M</w:t>
                                      </w:r>
                                      <w:r w:rsidRPr="001174F6">
                                        <w:rPr>
                                          <w:rFonts w:ascii="Century Gothic" w:hAnsi="Century Gothic"/>
                                          <w:b/>
                                          <w:color w:val="FFFFFF" w:themeColor="background1"/>
                                          <w:sz w:val="72"/>
                                          <w:szCs w:val="72"/>
                                        </w:rPr>
                                        <w:t>arco Fiscal de Mediano Plazo          2019</w:t>
                                      </w:r>
                                    </w:sdtContent>
                                  </w:sdt>
                                </w:p>
                              </w:txbxContent>
                            </wps:txbx>
                            <wps:bodyPr rot="0" vert="horz" wrap="square" lIns="914400" tIns="1097280" rIns="1097280" bIns="1097280" anchor="b" anchorCtr="0" upright="1">
                              <a:noAutofit/>
                            </wps:bodyPr>
                          </wps:wsp>
                          <wps:wsp>
                            <wps:cNvPr id="35"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id="Grupo 125" o:spid="_x0000_s1027" style="position:absolute;margin-left:0;margin-top:0;width:509.95pt;height:529.95pt;z-index:-25162496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">
                    <o:lock v:ext="edit" aspectratio="t"/>
                    <v:shape id="Forma libre 10" o:spid="_x0000_s1028"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adsQA&#10;AADbAAAADwAAAGRycy9kb3ducmV2LnhtbESPW2vCQBSE34X+h+UU+iK68YJo6ioitFjfvCA+HrLH&#10;JDR7TsiuJv333ULBx2FmvmGW685V6kGNL4UNjIYJKOJMbMm5gfPpYzAH5QOyxUqYDPyQh/XqpbfE&#10;1ErLB3ocQ64ihH2KBooQ6lRrnxXk0A+lJo7eTRqHIcom17bBNsJdpcdJMtMOS44LBda0LSj7Pt6d&#10;gcXXPJHbFe+byb6fHT4v03MrYszba7d5BxWoC8/wf3tnDYwX8Pcl/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zGnbEAAAA2wAAAA8AAAAAAAAAAAAAAAAAmAIAAGRycy9k&#10;b3ducmV2LnhtbFBLBQYAAAAABAAEAPUAAACJAw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inset="1in,86.4pt,86.4pt,86.4pt">
                        <w:txbxContent>
                          <w:p w14:paraId="72449BFF" w14:textId="4799C039" w:rsidR="008954F2" w:rsidRPr="001174F6" w:rsidRDefault="008954F2" w:rsidP="001174F6">
                            <w:pPr>
                              <w:jc w:val="center"/>
                              <w:rPr>
                                <w:rFonts w:ascii="Century Gothic" w:hAnsi="Century Gothic"/>
                                <w:b/>
                                <w:color w:val="FFFFFF" w:themeColor="background1"/>
                                <w:sz w:val="72"/>
                                <w:szCs w:val="72"/>
                              </w:rPr>
                            </w:pPr>
                            <w:sdt>
                              <w:sdtPr>
                                <w:rPr>
                                  <w:rFonts w:ascii="Century Gothic" w:hAnsi="Century Gothic"/>
                                  <w:b/>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Content>
                                <w:r>
                                  <w:rPr>
                                    <w:rFonts w:ascii="Century Gothic" w:hAnsi="Century Gothic"/>
                                    <w:b/>
                                    <w:color w:val="FFFFFF" w:themeColor="background1"/>
                                    <w:sz w:val="72"/>
                                    <w:szCs w:val="72"/>
                                  </w:rPr>
                                  <w:t>M</w:t>
                                </w:r>
                                <w:r w:rsidRPr="001174F6">
                                  <w:rPr>
                                    <w:rFonts w:ascii="Century Gothic" w:hAnsi="Century Gothic"/>
                                    <w:b/>
                                    <w:color w:val="FFFFFF" w:themeColor="background1"/>
                                    <w:sz w:val="72"/>
                                    <w:szCs w:val="72"/>
                                  </w:rPr>
                                  <w:t>arco Fiscal de Mediano Plazo          2019</w:t>
                                </w:r>
                              </w:sdtContent>
                            </w:sdt>
                          </w:p>
                        </w:txbxContent>
                      </v:textbox>
                    </v:shape>
                    <v:shape id="Forma libre 11" o:spid="_x0000_s1029"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A/8QA&#10;AADbAAAADwAAAGRycy9kb3ducmV2LnhtbESPQWvCQBSE7wX/w/IEb3UTpUWiq4ggeBCpaSzk9sg+&#10;k2D2bciuMf33XUHocZiZb5jVZjCN6KlztWUF8TQCQVxYXXOpIPvevy9AOI+ssbFMCn7JwWY9elth&#10;ou2Dz9SnvhQBwi5BBZX3bSKlKyoy6Ka2JQ7e1XYGfZBdKXWHjwA3jZxF0ac0WHNYqLClXUXFLb0b&#10;BdtF/nM/UnvJ+6/8dDqnlyzOYqUm42G7BOFp8P/hV/ugFcw/4Pk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QAP/EAAAA2wAAAA8AAAAAAAAAAAAAAAAAmAIAAGRycy9k&#10;b3ducmV2LnhtbFBLBQYAAAAABAAEAPUAAACJAw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1174F6" w:rsidRPr="001E2110">
            <w:rPr>
              <w:rFonts w:ascii="Century Gothic" w:hAnsi="Century Gothic"/>
              <w:noProof/>
              <w:highlight w:val="yellow"/>
              <w:lang w:val="es-ES" w:eastAsia="es-ES"/>
            </w:rPr>
            <mc:AlternateContent>
              <mc:Choice Requires="wps">
                <w:drawing>
                  <wp:anchor distT="0" distB="0" distL="114300" distR="114300" simplePos="0" relativeHeight="251693568" behindDoc="0" locked="0" layoutInCell="1" allowOverlap="1" wp14:anchorId="438E3133" wp14:editId="41024BF7">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6476365" cy="699135"/>
                    <wp:effectExtent l="0" t="0" r="0" b="0"/>
                    <wp:wrapSquare wrapText="bothSides"/>
                    <wp:docPr id="24" name="Cuadro de tex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365" cy="699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entury Gothic" w:hAnsi="Century Gothic"/>
                                    <w:caps/>
                                    <w:sz w:val="24"/>
                                    <w:szCs w:val="24"/>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14:paraId="15F0CAB5" w14:textId="77777777" w:rsidR="008954F2" w:rsidRPr="003B52CB" w:rsidRDefault="008954F2">
                                    <w:pPr>
                                      <w:pStyle w:val="Sinespaciado"/>
                                      <w:spacing w:before="40" w:after="40"/>
                                      <w:rPr>
                                        <w:rFonts w:ascii="Century Gothic" w:hAnsi="Century Gothic"/>
                                        <w:caps/>
                                        <w:sz w:val="24"/>
                                        <w:szCs w:val="24"/>
                                      </w:rPr>
                                    </w:pPr>
                                    <w:r w:rsidRPr="003B52CB">
                                      <w:rPr>
                                        <w:rFonts w:ascii="Century Gothic" w:hAnsi="Century Gothic"/>
                                        <w:sz w:val="24"/>
                                        <w:szCs w:val="24"/>
                                      </w:rPr>
                                      <w:t>Alcaldía de Pasto</w:t>
                                    </w:r>
                                  </w:p>
                                </w:sdtContent>
                              </w:sdt>
                              <w:sdt>
                                <w:sdtPr>
                                  <w:rPr>
                                    <w:rFonts w:ascii="Century Gothic" w:hAnsi="Century Gothic"/>
                                    <w:caps/>
                                    <w:sz w:val="24"/>
                                    <w:szCs w:val="24"/>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519D3202" w14:textId="50A75DD2" w:rsidR="008954F2" w:rsidRPr="001174F6" w:rsidRDefault="008954F2">
                                    <w:pPr>
                                      <w:pStyle w:val="Sinespaciado"/>
                                      <w:spacing w:before="40" w:after="40"/>
                                      <w:rPr>
                                        <w:rFonts w:ascii="Century Gothic" w:hAnsi="Century Gothic"/>
                                        <w:caps/>
                                        <w:color w:val="4BACC6" w:themeColor="accent5"/>
                                        <w:sz w:val="26"/>
                                        <w:szCs w:val="26"/>
                                      </w:rPr>
                                    </w:pPr>
                                    <w:r w:rsidRPr="003B52CB">
                                      <w:rPr>
                                        <w:rFonts w:ascii="Century Gothic" w:hAnsi="Century Gothic"/>
                                        <w:sz w:val="24"/>
                                        <w:szCs w:val="24"/>
                                      </w:rPr>
                                      <w:t>Secretaría de Hacienda y Tesorería                                                                                      Oficina de Planeación de Gestión Institucional</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id="Cuadro de texto 129" o:spid="_x0000_s1030" type="#_x0000_t202" style="position:absolute;margin-left:0;margin-top:0;width:509.95pt;height:55.05pt;z-index:25169356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" filled="f" stroked="f" strokeweight=".5pt">
                    <v:path arrowok="t"/>
                    <v:textbox style="mso-fit-shape-to-text:t" inset="1in,0,86.4pt,0">
                      <w:txbxContent>
                        <w:sdt>
                          <w:sdtPr>
                            <w:rPr>
                              <w:rFonts w:ascii="Century Gothic" w:hAnsi="Century Gothic"/>
                              <w:caps/>
                              <w:sz w:val="24"/>
                              <w:szCs w:val="24"/>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14:paraId="15F0CAB5" w14:textId="77777777" w:rsidR="008954F2" w:rsidRPr="003B52CB" w:rsidRDefault="008954F2">
                              <w:pPr>
                                <w:pStyle w:val="Sinespaciado"/>
                                <w:spacing w:before="40" w:after="40"/>
                                <w:rPr>
                                  <w:rFonts w:ascii="Century Gothic" w:hAnsi="Century Gothic"/>
                                  <w:caps/>
                                  <w:sz w:val="24"/>
                                  <w:szCs w:val="24"/>
                                </w:rPr>
                              </w:pPr>
                              <w:r w:rsidRPr="003B52CB">
                                <w:rPr>
                                  <w:rFonts w:ascii="Century Gothic" w:hAnsi="Century Gothic"/>
                                  <w:sz w:val="24"/>
                                  <w:szCs w:val="24"/>
                                </w:rPr>
                                <w:t>Alcaldía de Pasto</w:t>
                              </w:r>
                            </w:p>
                          </w:sdtContent>
                        </w:sdt>
                        <w:sdt>
                          <w:sdtPr>
                            <w:rPr>
                              <w:rFonts w:ascii="Century Gothic" w:hAnsi="Century Gothic"/>
                              <w:caps/>
                              <w:sz w:val="24"/>
                              <w:szCs w:val="24"/>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519D3202" w14:textId="50A75DD2" w:rsidR="008954F2" w:rsidRPr="001174F6" w:rsidRDefault="008954F2">
                              <w:pPr>
                                <w:pStyle w:val="Sinespaciado"/>
                                <w:spacing w:before="40" w:after="40"/>
                                <w:rPr>
                                  <w:rFonts w:ascii="Century Gothic" w:hAnsi="Century Gothic"/>
                                  <w:caps/>
                                  <w:color w:val="4BACC6" w:themeColor="accent5"/>
                                  <w:sz w:val="26"/>
                                  <w:szCs w:val="26"/>
                                </w:rPr>
                              </w:pPr>
                              <w:r w:rsidRPr="003B52CB">
                                <w:rPr>
                                  <w:rFonts w:ascii="Century Gothic" w:hAnsi="Century Gothic"/>
                                  <w:sz w:val="24"/>
                                  <w:szCs w:val="24"/>
                                </w:rPr>
                                <w:t>Secretaría de Hacienda y Tesorería                                                                                      Oficina de Planeación de Gestión Institucional</w:t>
                              </w:r>
                            </w:p>
                          </w:sdtContent>
                        </w:sdt>
                      </w:txbxContent>
                    </v:textbox>
                    <w10:wrap type="square" anchorx="page" anchory="page"/>
                  </v:shape>
                </w:pict>
              </mc:Fallback>
            </mc:AlternateContent>
          </w:r>
          <w:r w:rsidR="001174F6" w:rsidRPr="001E2110">
            <w:rPr>
              <w:rFonts w:ascii="Century Gothic" w:hAnsi="Century Gothic"/>
              <w:noProof/>
              <w:highlight w:val="yellow"/>
              <w:lang w:val="es-ES" w:eastAsia="es-ES"/>
            </w:rPr>
            <mc:AlternateContent>
              <mc:Choice Requires="wps">
                <w:drawing>
                  <wp:anchor distT="0" distB="0" distL="114300" distR="114300" simplePos="0" relativeHeight="251692544" behindDoc="0" locked="0" layoutInCell="1" allowOverlap="1" wp14:anchorId="102925CA" wp14:editId="159B6ECF">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0550" cy="982345"/>
                    <wp:effectExtent l="0" t="0" r="0" b="0"/>
                    <wp:wrapNone/>
                    <wp:docPr id="23"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0550" cy="9823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548DD4" w:themeColor="text2" w:themeTint="99"/>
                                    <w:sz w:val="2"/>
                                    <w:szCs w:val="2"/>
                                  </w:rPr>
                                  <w:alias w:val="Año"/>
                                  <w:tag w:val=""/>
                                  <w:id w:val="1595126926"/>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52C11DE6" w14:textId="77777777" w:rsidR="008954F2" w:rsidRPr="001174F6" w:rsidRDefault="008954F2">
                                    <w:pPr>
                                      <w:pStyle w:val="Sinespaciado"/>
                                      <w:jc w:val="right"/>
                                      <w:rPr>
                                        <w:color w:val="548DD4" w:themeColor="text2" w:themeTint="99"/>
                                        <w:sz w:val="2"/>
                                        <w:szCs w:val="2"/>
                                      </w:rPr>
                                    </w:pPr>
                                    <w:r w:rsidRPr="001174F6">
                                      <w:rPr>
                                        <w:color w:val="548DD4" w:themeColor="text2" w:themeTint="99"/>
                                        <w:sz w:val="2"/>
                                        <w:szCs w:val="2"/>
                                      </w:rPr>
                                      <w:t>.</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ángulo 130" o:spid="_x0000_s1031" style="position:absolute;margin-left:-4.7pt;margin-top:0;width:46.5pt;height:77.35pt;z-index:25169254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" fillcolor="#4f81bd [3204]" stroked="f" strokeweight="2pt">
                    <v:path arrowok="t"/>
                    <o:lock v:ext="edit" aspectratio="t"/>
                    <v:textbox inset="3.6pt,,3.6pt">
                      <w:txbxContent>
                        <w:sdt>
                          <w:sdtPr>
                            <w:rPr>
                              <w:color w:val="548DD4" w:themeColor="text2" w:themeTint="99"/>
                              <w:sz w:val="2"/>
                              <w:szCs w:val="2"/>
                            </w:rPr>
                            <w:alias w:val="Año"/>
                            <w:tag w:val=""/>
                            <w:id w:val="1595126926"/>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52C11DE6" w14:textId="77777777" w:rsidR="008954F2" w:rsidRPr="001174F6" w:rsidRDefault="008954F2">
                              <w:pPr>
                                <w:pStyle w:val="Sinespaciado"/>
                                <w:jc w:val="right"/>
                                <w:rPr>
                                  <w:color w:val="548DD4" w:themeColor="text2" w:themeTint="99"/>
                                  <w:sz w:val="2"/>
                                  <w:szCs w:val="2"/>
                                </w:rPr>
                              </w:pPr>
                              <w:r w:rsidRPr="001174F6">
                                <w:rPr>
                                  <w:color w:val="548DD4" w:themeColor="text2" w:themeTint="99"/>
                                  <w:sz w:val="2"/>
                                  <w:szCs w:val="2"/>
                                </w:rPr>
                                <w:t>.</w:t>
                              </w:r>
                            </w:p>
                          </w:sdtContent>
                        </w:sdt>
                      </w:txbxContent>
                    </v:textbox>
                    <w10:wrap anchorx="margin" anchory="page"/>
                  </v:rect>
                </w:pict>
              </mc:Fallback>
            </mc:AlternateContent>
          </w:r>
          <w:r w:rsidR="001174F6" w:rsidRPr="001E2110">
            <w:rPr>
              <w:rFonts w:ascii="Century Gothic" w:eastAsiaTheme="minorHAnsi" w:hAnsi="Century Gothic"/>
              <w:b/>
              <w:color w:val="FFFFFF" w:themeColor="background1"/>
              <w:sz w:val="60"/>
              <w:szCs w:val="60"/>
              <w:highlight w:val="yellow"/>
              <w:lang w:val="es-ES" w:eastAsia="en-US"/>
            </w:rPr>
            <w:br w:type="page"/>
          </w:r>
        </w:p>
      </w:sdtContent>
    </w:sdt>
    <w:sdt>
      <w:sdtPr>
        <w:rPr>
          <w:rFonts w:ascii="Century Gothic" w:eastAsiaTheme="minorHAnsi" w:hAnsi="Century Gothic" w:cstheme="minorBidi"/>
          <w:b w:val="0"/>
          <w:bCs w:val="0"/>
          <w:color w:val="auto"/>
          <w:sz w:val="22"/>
          <w:szCs w:val="22"/>
          <w:highlight w:val="yellow"/>
          <w:lang w:val="es-CO" w:eastAsia="en-US"/>
        </w:rPr>
        <w:id w:val="19756668"/>
        <w:docPartObj>
          <w:docPartGallery w:val="Table of Contents"/>
          <w:docPartUnique/>
        </w:docPartObj>
      </w:sdtPr>
      <w:sdtEndPr>
        <w:rPr>
          <w:rFonts w:eastAsiaTheme="minorEastAsia"/>
          <w:lang w:eastAsia="es-CO"/>
        </w:rPr>
      </w:sdtEndPr>
      <w:sdtContent>
        <w:p w14:paraId="7FCEE7E8" w14:textId="77777777" w:rsidR="00AF2D5C" w:rsidRPr="0079336B" w:rsidRDefault="001174F6" w:rsidP="0079336B">
          <w:pPr>
            <w:pStyle w:val="TtulodeTDC"/>
            <w:spacing w:before="0"/>
            <w:rPr>
              <w:rFonts w:ascii="Century Gothic" w:hAnsi="Century Gothic"/>
              <w:b w:val="0"/>
              <w:color w:val="auto"/>
              <w:sz w:val="22"/>
              <w:szCs w:val="22"/>
            </w:rPr>
          </w:pPr>
          <w:r w:rsidRPr="0079336B">
            <w:rPr>
              <w:rFonts w:ascii="Century Gothic" w:hAnsi="Century Gothic"/>
              <w:b w:val="0"/>
              <w:color w:val="auto"/>
              <w:sz w:val="22"/>
              <w:szCs w:val="22"/>
            </w:rPr>
            <w:t>Contenido</w:t>
          </w:r>
        </w:p>
        <w:p w14:paraId="05FD34E2" w14:textId="77777777" w:rsidR="009931F5" w:rsidRPr="0079336B" w:rsidRDefault="009931F5" w:rsidP="0079336B">
          <w:pPr>
            <w:rPr>
              <w:rFonts w:ascii="Century Gothic" w:hAnsi="Century Gothic"/>
              <w:highlight w:val="yellow"/>
              <w:lang w:val="es-ES" w:eastAsia="es-ES"/>
            </w:rPr>
          </w:pPr>
        </w:p>
        <w:p w14:paraId="40BD4309" w14:textId="77777777" w:rsidR="0079336B" w:rsidRPr="0079336B" w:rsidRDefault="00A83A24" w:rsidP="0079336B">
          <w:pPr>
            <w:pStyle w:val="TDC1"/>
            <w:tabs>
              <w:tab w:val="right" w:leader="dot" w:pos="8828"/>
            </w:tabs>
            <w:spacing w:after="0"/>
            <w:rPr>
              <w:rFonts w:ascii="Century Gothic" w:hAnsi="Century Gothic"/>
              <w:noProof/>
              <w:lang w:val="es-ES" w:eastAsia="es-ES"/>
            </w:rPr>
          </w:pPr>
          <w:r w:rsidRPr="0079336B">
            <w:rPr>
              <w:rFonts w:ascii="Century Gothic" w:hAnsi="Century Gothic"/>
              <w:highlight w:val="yellow"/>
              <w:lang w:val="es-ES"/>
            </w:rPr>
            <w:fldChar w:fldCharType="begin"/>
          </w:r>
          <w:r w:rsidR="00AF2D5C" w:rsidRPr="0079336B">
            <w:rPr>
              <w:rFonts w:ascii="Century Gothic" w:hAnsi="Century Gothic"/>
              <w:highlight w:val="yellow"/>
              <w:lang w:val="es-ES"/>
            </w:rPr>
            <w:instrText xml:space="preserve"> TOC \o "1-3" \h \z \u </w:instrText>
          </w:r>
          <w:r w:rsidRPr="0079336B">
            <w:rPr>
              <w:rFonts w:ascii="Century Gothic" w:hAnsi="Century Gothic"/>
              <w:highlight w:val="yellow"/>
              <w:lang w:val="es-ES"/>
            </w:rPr>
            <w:fldChar w:fldCharType="separate"/>
          </w:r>
          <w:hyperlink w:anchor="_Toc532565915" w:history="1">
            <w:r w:rsidR="0079336B" w:rsidRPr="0079336B">
              <w:rPr>
                <w:rStyle w:val="Hipervnculo"/>
                <w:rFonts w:ascii="Century Gothic" w:hAnsi="Century Gothic"/>
                <w:noProof/>
                <w:lang w:val="es-ES"/>
              </w:rPr>
              <w:t>Introducción</w:t>
            </w:r>
            <w:r w:rsidR="0079336B" w:rsidRPr="0079336B">
              <w:rPr>
                <w:rFonts w:ascii="Century Gothic" w:hAnsi="Century Gothic"/>
                <w:noProof/>
                <w:webHidden/>
              </w:rPr>
              <w:tab/>
            </w:r>
            <w:r w:rsidR="0079336B" w:rsidRPr="0079336B">
              <w:rPr>
                <w:rFonts w:ascii="Century Gothic" w:hAnsi="Century Gothic"/>
                <w:noProof/>
                <w:webHidden/>
              </w:rPr>
              <w:fldChar w:fldCharType="begin"/>
            </w:r>
            <w:r w:rsidR="0079336B" w:rsidRPr="0079336B">
              <w:rPr>
                <w:rFonts w:ascii="Century Gothic" w:hAnsi="Century Gothic"/>
                <w:noProof/>
                <w:webHidden/>
              </w:rPr>
              <w:instrText xml:space="preserve"> PAGEREF _Toc532565915 \h </w:instrText>
            </w:r>
            <w:r w:rsidR="0079336B" w:rsidRPr="0079336B">
              <w:rPr>
                <w:rFonts w:ascii="Century Gothic" w:hAnsi="Century Gothic"/>
                <w:noProof/>
                <w:webHidden/>
              </w:rPr>
            </w:r>
            <w:r w:rsidR="0079336B" w:rsidRPr="0079336B">
              <w:rPr>
                <w:rFonts w:ascii="Century Gothic" w:hAnsi="Century Gothic"/>
                <w:noProof/>
                <w:webHidden/>
              </w:rPr>
              <w:fldChar w:fldCharType="separate"/>
            </w:r>
            <w:r w:rsidR="0079336B" w:rsidRPr="0079336B">
              <w:rPr>
                <w:rFonts w:ascii="Century Gothic" w:hAnsi="Century Gothic"/>
                <w:noProof/>
                <w:webHidden/>
              </w:rPr>
              <w:t>8</w:t>
            </w:r>
            <w:r w:rsidR="0079336B" w:rsidRPr="0079336B">
              <w:rPr>
                <w:rFonts w:ascii="Century Gothic" w:hAnsi="Century Gothic"/>
                <w:noProof/>
                <w:webHidden/>
              </w:rPr>
              <w:fldChar w:fldCharType="end"/>
            </w:r>
          </w:hyperlink>
        </w:p>
        <w:p w14:paraId="37C19486"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16" w:history="1">
            <w:r w:rsidRPr="0079336B">
              <w:rPr>
                <w:rStyle w:val="Hipervnculo"/>
                <w:rFonts w:ascii="Century Gothic" w:hAnsi="Century Gothic"/>
                <w:noProof/>
                <w:lang w:val="es-ES"/>
              </w:rPr>
              <w:t>1</w:t>
            </w:r>
            <w:r w:rsidRPr="0079336B">
              <w:rPr>
                <w:rFonts w:ascii="Century Gothic" w:hAnsi="Century Gothic"/>
                <w:noProof/>
                <w:lang w:val="es-ES" w:eastAsia="es-ES"/>
              </w:rPr>
              <w:tab/>
            </w:r>
            <w:r w:rsidRPr="0079336B">
              <w:rPr>
                <w:rStyle w:val="Hipervnculo"/>
                <w:rFonts w:ascii="Century Gothic" w:hAnsi="Century Gothic"/>
                <w:noProof/>
                <w:lang w:val="es-ES"/>
              </w:rPr>
              <w:t>Contexto y antecedentes del municipio de Pasto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_Toc532565916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w:t>
            </w:r>
            <w:r w:rsidRPr="0079336B">
              <w:rPr>
                <w:rFonts w:ascii="Century Gothic" w:hAnsi="Century Gothic"/>
                <w:noProof/>
                <w:webHidden/>
              </w:rPr>
              <w:fldChar w:fldCharType="end"/>
            </w:r>
          </w:hyperlink>
        </w:p>
        <w:p w14:paraId="186BB3DF"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17" w:history="1">
            <w:r w:rsidRPr="0079336B">
              <w:rPr>
                <w:rStyle w:val="Hipervnculo"/>
                <w:rFonts w:ascii="Century Gothic" w:hAnsi="Century Gothic"/>
                <w:noProof/>
                <w:lang w:val="es-ES"/>
              </w:rPr>
              <w:t>2</w:t>
            </w:r>
            <w:r w:rsidRPr="0079336B">
              <w:rPr>
                <w:rFonts w:ascii="Century Gothic" w:hAnsi="Century Gothic"/>
                <w:noProof/>
                <w:lang w:val="es-ES" w:eastAsia="es-ES"/>
              </w:rPr>
              <w:tab/>
            </w:r>
            <w:r w:rsidRPr="0079336B">
              <w:rPr>
                <w:rStyle w:val="Hipervnculo"/>
                <w:rFonts w:ascii="Century Gothic" w:hAnsi="Century Gothic"/>
                <w:noProof/>
                <w:lang w:val="es-ES"/>
              </w:rPr>
              <w:t>Análisis y resultados de la vigencia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_Toc532565917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15</w:t>
            </w:r>
            <w:r w:rsidRPr="0079336B">
              <w:rPr>
                <w:rFonts w:ascii="Century Gothic" w:hAnsi="Century Gothic"/>
                <w:noProof/>
                <w:webHidden/>
              </w:rPr>
              <w:fldChar w:fldCharType="end"/>
            </w:r>
          </w:hyperlink>
        </w:p>
        <w:p w14:paraId="76E027A8"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18" w:history="1">
            <w:r w:rsidRPr="0079336B">
              <w:rPr>
                <w:rStyle w:val="Hipervnculo"/>
                <w:rFonts w:ascii="Century Gothic" w:hAnsi="Century Gothic"/>
                <w:noProof/>
                <w:lang w:val="es-ES"/>
              </w:rPr>
              <w:t>2.1</w:t>
            </w:r>
            <w:r w:rsidRPr="0079336B">
              <w:rPr>
                <w:rFonts w:ascii="Century Gothic" w:hAnsi="Century Gothic"/>
                <w:noProof/>
                <w:lang w:val="es-ES" w:eastAsia="es-ES"/>
              </w:rPr>
              <w:tab/>
            </w:r>
            <w:r w:rsidRPr="0079336B">
              <w:rPr>
                <w:rStyle w:val="Hipervnculo"/>
                <w:rFonts w:ascii="Century Gothic" w:hAnsi="Century Gothic"/>
                <w:noProof/>
                <w:lang w:val="es-ES"/>
              </w:rPr>
              <w:t>Ejecución de ingresos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_Toc532565918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15</w:t>
            </w:r>
            <w:r w:rsidRPr="0079336B">
              <w:rPr>
                <w:rFonts w:ascii="Century Gothic" w:hAnsi="Century Gothic"/>
                <w:noProof/>
                <w:webHidden/>
              </w:rPr>
              <w:fldChar w:fldCharType="end"/>
            </w:r>
          </w:hyperlink>
        </w:p>
        <w:p w14:paraId="105E5A56" w14:textId="77777777" w:rsidR="0079336B" w:rsidRPr="0079336B" w:rsidRDefault="0079336B" w:rsidP="0079336B">
          <w:pPr>
            <w:pStyle w:val="TDC3"/>
            <w:rPr>
              <w:rFonts w:ascii="Century Gothic" w:hAnsi="Century Gothic"/>
              <w:noProof/>
              <w:lang w:val="es-ES" w:eastAsia="es-ES"/>
            </w:rPr>
          </w:pPr>
          <w:hyperlink w:anchor="_Toc532565919" w:history="1">
            <w:r w:rsidRPr="0079336B">
              <w:rPr>
                <w:rStyle w:val="Hipervnculo"/>
                <w:rFonts w:ascii="Century Gothic" w:hAnsi="Century Gothic"/>
                <w:noProof/>
                <w:lang w:val="es-ES"/>
              </w:rPr>
              <w:t>2.1.1 Ingresos corrientes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_Toc532565919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17</w:t>
            </w:r>
            <w:r w:rsidRPr="0079336B">
              <w:rPr>
                <w:rFonts w:ascii="Century Gothic" w:hAnsi="Century Gothic"/>
                <w:noProof/>
                <w:webHidden/>
              </w:rPr>
              <w:fldChar w:fldCharType="end"/>
            </w:r>
          </w:hyperlink>
        </w:p>
        <w:p w14:paraId="0EBC43ED" w14:textId="77777777" w:rsidR="0079336B" w:rsidRPr="0079336B" w:rsidRDefault="0079336B" w:rsidP="0079336B">
          <w:pPr>
            <w:pStyle w:val="TDC3"/>
            <w:rPr>
              <w:rFonts w:ascii="Century Gothic" w:hAnsi="Century Gothic"/>
              <w:noProof/>
              <w:lang w:val="es-ES" w:eastAsia="es-ES"/>
            </w:rPr>
          </w:pPr>
          <w:hyperlink w:anchor="_Toc532565920" w:history="1">
            <w:r w:rsidRPr="0079336B">
              <w:rPr>
                <w:rStyle w:val="Hipervnculo"/>
                <w:rFonts w:ascii="Century Gothic" w:hAnsi="Century Gothic"/>
                <w:noProof/>
                <w:lang w:val="es-ES"/>
              </w:rPr>
              <w:t>2.1.2 Ingresos fondos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_Toc532565920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21</w:t>
            </w:r>
            <w:r w:rsidRPr="0079336B">
              <w:rPr>
                <w:rFonts w:ascii="Century Gothic" w:hAnsi="Century Gothic"/>
                <w:noProof/>
                <w:webHidden/>
              </w:rPr>
              <w:fldChar w:fldCharType="end"/>
            </w:r>
          </w:hyperlink>
        </w:p>
        <w:p w14:paraId="678694CA" w14:textId="77777777" w:rsidR="0079336B" w:rsidRPr="0079336B" w:rsidRDefault="0079336B" w:rsidP="0079336B">
          <w:pPr>
            <w:pStyle w:val="TDC3"/>
            <w:rPr>
              <w:rFonts w:ascii="Century Gothic" w:hAnsi="Century Gothic"/>
              <w:noProof/>
              <w:lang w:val="es-ES" w:eastAsia="es-ES"/>
            </w:rPr>
          </w:pPr>
          <w:hyperlink w:anchor="_Toc532565921" w:history="1">
            <w:r w:rsidRPr="0079336B">
              <w:rPr>
                <w:rStyle w:val="Hipervnculo"/>
                <w:rFonts w:ascii="Century Gothic" w:hAnsi="Century Gothic"/>
                <w:noProof/>
                <w:lang w:val="es-ES"/>
              </w:rPr>
              <w:t>2.1.3 Recursos de capital</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_Toc532565921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27</w:t>
            </w:r>
            <w:r w:rsidRPr="0079336B">
              <w:rPr>
                <w:rFonts w:ascii="Century Gothic" w:hAnsi="Century Gothic"/>
                <w:noProof/>
                <w:webHidden/>
              </w:rPr>
              <w:fldChar w:fldCharType="end"/>
            </w:r>
          </w:hyperlink>
        </w:p>
        <w:p w14:paraId="31070457" w14:textId="77777777" w:rsidR="0079336B" w:rsidRPr="0079336B" w:rsidRDefault="0079336B" w:rsidP="0079336B">
          <w:pPr>
            <w:pStyle w:val="TDC3"/>
            <w:rPr>
              <w:rFonts w:ascii="Century Gothic" w:hAnsi="Century Gothic"/>
              <w:noProof/>
              <w:lang w:val="es-ES" w:eastAsia="es-ES"/>
            </w:rPr>
          </w:pPr>
          <w:hyperlink w:anchor="_Toc532565922" w:history="1">
            <w:r w:rsidRPr="0079336B">
              <w:rPr>
                <w:rStyle w:val="Hipervnculo"/>
                <w:rFonts w:ascii="Century Gothic" w:hAnsi="Century Gothic"/>
                <w:noProof/>
                <w:lang w:val="es-ES"/>
              </w:rPr>
              <w:t>2.1.4 Ingresos de establecimientos públicos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_Toc532565922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27</w:t>
            </w:r>
            <w:r w:rsidRPr="0079336B">
              <w:rPr>
                <w:rFonts w:ascii="Century Gothic" w:hAnsi="Century Gothic"/>
                <w:noProof/>
                <w:webHidden/>
              </w:rPr>
              <w:fldChar w:fldCharType="end"/>
            </w:r>
          </w:hyperlink>
        </w:p>
        <w:p w14:paraId="753E5A37"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23" w:history="1">
            <w:r w:rsidRPr="0079336B">
              <w:rPr>
                <w:rStyle w:val="Hipervnculo"/>
                <w:rFonts w:ascii="Century Gothic" w:hAnsi="Century Gothic"/>
                <w:noProof/>
                <w:lang w:val="es-ES"/>
              </w:rPr>
              <w:t>2.2</w:t>
            </w:r>
            <w:r w:rsidRPr="0079336B">
              <w:rPr>
                <w:rFonts w:ascii="Century Gothic" w:hAnsi="Century Gothic"/>
                <w:noProof/>
                <w:lang w:val="es-ES" w:eastAsia="es-ES"/>
              </w:rPr>
              <w:tab/>
            </w:r>
            <w:r w:rsidRPr="0079336B">
              <w:rPr>
                <w:rStyle w:val="Hipervnculo"/>
                <w:rFonts w:ascii="Century Gothic" w:hAnsi="Century Gothic"/>
                <w:noProof/>
                <w:lang w:val="es-ES"/>
              </w:rPr>
              <w:t>Ejecución de gastos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_Toc532565923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29</w:t>
            </w:r>
            <w:r w:rsidRPr="0079336B">
              <w:rPr>
                <w:rFonts w:ascii="Century Gothic" w:hAnsi="Century Gothic"/>
                <w:noProof/>
                <w:webHidden/>
              </w:rPr>
              <w:fldChar w:fldCharType="end"/>
            </w:r>
          </w:hyperlink>
        </w:p>
        <w:p w14:paraId="7417DD4C" w14:textId="77777777" w:rsidR="0079336B" w:rsidRPr="0079336B" w:rsidRDefault="0079336B" w:rsidP="0079336B">
          <w:pPr>
            <w:pStyle w:val="TDC3"/>
            <w:rPr>
              <w:rFonts w:ascii="Century Gothic" w:hAnsi="Century Gothic"/>
              <w:noProof/>
              <w:lang w:val="es-ES" w:eastAsia="es-ES"/>
            </w:rPr>
          </w:pPr>
          <w:hyperlink w:anchor="_Toc532565924" w:history="1">
            <w:r w:rsidRPr="0079336B">
              <w:rPr>
                <w:rStyle w:val="Hipervnculo"/>
                <w:rFonts w:ascii="Century Gothic" w:hAnsi="Century Gothic"/>
                <w:noProof/>
                <w:lang w:val="es-ES"/>
              </w:rPr>
              <w:t>2.2.1 Gastos de funcionamiento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_Toc532565924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29</w:t>
            </w:r>
            <w:r w:rsidRPr="0079336B">
              <w:rPr>
                <w:rFonts w:ascii="Century Gothic" w:hAnsi="Century Gothic"/>
                <w:noProof/>
                <w:webHidden/>
              </w:rPr>
              <w:fldChar w:fldCharType="end"/>
            </w:r>
          </w:hyperlink>
        </w:p>
        <w:p w14:paraId="5291AD69" w14:textId="77777777" w:rsidR="0079336B" w:rsidRPr="0079336B" w:rsidRDefault="0079336B" w:rsidP="0079336B">
          <w:pPr>
            <w:pStyle w:val="TDC3"/>
            <w:rPr>
              <w:rFonts w:ascii="Century Gothic" w:hAnsi="Century Gothic"/>
              <w:noProof/>
              <w:lang w:val="es-ES" w:eastAsia="es-ES"/>
            </w:rPr>
          </w:pPr>
          <w:hyperlink w:anchor="_Toc532565925" w:history="1">
            <w:r w:rsidRPr="0079336B">
              <w:rPr>
                <w:rStyle w:val="Hipervnculo"/>
                <w:rFonts w:ascii="Century Gothic" w:hAnsi="Century Gothic"/>
                <w:noProof/>
                <w:lang w:val="es-ES"/>
              </w:rPr>
              <w:t>2.2.2 Servicio de la deuda</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32</w:t>
            </w:r>
            <w:r w:rsidRPr="0079336B">
              <w:rPr>
                <w:rFonts w:ascii="Century Gothic" w:hAnsi="Century Gothic"/>
                <w:noProof/>
                <w:webHidden/>
              </w:rPr>
              <w:fldChar w:fldCharType="end"/>
            </w:r>
          </w:hyperlink>
        </w:p>
        <w:p w14:paraId="39B67846" w14:textId="77777777" w:rsidR="0079336B" w:rsidRPr="0079336B" w:rsidRDefault="0079336B" w:rsidP="0079336B">
          <w:pPr>
            <w:pStyle w:val="TDC3"/>
            <w:rPr>
              <w:rFonts w:ascii="Century Gothic" w:hAnsi="Century Gothic"/>
              <w:noProof/>
              <w:lang w:val="es-ES" w:eastAsia="es-ES"/>
            </w:rPr>
          </w:pPr>
          <w:hyperlink w:anchor="_Toc532565926" w:history="1">
            <w:r w:rsidRPr="0079336B">
              <w:rPr>
                <w:rStyle w:val="Hipervnculo"/>
                <w:rFonts w:ascii="Century Gothic" w:hAnsi="Century Gothic"/>
                <w:noProof/>
                <w:lang w:val="es-ES"/>
              </w:rPr>
              <w:t>2.2.3 Gastos de inversión</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32</w:t>
            </w:r>
            <w:r w:rsidRPr="0079336B">
              <w:rPr>
                <w:rFonts w:ascii="Century Gothic" w:hAnsi="Century Gothic"/>
                <w:noProof/>
                <w:webHidden/>
              </w:rPr>
              <w:fldChar w:fldCharType="end"/>
            </w:r>
          </w:hyperlink>
        </w:p>
        <w:p w14:paraId="2830FB2F"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27" w:history="1">
            <w:r w:rsidRPr="0079336B">
              <w:rPr>
                <w:rStyle w:val="Hipervnculo"/>
                <w:rFonts w:ascii="Century Gothic" w:hAnsi="Century Gothic"/>
                <w:noProof/>
              </w:rPr>
              <w:t>3</w:t>
            </w:r>
            <w:r w:rsidRPr="0079336B">
              <w:rPr>
                <w:rFonts w:ascii="Century Gothic" w:hAnsi="Century Gothic"/>
                <w:noProof/>
                <w:lang w:val="es-ES" w:eastAsia="es-ES"/>
              </w:rPr>
              <w:tab/>
            </w:r>
            <w:r w:rsidRPr="0079336B">
              <w:rPr>
                <w:rStyle w:val="Hipervnculo"/>
                <w:rFonts w:ascii="Century Gothic" w:hAnsi="Century Gothic"/>
                <w:noProof/>
              </w:rPr>
              <w:t>Estimación del costo fiscal de las exenciones tributarias existentes en la vigencia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33</w:t>
            </w:r>
            <w:r w:rsidRPr="0079336B">
              <w:rPr>
                <w:rFonts w:ascii="Century Gothic" w:hAnsi="Century Gothic"/>
                <w:noProof/>
                <w:webHidden/>
              </w:rPr>
              <w:fldChar w:fldCharType="end"/>
            </w:r>
          </w:hyperlink>
        </w:p>
        <w:p w14:paraId="7A21072C"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28" w:history="1">
            <w:r w:rsidRPr="0079336B">
              <w:rPr>
                <w:rStyle w:val="Hipervnculo"/>
                <w:rFonts w:ascii="Century Gothic" w:hAnsi="Century Gothic"/>
                <w:noProof/>
              </w:rPr>
              <w:t>3.1</w:t>
            </w:r>
            <w:r w:rsidRPr="0079336B">
              <w:rPr>
                <w:rFonts w:ascii="Century Gothic" w:hAnsi="Century Gothic"/>
                <w:noProof/>
                <w:lang w:val="es-ES" w:eastAsia="es-ES"/>
              </w:rPr>
              <w:tab/>
            </w:r>
            <w:r w:rsidRPr="0079336B">
              <w:rPr>
                <w:rStyle w:val="Hipervnculo"/>
                <w:rFonts w:ascii="Century Gothic" w:hAnsi="Century Gothic"/>
                <w:noProof/>
              </w:rPr>
              <w:t>Descuentos y exenciones del impuesto predial unificado.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_Toc532565928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46</w:t>
            </w:r>
            <w:r w:rsidRPr="0079336B">
              <w:rPr>
                <w:rFonts w:ascii="Century Gothic" w:hAnsi="Century Gothic"/>
                <w:noProof/>
                <w:webHidden/>
              </w:rPr>
              <w:fldChar w:fldCharType="end"/>
            </w:r>
          </w:hyperlink>
        </w:p>
        <w:p w14:paraId="601D1FAA"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29" w:history="1">
            <w:r w:rsidRPr="0079336B">
              <w:rPr>
                <w:rStyle w:val="Hipervnculo"/>
                <w:rFonts w:ascii="Century Gothic" w:hAnsi="Century Gothic"/>
                <w:noProof/>
              </w:rPr>
              <w:t>3.2</w:t>
            </w:r>
            <w:r w:rsidRPr="0079336B">
              <w:rPr>
                <w:rFonts w:ascii="Century Gothic" w:hAnsi="Century Gothic"/>
                <w:noProof/>
                <w:lang w:val="es-ES" w:eastAsia="es-ES"/>
              </w:rPr>
              <w:tab/>
            </w:r>
            <w:r w:rsidRPr="0079336B">
              <w:rPr>
                <w:rStyle w:val="Hipervnculo"/>
                <w:rFonts w:ascii="Century Gothic" w:hAnsi="Century Gothic"/>
                <w:noProof/>
              </w:rPr>
              <w:t>Riesgos fiscales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_Toc532565929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46</w:t>
            </w:r>
            <w:r w:rsidRPr="0079336B">
              <w:rPr>
                <w:rFonts w:ascii="Century Gothic" w:hAnsi="Century Gothic"/>
                <w:noProof/>
                <w:webHidden/>
              </w:rPr>
              <w:fldChar w:fldCharType="end"/>
            </w:r>
          </w:hyperlink>
        </w:p>
        <w:p w14:paraId="5854A030" w14:textId="77777777" w:rsidR="0079336B" w:rsidRPr="0079336B" w:rsidRDefault="0079336B" w:rsidP="0079336B">
          <w:pPr>
            <w:pStyle w:val="TDC3"/>
            <w:rPr>
              <w:rFonts w:ascii="Century Gothic" w:hAnsi="Century Gothic"/>
              <w:noProof/>
              <w:lang w:val="es-ES" w:eastAsia="es-ES"/>
            </w:rPr>
          </w:pPr>
          <w:hyperlink w:anchor="_Toc532565930" w:history="1">
            <w:r w:rsidRPr="0079336B">
              <w:rPr>
                <w:rStyle w:val="Hipervnculo"/>
                <w:rFonts w:ascii="Century Gothic" w:hAnsi="Century Gothic"/>
                <w:noProof/>
              </w:rPr>
              <w:t>3.2.1 Ejecución y constitución de reservas presupuestales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_Toc532565930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46</w:t>
            </w:r>
            <w:r w:rsidRPr="0079336B">
              <w:rPr>
                <w:rFonts w:ascii="Century Gothic" w:hAnsi="Century Gothic"/>
                <w:noProof/>
                <w:webHidden/>
              </w:rPr>
              <w:fldChar w:fldCharType="end"/>
            </w:r>
          </w:hyperlink>
        </w:p>
        <w:p w14:paraId="41922CB3" w14:textId="77777777" w:rsidR="0079336B" w:rsidRPr="0079336B" w:rsidRDefault="0079336B" w:rsidP="0079336B">
          <w:pPr>
            <w:pStyle w:val="TDC3"/>
            <w:rPr>
              <w:rFonts w:ascii="Century Gothic" w:hAnsi="Century Gothic"/>
              <w:noProof/>
              <w:lang w:val="es-ES" w:eastAsia="es-ES"/>
            </w:rPr>
          </w:pPr>
          <w:hyperlink w:anchor="_Toc532565931" w:history="1">
            <w:r w:rsidRPr="0079336B">
              <w:rPr>
                <w:rStyle w:val="Hipervnculo"/>
                <w:rFonts w:ascii="Century Gothic" w:hAnsi="Century Gothic"/>
                <w:noProof/>
              </w:rPr>
              <w:t>3.2.2 Costo fiscal de los proyectos de acuerdo sancionados en la vigencia 2017 con efectos fiscales en el año 2017 y 2018.</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_Toc532565931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47</w:t>
            </w:r>
            <w:r w:rsidRPr="0079336B">
              <w:rPr>
                <w:rFonts w:ascii="Century Gothic" w:hAnsi="Century Gothic"/>
                <w:noProof/>
                <w:webHidden/>
              </w:rPr>
              <w:fldChar w:fldCharType="end"/>
            </w:r>
          </w:hyperlink>
        </w:p>
        <w:p w14:paraId="1FC9B203"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32" w:history="1">
            <w:r w:rsidRPr="0079336B">
              <w:rPr>
                <w:rStyle w:val="Hipervnculo"/>
                <w:rFonts w:ascii="Century Gothic" w:hAnsi="Century Gothic"/>
                <w:noProof/>
              </w:rPr>
              <w:t>4</w:t>
            </w:r>
            <w:r w:rsidRPr="0079336B">
              <w:rPr>
                <w:rFonts w:ascii="Century Gothic" w:hAnsi="Century Gothic"/>
                <w:noProof/>
                <w:lang w:val="es-ES" w:eastAsia="es-ES"/>
              </w:rPr>
              <w:tab/>
            </w:r>
            <w:r w:rsidRPr="0079336B">
              <w:rPr>
                <w:rStyle w:val="Hipervnculo"/>
                <w:rFonts w:ascii="Century Gothic" w:hAnsi="Century Gothic"/>
                <w:noProof/>
              </w:rPr>
              <w:t>Relación de los pasivos exigibles y de los pasivos contingentes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_Toc532565932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50</w:t>
            </w:r>
            <w:r w:rsidRPr="0079336B">
              <w:rPr>
                <w:rFonts w:ascii="Century Gothic" w:hAnsi="Century Gothic"/>
                <w:noProof/>
                <w:webHidden/>
              </w:rPr>
              <w:fldChar w:fldCharType="end"/>
            </w:r>
          </w:hyperlink>
        </w:p>
        <w:p w14:paraId="17BECE8C"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33" w:history="1">
            <w:r w:rsidRPr="0079336B">
              <w:rPr>
                <w:rStyle w:val="Hipervnculo"/>
                <w:rFonts w:ascii="Century Gothic" w:hAnsi="Century Gothic"/>
                <w:noProof/>
              </w:rPr>
              <w:t>4.1</w:t>
            </w:r>
            <w:r w:rsidRPr="0079336B">
              <w:rPr>
                <w:rFonts w:ascii="Century Gothic" w:hAnsi="Century Gothic"/>
                <w:noProof/>
                <w:lang w:val="es-ES" w:eastAsia="es-ES"/>
              </w:rPr>
              <w:tab/>
            </w:r>
            <w:r w:rsidRPr="0079336B">
              <w:rPr>
                <w:rStyle w:val="Hipervnculo"/>
                <w:rFonts w:ascii="Century Gothic" w:hAnsi="Century Gothic"/>
                <w:noProof/>
              </w:rPr>
              <w:t>Pasivos ciertos o exigibles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_Toc532565933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50</w:t>
            </w:r>
            <w:r w:rsidRPr="0079336B">
              <w:rPr>
                <w:rFonts w:ascii="Century Gothic" w:hAnsi="Century Gothic"/>
                <w:noProof/>
                <w:webHidden/>
              </w:rPr>
              <w:fldChar w:fldCharType="end"/>
            </w:r>
          </w:hyperlink>
        </w:p>
        <w:p w14:paraId="0E067FD8" w14:textId="77777777" w:rsidR="0079336B" w:rsidRPr="0079336B" w:rsidRDefault="0079336B" w:rsidP="0079336B">
          <w:pPr>
            <w:pStyle w:val="TDC3"/>
            <w:rPr>
              <w:rFonts w:ascii="Century Gothic" w:hAnsi="Century Gothic"/>
              <w:noProof/>
              <w:lang w:val="es-ES" w:eastAsia="es-ES"/>
            </w:rPr>
          </w:pPr>
          <w:hyperlink w:anchor="_Toc532565934" w:history="1">
            <w:r w:rsidRPr="0079336B">
              <w:rPr>
                <w:rStyle w:val="Hipervnculo"/>
                <w:rFonts w:ascii="Century Gothic" w:eastAsia="Century Gothic" w:hAnsi="Century Gothic"/>
                <w:noProof/>
                <w:lang w:val="es-ES"/>
              </w:rPr>
              <w:t>4.1.1 Pasivos contingentes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_Toc532565934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51</w:t>
            </w:r>
            <w:r w:rsidRPr="0079336B">
              <w:rPr>
                <w:rFonts w:ascii="Century Gothic" w:hAnsi="Century Gothic"/>
                <w:noProof/>
                <w:webHidden/>
              </w:rPr>
              <w:fldChar w:fldCharType="end"/>
            </w:r>
          </w:hyperlink>
        </w:p>
        <w:p w14:paraId="2A6330AD" w14:textId="77777777" w:rsidR="0079336B" w:rsidRPr="0079336B" w:rsidRDefault="0079336B" w:rsidP="0079336B">
          <w:pPr>
            <w:pStyle w:val="TDC2"/>
            <w:tabs>
              <w:tab w:val="left" w:pos="660"/>
              <w:tab w:val="right" w:leader="dot" w:pos="8828"/>
            </w:tabs>
            <w:spacing w:after="0"/>
            <w:rPr>
              <w:rFonts w:ascii="Century Gothic" w:hAnsi="Century Gothic"/>
              <w:noProof/>
              <w:lang w:val="es-ES" w:eastAsia="es-ES"/>
            </w:rPr>
          </w:pPr>
          <w:hyperlink w:anchor="_Toc532565935" w:history="1">
            <w:r w:rsidRPr="0079336B">
              <w:rPr>
                <w:rStyle w:val="Hipervnculo"/>
                <w:rFonts w:ascii="Century Gothic" w:hAnsi="Century Gothic"/>
                <w:noProof/>
                <w:lang w:val="es-ES"/>
              </w:rPr>
              <w:t>-</w:t>
            </w:r>
            <w:r w:rsidRPr="0079336B">
              <w:rPr>
                <w:rFonts w:ascii="Century Gothic" w:hAnsi="Century Gothic"/>
                <w:noProof/>
                <w:lang w:val="es-ES" w:eastAsia="es-ES"/>
              </w:rPr>
              <w:tab/>
            </w:r>
            <w:r w:rsidRPr="0079336B">
              <w:rPr>
                <w:rStyle w:val="Hipervnculo"/>
                <w:rFonts w:ascii="Century Gothic" w:hAnsi="Century Gothic"/>
                <w:noProof/>
                <w:lang w:val="es-ES"/>
              </w:rPr>
              <w:t>Marco Normativo de Pasivos Contingentes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51</w:t>
            </w:r>
            <w:r w:rsidRPr="0079336B">
              <w:rPr>
                <w:rFonts w:ascii="Century Gothic" w:hAnsi="Century Gothic"/>
                <w:noProof/>
                <w:webHidden/>
              </w:rPr>
              <w:fldChar w:fldCharType="end"/>
            </w:r>
          </w:hyperlink>
        </w:p>
        <w:p w14:paraId="3A4F20F5"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36" w:history="1">
            <w:r w:rsidRPr="0079336B">
              <w:rPr>
                <w:rStyle w:val="Hipervnculo"/>
                <w:rFonts w:ascii="Century Gothic" w:hAnsi="Century Gothic"/>
                <w:noProof/>
                <w:lang w:val="es-ES"/>
              </w:rPr>
              <w:t>5</w:t>
            </w:r>
            <w:r w:rsidRPr="0079336B">
              <w:rPr>
                <w:rFonts w:ascii="Century Gothic" w:hAnsi="Century Gothic"/>
                <w:noProof/>
                <w:lang w:val="es-ES" w:eastAsia="es-ES"/>
              </w:rPr>
              <w:tab/>
            </w:r>
            <w:r w:rsidRPr="0079336B">
              <w:rPr>
                <w:rStyle w:val="Hipervnculo"/>
                <w:rFonts w:ascii="Century Gothic" w:hAnsi="Century Gothic"/>
                <w:noProof/>
                <w:lang w:val="es-ES"/>
              </w:rPr>
              <w:t>Plan financiero 2019</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68</w:t>
            </w:r>
            <w:r w:rsidRPr="0079336B">
              <w:rPr>
                <w:rFonts w:ascii="Century Gothic" w:hAnsi="Century Gothic"/>
                <w:noProof/>
                <w:webHidden/>
              </w:rPr>
              <w:fldChar w:fldCharType="end"/>
            </w:r>
          </w:hyperlink>
        </w:p>
        <w:p w14:paraId="08B0351E"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37" w:history="1">
            <w:r w:rsidRPr="0079336B">
              <w:rPr>
                <w:rStyle w:val="Hipervnculo"/>
                <w:rFonts w:ascii="Century Gothic" w:hAnsi="Century Gothic"/>
                <w:noProof/>
                <w:lang w:val="es-ES"/>
              </w:rPr>
              <w:t>5.1</w:t>
            </w:r>
            <w:r w:rsidRPr="0079336B">
              <w:rPr>
                <w:rFonts w:ascii="Century Gothic" w:hAnsi="Century Gothic"/>
                <w:noProof/>
                <w:lang w:val="es-ES" w:eastAsia="es-ES"/>
              </w:rPr>
              <w:tab/>
            </w:r>
            <w:r w:rsidRPr="0079336B">
              <w:rPr>
                <w:rStyle w:val="Hipervnculo"/>
                <w:rFonts w:ascii="Century Gothic" w:hAnsi="Century Gothic"/>
                <w:noProof/>
                <w:lang w:val="es-ES"/>
              </w:rPr>
              <w:t>Ingresos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68</w:t>
            </w:r>
            <w:r w:rsidRPr="0079336B">
              <w:rPr>
                <w:rFonts w:ascii="Century Gothic" w:hAnsi="Century Gothic"/>
                <w:noProof/>
                <w:webHidden/>
              </w:rPr>
              <w:fldChar w:fldCharType="end"/>
            </w:r>
          </w:hyperlink>
        </w:p>
        <w:p w14:paraId="6AF278C4" w14:textId="77777777" w:rsidR="0079336B" w:rsidRPr="0079336B" w:rsidRDefault="0079336B" w:rsidP="0079336B">
          <w:pPr>
            <w:pStyle w:val="TDC3"/>
            <w:rPr>
              <w:rFonts w:ascii="Century Gothic" w:hAnsi="Century Gothic"/>
              <w:noProof/>
              <w:lang w:val="es-ES" w:eastAsia="es-ES"/>
            </w:rPr>
          </w:pPr>
          <w:hyperlink w:anchor="_Toc532565938" w:history="1">
            <w:r w:rsidRPr="0079336B">
              <w:rPr>
                <w:rStyle w:val="Hipervnculo"/>
                <w:rFonts w:ascii="Century Gothic" w:hAnsi="Century Gothic"/>
                <w:noProof/>
                <w:lang w:val="es-ES"/>
              </w:rPr>
              <w:t>5.1.1 Ingresos corrientes de libre destinación</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_Toc532565938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69</w:t>
            </w:r>
            <w:r w:rsidRPr="0079336B">
              <w:rPr>
                <w:rFonts w:ascii="Century Gothic" w:hAnsi="Century Gothic"/>
                <w:noProof/>
                <w:webHidden/>
              </w:rPr>
              <w:fldChar w:fldCharType="end"/>
            </w:r>
          </w:hyperlink>
        </w:p>
        <w:p w14:paraId="730FF23C" w14:textId="77777777" w:rsidR="0079336B" w:rsidRPr="0079336B" w:rsidRDefault="0079336B" w:rsidP="0079336B">
          <w:pPr>
            <w:pStyle w:val="TDC3"/>
            <w:rPr>
              <w:rFonts w:ascii="Century Gothic" w:hAnsi="Century Gothic"/>
              <w:noProof/>
              <w:lang w:val="es-ES" w:eastAsia="es-ES"/>
            </w:rPr>
          </w:pPr>
          <w:hyperlink w:anchor="_Toc532565939" w:history="1">
            <w:r w:rsidRPr="0079336B">
              <w:rPr>
                <w:rStyle w:val="Hipervnculo"/>
                <w:rFonts w:ascii="Century Gothic" w:hAnsi="Century Gothic"/>
                <w:noProof/>
                <w:lang w:val="es-ES"/>
              </w:rPr>
              <w:t>5.1.2 Ingresos fondos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_Toc532565939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76</w:t>
            </w:r>
            <w:r w:rsidRPr="0079336B">
              <w:rPr>
                <w:rFonts w:ascii="Century Gothic" w:hAnsi="Century Gothic"/>
                <w:noProof/>
                <w:webHidden/>
              </w:rPr>
              <w:fldChar w:fldCharType="end"/>
            </w:r>
          </w:hyperlink>
        </w:p>
        <w:p w14:paraId="45CCCB60" w14:textId="77777777" w:rsidR="0079336B" w:rsidRPr="0079336B" w:rsidRDefault="0079336B" w:rsidP="0079336B">
          <w:pPr>
            <w:pStyle w:val="TDC3"/>
            <w:rPr>
              <w:rFonts w:ascii="Century Gothic" w:hAnsi="Century Gothic"/>
              <w:noProof/>
              <w:lang w:val="es-ES" w:eastAsia="es-ES"/>
            </w:rPr>
          </w:pPr>
          <w:hyperlink w:anchor="_Toc532565940" w:history="1">
            <w:r w:rsidRPr="0079336B">
              <w:rPr>
                <w:rStyle w:val="Hipervnculo"/>
                <w:rFonts w:ascii="Century Gothic" w:hAnsi="Century Gothic"/>
                <w:noProof/>
                <w:lang w:val="es-ES"/>
              </w:rPr>
              <w:t>5.1.3 Recursos de capital</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_Toc532565940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79</w:t>
            </w:r>
            <w:r w:rsidRPr="0079336B">
              <w:rPr>
                <w:rFonts w:ascii="Century Gothic" w:hAnsi="Century Gothic"/>
                <w:noProof/>
                <w:webHidden/>
              </w:rPr>
              <w:fldChar w:fldCharType="end"/>
            </w:r>
          </w:hyperlink>
        </w:p>
        <w:p w14:paraId="5CA30B26"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41" w:history="1">
            <w:r w:rsidRPr="0079336B">
              <w:rPr>
                <w:rStyle w:val="Hipervnculo"/>
                <w:rFonts w:ascii="Century Gothic" w:hAnsi="Century Gothic"/>
                <w:noProof/>
                <w:lang w:val="es-ES"/>
              </w:rPr>
              <w:t>5.2</w:t>
            </w:r>
            <w:r w:rsidRPr="0079336B">
              <w:rPr>
                <w:rFonts w:ascii="Century Gothic" w:hAnsi="Century Gothic"/>
                <w:noProof/>
                <w:lang w:val="es-ES" w:eastAsia="es-ES"/>
              </w:rPr>
              <w:tab/>
            </w:r>
            <w:r w:rsidRPr="0079336B">
              <w:rPr>
                <w:rStyle w:val="Hipervnculo"/>
                <w:rFonts w:ascii="Century Gothic" w:hAnsi="Century Gothic"/>
                <w:noProof/>
                <w:lang w:val="es-ES"/>
              </w:rPr>
              <w:t>Gastos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_Toc532565941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80</w:t>
            </w:r>
            <w:r w:rsidRPr="0079336B">
              <w:rPr>
                <w:rFonts w:ascii="Century Gothic" w:hAnsi="Century Gothic"/>
                <w:noProof/>
                <w:webHidden/>
              </w:rPr>
              <w:fldChar w:fldCharType="end"/>
            </w:r>
          </w:hyperlink>
        </w:p>
        <w:p w14:paraId="75EF9282" w14:textId="77777777" w:rsidR="0079336B" w:rsidRPr="0079336B" w:rsidRDefault="0079336B" w:rsidP="0079336B">
          <w:pPr>
            <w:pStyle w:val="TDC3"/>
            <w:rPr>
              <w:rFonts w:ascii="Century Gothic" w:hAnsi="Century Gothic"/>
              <w:noProof/>
              <w:lang w:val="es-ES" w:eastAsia="es-ES"/>
            </w:rPr>
          </w:pPr>
          <w:hyperlink w:anchor="_Toc532565942" w:history="1">
            <w:r w:rsidRPr="0079336B">
              <w:rPr>
                <w:rStyle w:val="Hipervnculo"/>
                <w:rFonts w:ascii="Century Gothic" w:hAnsi="Century Gothic"/>
                <w:noProof/>
                <w:lang w:val="es-ES"/>
              </w:rPr>
              <w:t>5.2.1 Gastos de funcionamiento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_Toc532565942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80</w:t>
            </w:r>
            <w:r w:rsidRPr="0079336B">
              <w:rPr>
                <w:rFonts w:ascii="Century Gothic" w:hAnsi="Century Gothic"/>
                <w:noProof/>
                <w:webHidden/>
              </w:rPr>
              <w:fldChar w:fldCharType="end"/>
            </w:r>
          </w:hyperlink>
        </w:p>
        <w:p w14:paraId="02D4800A" w14:textId="402802F0" w:rsidR="0079336B" w:rsidRPr="0079336B" w:rsidRDefault="0079336B" w:rsidP="0079336B">
          <w:pPr>
            <w:pStyle w:val="TDC3"/>
            <w:rPr>
              <w:rFonts w:ascii="Century Gothic" w:hAnsi="Century Gothic"/>
              <w:noProof/>
              <w:lang w:val="es-ES" w:eastAsia="es-ES"/>
            </w:rPr>
          </w:pPr>
          <w:hyperlink w:anchor="_Toc532565943" w:history="1">
            <w:r w:rsidRPr="0079336B">
              <w:rPr>
                <w:rStyle w:val="Hipervnculo"/>
                <w:rFonts w:ascii="Century Gothic" w:hAnsi="Century Gothic"/>
                <w:noProof/>
                <w:lang w:val="es-ES"/>
              </w:rPr>
              <w:t>5.2.2 Gastos de funcionamiento con Ingresos Corrientes de Libre Destinación</w:t>
            </w:r>
            <w:r w:rsidRPr="0079336B">
              <w:rPr>
                <w:rFonts w:ascii="Century Gothic" w:hAnsi="Century Gothic"/>
                <w:noProof/>
                <w:webHidden/>
              </w:rPr>
              <w:tab/>
            </w:r>
            <w:r>
              <w:rPr>
                <w:rFonts w:ascii="Century Gothic" w:hAnsi="Century Gothic"/>
                <w:noProof/>
                <w:webHidden/>
              </w:rPr>
              <w:tab/>
            </w:r>
            <w:r>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_Toc532565943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81</w:t>
            </w:r>
            <w:r w:rsidRPr="0079336B">
              <w:rPr>
                <w:rFonts w:ascii="Century Gothic" w:hAnsi="Century Gothic"/>
                <w:noProof/>
                <w:webHidden/>
              </w:rPr>
              <w:fldChar w:fldCharType="end"/>
            </w:r>
          </w:hyperlink>
        </w:p>
        <w:p w14:paraId="2D40A805" w14:textId="77777777" w:rsidR="0079336B" w:rsidRPr="0079336B" w:rsidRDefault="0079336B" w:rsidP="0079336B">
          <w:pPr>
            <w:pStyle w:val="TDC3"/>
            <w:rPr>
              <w:rFonts w:ascii="Century Gothic" w:hAnsi="Century Gothic"/>
              <w:noProof/>
              <w:lang w:val="es-ES" w:eastAsia="es-ES"/>
            </w:rPr>
          </w:pPr>
          <w:hyperlink w:anchor="_Toc532565944" w:history="1">
            <w:r w:rsidRPr="0079336B">
              <w:rPr>
                <w:rStyle w:val="Hipervnculo"/>
                <w:rFonts w:ascii="Century Gothic" w:hAnsi="Century Gothic"/>
                <w:noProof/>
                <w:lang w:val="es-ES"/>
              </w:rPr>
              <w:t>5.2.3 Gastos de inversión</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_Toc532565944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83</w:t>
            </w:r>
            <w:r w:rsidRPr="0079336B">
              <w:rPr>
                <w:rFonts w:ascii="Century Gothic" w:hAnsi="Century Gothic"/>
                <w:noProof/>
                <w:webHidden/>
              </w:rPr>
              <w:fldChar w:fldCharType="end"/>
            </w:r>
          </w:hyperlink>
        </w:p>
        <w:p w14:paraId="247A9DFD"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45" w:history="1">
            <w:r w:rsidRPr="0079336B">
              <w:rPr>
                <w:rStyle w:val="Hipervnculo"/>
                <w:rFonts w:ascii="Century Gothic" w:hAnsi="Century Gothic"/>
                <w:noProof/>
                <w:lang w:val="es-ES"/>
              </w:rPr>
              <w:t>6</w:t>
            </w:r>
            <w:r w:rsidRPr="0079336B">
              <w:rPr>
                <w:rFonts w:ascii="Century Gothic" w:hAnsi="Century Gothic"/>
                <w:noProof/>
                <w:lang w:val="es-ES" w:eastAsia="es-ES"/>
              </w:rPr>
              <w:tab/>
            </w:r>
            <w:r w:rsidRPr="0079336B">
              <w:rPr>
                <w:rStyle w:val="Hipervnculo"/>
                <w:rFonts w:ascii="Century Gothic" w:hAnsi="Century Gothic"/>
                <w:noProof/>
                <w:lang w:val="es-ES"/>
              </w:rPr>
              <w:t>Metas de superávit primario, nivel de deuda pública y análisis de sostenibilidad.</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91</w:t>
            </w:r>
            <w:r w:rsidRPr="0079336B">
              <w:rPr>
                <w:rFonts w:ascii="Century Gothic" w:hAnsi="Century Gothic"/>
                <w:noProof/>
                <w:webHidden/>
              </w:rPr>
              <w:fldChar w:fldCharType="end"/>
            </w:r>
          </w:hyperlink>
        </w:p>
        <w:p w14:paraId="0F0BB90C"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46" w:history="1">
            <w:r w:rsidRPr="0079336B">
              <w:rPr>
                <w:rStyle w:val="Hipervnculo"/>
                <w:rFonts w:ascii="Century Gothic" w:hAnsi="Century Gothic"/>
                <w:noProof/>
                <w:lang w:val="es-ES"/>
              </w:rPr>
              <w:t>6.1</w:t>
            </w:r>
            <w:r w:rsidRPr="0079336B">
              <w:rPr>
                <w:rFonts w:ascii="Century Gothic" w:hAnsi="Century Gothic"/>
                <w:noProof/>
                <w:lang w:val="es-ES" w:eastAsia="es-ES"/>
              </w:rPr>
              <w:tab/>
            </w:r>
            <w:r w:rsidRPr="0079336B">
              <w:rPr>
                <w:rStyle w:val="Hipervnculo"/>
                <w:rFonts w:ascii="Century Gothic" w:hAnsi="Century Gothic"/>
                <w:noProof/>
                <w:lang w:val="es-ES"/>
              </w:rPr>
              <w:t>Metas de superávit primario.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91</w:t>
            </w:r>
            <w:r w:rsidRPr="0079336B">
              <w:rPr>
                <w:rFonts w:ascii="Century Gothic" w:hAnsi="Century Gothic"/>
                <w:noProof/>
                <w:webHidden/>
              </w:rPr>
              <w:fldChar w:fldCharType="end"/>
            </w:r>
          </w:hyperlink>
        </w:p>
        <w:p w14:paraId="4FC6B56F"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47" w:history="1">
            <w:r w:rsidRPr="0079336B">
              <w:rPr>
                <w:rStyle w:val="Hipervnculo"/>
                <w:rFonts w:ascii="Century Gothic" w:hAnsi="Century Gothic"/>
                <w:noProof/>
                <w:lang w:val="es-ES"/>
              </w:rPr>
              <w:t>6.2</w:t>
            </w:r>
            <w:r w:rsidRPr="0079336B">
              <w:rPr>
                <w:rFonts w:ascii="Century Gothic" w:hAnsi="Century Gothic"/>
                <w:noProof/>
                <w:lang w:val="es-ES" w:eastAsia="es-ES"/>
              </w:rPr>
              <w:tab/>
            </w:r>
            <w:r w:rsidRPr="0079336B">
              <w:rPr>
                <w:rStyle w:val="Hipervnculo"/>
                <w:rFonts w:ascii="Century Gothic" w:hAnsi="Century Gothic"/>
                <w:noProof/>
                <w:lang w:val="es-ES"/>
              </w:rPr>
              <w:t>Nivel de deuda pública y análisis de sostenibilidad</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92</w:t>
            </w:r>
            <w:r w:rsidRPr="0079336B">
              <w:rPr>
                <w:rFonts w:ascii="Century Gothic" w:hAnsi="Century Gothic"/>
                <w:noProof/>
                <w:webHidden/>
              </w:rPr>
              <w:fldChar w:fldCharType="end"/>
            </w:r>
          </w:hyperlink>
        </w:p>
        <w:p w14:paraId="152B4662" w14:textId="77777777" w:rsidR="0079336B" w:rsidRPr="0079336B" w:rsidRDefault="0079336B" w:rsidP="0079336B">
          <w:pPr>
            <w:pStyle w:val="TDC3"/>
            <w:rPr>
              <w:rFonts w:ascii="Century Gothic" w:hAnsi="Century Gothic"/>
              <w:noProof/>
              <w:lang w:val="es-ES" w:eastAsia="es-ES"/>
            </w:rPr>
          </w:pPr>
          <w:hyperlink w:anchor="_Toc532565948" w:history="1">
            <w:r w:rsidRPr="0079336B">
              <w:rPr>
                <w:rStyle w:val="Hipervnculo"/>
                <w:rFonts w:ascii="Century Gothic" w:hAnsi="Century Gothic"/>
                <w:noProof/>
                <w:lang w:val="es-ES"/>
              </w:rPr>
              <w:t>6.2.1 Saldo de la deuda</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_Toc532565948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92</w:t>
            </w:r>
            <w:r w:rsidRPr="0079336B">
              <w:rPr>
                <w:rFonts w:ascii="Century Gothic" w:hAnsi="Century Gothic"/>
                <w:noProof/>
                <w:webHidden/>
              </w:rPr>
              <w:fldChar w:fldCharType="end"/>
            </w:r>
          </w:hyperlink>
        </w:p>
        <w:p w14:paraId="3837D606" w14:textId="77777777" w:rsidR="0079336B" w:rsidRPr="0079336B" w:rsidRDefault="0079336B" w:rsidP="0079336B">
          <w:pPr>
            <w:pStyle w:val="TDC3"/>
            <w:rPr>
              <w:rFonts w:ascii="Century Gothic" w:hAnsi="Century Gothic"/>
              <w:noProof/>
              <w:lang w:val="es-ES" w:eastAsia="es-ES"/>
            </w:rPr>
          </w:pPr>
          <w:hyperlink w:anchor="_Toc532565949" w:history="1">
            <w:r w:rsidRPr="0079336B">
              <w:rPr>
                <w:rStyle w:val="Hipervnculo"/>
                <w:rFonts w:ascii="Century Gothic" w:hAnsi="Century Gothic"/>
                <w:noProof/>
                <w:lang w:val="es-ES"/>
              </w:rPr>
              <w:t>6.2.2 Aspectos a tener en cuenta en el cálculo de la capacidad de pago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_Toc532565949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96</w:t>
            </w:r>
            <w:r w:rsidRPr="0079336B">
              <w:rPr>
                <w:rFonts w:ascii="Century Gothic" w:hAnsi="Century Gothic"/>
                <w:noProof/>
                <w:webHidden/>
              </w:rPr>
              <w:fldChar w:fldCharType="end"/>
            </w:r>
          </w:hyperlink>
        </w:p>
        <w:p w14:paraId="511A7567" w14:textId="77777777" w:rsidR="0079336B" w:rsidRPr="0079336B" w:rsidRDefault="0079336B" w:rsidP="0079336B">
          <w:pPr>
            <w:pStyle w:val="TDC3"/>
            <w:rPr>
              <w:rFonts w:ascii="Century Gothic" w:hAnsi="Century Gothic"/>
              <w:noProof/>
              <w:lang w:val="es-ES" w:eastAsia="es-ES"/>
            </w:rPr>
          </w:pPr>
          <w:hyperlink w:anchor="_Toc532565950" w:history="1">
            <w:r w:rsidRPr="0079336B">
              <w:rPr>
                <w:rStyle w:val="Hipervnculo"/>
                <w:rFonts w:ascii="Century Gothic" w:hAnsi="Century Gothic"/>
                <w:noProof/>
                <w:lang w:val="es-ES"/>
              </w:rPr>
              <w:t>6.2.3 Conceptos básicos de Ley 358 de 1997.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_Toc532565950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98</w:t>
            </w:r>
            <w:r w:rsidRPr="0079336B">
              <w:rPr>
                <w:rFonts w:ascii="Century Gothic" w:hAnsi="Century Gothic"/>
                <w:noProof/>
                <w:webHidden/>
              </w:rPr>
              <w:fldChar w:fldCharType="end"/>
            </w:r>
          </w:hyperlink>
        </w:p>
        <w:p w14:paraId="7F16C65B"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51" w:history="1">
            <w:r w:rsidRPr="0079336B">
              <w:rPr>
                <w:rStyle w:val="Hipervnculo"/>
                <w:rFonts w:ascii="Century Gothic" w:hAnsi="Century Gothic"/>
                <w:noProof/>
                <w:lang w:val="es-ES"/>
              </w:rPr>
              <w:t>6.3</w:t>
            </w:r>
            <w:r w:rsidRPr="0079336B">
              <w:rPr>
                <w:rFonts w:ascii="Century Gothic" w:hAnsi="Century Gothic"/>
                <w:noProof/>
                <w:lang w:val="es-ES" w:eastAsia="es-ES"/>
              </w:rPr>
              <w:tab/>
            </w:r>
            <w:r w:rsidRPr="0079336B">
              <w:rPr>
                <w:rStyle w:val="Hipervnculo"/>
                <w:rFonts w:ascii="Century Gothic" w:hAnsi="Century Gothic"/>
                <w:noProof/>
              </w:rPr>
              <w:t>Calificación</w:t>
            </w:r>
            <w:r w:rsidRPr="0079336B">
              <w:rPr>
                <w:rStyle w:val="Hipervnculo"/>
                <w:rFonts w:ascii="Century Gothic" w:hAnsi="Century Gothic"/>
                <w:noProof/>
                <w:lang w:val="es-ES"/>
              </w:rPr>
              <w:t xml:space="preserve"> de capacidad de pago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_Toc532565951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100</w:t>
            </w:r>
            <w:r w:rsidRPr="0079336B">
              <w:rPr>
                <w:rFonts w:ascii="Century Gothic" w:hAnsi="Century Gothic"/>
                <w:noProof/>
                <w:webHidden/>
              </w:rPr>
              <w:fldChar w:fldCharType="end"/>
            </w:r>
          </w:hyperlink>
        </w:p>
        <w:p w14:paraId="27C49E60"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52" w:history="1">
            <w:r w:rsidRPr="0079336B">
              <w:rPr>
                <w:rStyle w:val="Hipervnculo"/>
                <w:rFonts w:ascii="Century Gothic" w:hAnsi="Century Gothic"/>
                <w:noProof/>
                <w:lang w:val="es-ES"/>
              </w:rPr>
              <w:t>7</w:t>
            </w:r>
            <w:r w:rsidRPr="0079336B">
              <w:rPr>
                <w:rFonts w:ascii="Century Gothic" w:hAnsi="Century Gothic"/>
                <w:noProof/>
                <w:lang w:val="es-ES" w:eastAsia="es-ES"/>
              </w:rPr>
              <w:tab/>
            </w:r>
            <w:r w:rsidRPr="0079336B">
              <w:rPr>
                <w:rStyle w:val="Hipervnculo"/>
                <w:rFonts w:ascii="Century Gothic" w:hAnsi="Century Gothic"/>
                <w:noProof/>
                <w:lang w:val="es-ES"/>
              </w:rPr>
              <w:t>Perfil de la deuda pretendida 2018 – 2019</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_Toc532565952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101</w:t>
            </w:r>
            <w:r w:rsidRPr="0079336B">
              <w:rPr>
                <w:rFonts w:ascii="Century Gothic" w:hAnsi="Century Gothic"/>
                <w:noProof/>
                <w:webHidden/>
              </w:rPr>
              <w:fldChar w:fldCharType="end"/>
            </w:r>
          </w:hyperlink>
        </w:p>
        <w:p w14:paraId="3CFC9261" w14:textId="77777777" w:rsidR="0079336B" w:rsidRPr="0079336B" w:rsidRDefault="0079336B" w:rsidP="0079336B">
          <w:pPr>
            <w:pStyle w:val="TDC3"/>
            <w:rPr>
              <w:rFonts w:ascii="Century Gothic" w:hAnsi="Century Gothic"/>
              <w:noProof/>
              <w:lang w:val="es-ES" w:eastAsia="es-ES"/>
            </w:rPr>
          </w:pPr>
          <w:hyperlink w:anchor="_Toc532565953" w:history="1">
            <w:r w:rsidRPr="0079336B">
              <w:rPr>
                <w:rStyle w:val="Hipervnculo"/>
                <w:rFonts w:ascii="Century Gothic" w:hAnsi="Century Gothic"/>
                <w:noProof/>
                <w:lang w:val="es-ES"/>
              </w:rPr>
              <w:t>7.1.1 Servicio de la deuda 2019 – 2029</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_Toc532565953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102</w:t>
            </w:r>
            <w:r w:rsidRPr="0079336B">
              <w:rPr>
                <w:rFonts w:ascii="Century Gothic" w:hAnsi="Century Gothic"/>
                <w:noProof/>
                <w:webHidden/>
              </w:rPr>
              <w:fldChar w:fldCharType="end"/>
            </w:r>
          </w:hyperlink>
        </w:p>
        <w:p w14:paraId="40887458"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54" w:history="1">
            <w:r w:rsidRPr="0079336B">
              <w:rPr>
                <w:rStyle w:val="Hipervnculo"/>
                <w:rFonts w:ascii="Century Gothic" w:hAnsi="Century Gothic"/>
                <w:noProof/>
                <w:lang w:val="es-ES"/>
              </w:rPr>
              <w:t>8</w:t>
            </w:r>
            <w:r w:rsidRPr="0079336B">
              <w:rPr>
                <w:rFonts w:ascii="Century Gothic" w:hAnsi="Century Gothic"/>
                <w:noProof/>
                <w:lang w:val="es-ES" w:eastAsia="es-ES"/>
              </w:rPr>
              <w:tab/>
            </w:r>
            <w:r w:rsidRPr="0079336B">
              <w:rPr>
                <w:rStyle w:val="Hipervnculo"/>
                <w:rFonts w:ascii="Century Gothic" w:hAnsi="Century Gothic"/>
                <w:noProof/>
              </w:rPr>
              <w:t>Cálculo actualizado de indicadores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_Toc532565954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102</w:t>
            </w:r>
            <w:r w:rsidRPr="0079336B">
              <w:rPr>
                <w:rFonts w:ascii="Century Gothic" w:hAnsi="Century Gothic"/>
                <w:noProof/>
                <w:webHidden/>
              </w:rPr>
              <w:fldChar w:fldCharType="end"/>
            </w:r>
          </w:hyperlink>
        </w:p>
        <w:p w14:paraId="4DE43D64" w14:textId="77777777" w:rsidR="0079336B" w:rsidRPr="0079336B" w:rsidRDefault="0079336B" w:rsidP="0079336B">
          <w:pPr>
            <w:pStyle w:val="TDC1"/>
            <w:tabs>
              <w:tab w:val="left" w:pos="440"/>
              <w:tab w:val="right" w:leader="dot" w:pos="8828"/>
            </w:tabs>
            <w:spacing w:after="0"/>
            <w:rPr>
              <w:rFonts w:ascii="Century Gothic" w:hAnsi="Century Gothic"/>
              <w:noProof/>
              <w:lang w:val="es-ES" w:eastAsia="es-ES"/>
            </w:rPr>
          </w:pPr>
          <w:hyperlink w:anchor="_Toc532565955" w:history="1">
            <w:r w:rsidRPr="0079336B">
              <w:rPr>
                <w:rStyle w:val="Hipervnculo"/>
                <w:rFonts w:ascii="Century Gothic" w:hAnsi="Century Gothic"/>
                <w:noProof/>
                <w:lang w:val="es-ES"/>
              </w:rPr>
              <w:t>9</w:t>
            </w:r>
            <w:r w:rsidRPr="0079336B">
              <w:rPr>
                <w:rFonts w:ascii="Century Gothic" w:hAnsi="Century Gothic"/>
                <w:noProof/>
                <w:lang w:val="es-ES" w:eastAsia="es-ES"/>
              </w:rPr>
              <w:tab/>
            </w:r>
            <w:r w:rsidRPr="0079336B">
              <w:rPr>
                <w:rStyle w:val="Hipervnculo"/>
                <w:rFonts w:ascii="Century Gothic" w:hAnsi="Century Gothic"/>
                <w:noProof/>
                <w:lang w:val="es-ES"/>
              </w:rPr>
              <w:t>Ahorro operacional.</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103</w:t>
            </w:r>
            <w:r w:rsidRPr="0079336B">
              <w:rPr>
                <w:rFonts w:ascii="Century Gothic" w:hAnsi="Century Gothic"/>
                <w:noProof/>
                <w:webHidden/>
              </w:rPr>
              <w:fldChar w:fldCharType="end"/>
            </w:r>
          </w:hyperlink>
        </w:p>
        <w:p w14:paraId="481414F9" w14:textId="77777777" w:rsidR="0079336B" w:rsidRPr="0079336B" w:rsidRDefault="0079336B" w:rsidP="0079336B">
          <w:pPr>
            <w:pStyle w:val="TDC1"/>
            <w:tabs>
              <w:tab w:val="left" w:pos="660"/>
              <w:tab w:val="right" w:leader="dot" w:pos="8828"/>
            </w:tabs>
            <w:spacing w:after="0"/>
            <w:rPr>
              <w:rFonts w:ascii="Century Gothic" w:hAnsi="Century Gothic"/>
              <w:noProof/>
              <w:lang w:val="es-ES" w:eastAsia="es-ES"/>
            </w:rPr>
          </w:pPr>
          <w:hyperlink w:anchor="_Toc532565956" w:history="1">
            <w:r w:rsidRPr="0079336B">
              <w:rPr>
                <w:rStyle w:val="Hipervnculo"/>
                <w:rFonts w:ascii="Century Gothic" w:hAnsi="Century Gothic"/>
                <w:noProof/>
              </w:rPr>
              <w:t>10</w:t>
            </w:r>
            <w:r w:rsidRPr="0079336B">
              <w:rPr>
                <w:rFonts w:ascii="Century Gothic" w:hAnsi="Century Gothic"/>
                <w:noProof/>
                <w:lang w:val="es-ES" w:eastAsia="es-ES"/>
              </w:rPr>
              <w:tab/>
            </w:r>
            <w:r w:rsidRPr="0079336B">
              <w:rPr>
                <w:rStyle w:val="Hipervnculo"/>
                <w:rFonts w:ascii="Century Gothic" w:hAnsi="Century Gothic"/>
                <w:noProof/>
              </w:rPr>
              <w:t>Acciones y medidas específicas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104</w:t>
            </w:r>
            <w:r w:rsidRPr="0079336B">
              <w:rPr>
                <w:rFonts w:ascii="Century Gothic" w:hAnsi="Century Gothic"/>
                <w:noProof/>
                <w:webHidden/>
              </w:rPr>
              <w:fldChar w:fldCharType="end"/>
            </w:r>
          </w:hyperlink>
        </w:p>
        <w:p w14:paraId="457560A9" w14:textId="77777777" w:rsidR="0079336B" w:rsidRPr="0079336B" w:rsidRDefault="0079336B" w:rsidP="0079336B">
          <w:pPr>
            <w:pStyle w:val="TDC2"/>
            <w:tabs>
              <w:tab w:val="left" w:pos="880"/>
              <w:tab w:val="right" w:leader="dot" w:pos="8828"/>
            </w:tabs>
            <w:spacing w:after="0"/>
            <w:rPr>
              <w:rFonts w:ascii="Century Gothic" w:hAnsi="Century Gothic"/>
              <w:noProof/>
              <w:lang w:val="es-ES" w:eastAsia="es-ES"/>
            </w:rPr>
          </w:pPr>
          <w:hyperlink w:anchor="_Toc532565957" w:history="1">
            <w:r w:rsidRPr="0079336B">
              <w:rPr>
                <w:rStyle w:val="Hipervnculo"/>
                <w:rFonts w:ascii="Century Gothic" w:hAnsi="Century Gothic"/>
                <w:noProof/>
                <w:lang w:val="es-ES"/>
              </w:rPr>
              <w:t>10.1</w:t>
            </w:r>
            <w:r w:rsidRPr="0079336B">
              <w:rPr>
                <w:rFonts w:ascii="Century Gothic" w:hAnsi="Century Gothic"/>
                <w:noProof/>
                <w:lang w:val="es-ES" w:eastAsia="es-ES"/>
              </w:rPr>
              <w:tab/>
            </w:r>
            <w:r w:rsidRPr="0079336B">
              <w:rPr>
                <w:rStyle w:val="Hipervnculo"/>
                <w:rFonts w:ascii="Century Gothic" w:hAnsi="Century Gothic"/>
                <w:noProof/>
                <w:lang w:val="es-ES"/>
              </w:rPr>
              <w:t>Acciones y medidas para controlar el gasto.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_Toc532565957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113</w:t>
            </w:r>
            <w:r w:rsidRPr="0079336B">
              <w:rPr>
                <w:rFonts w:ascii="Century Gothic" w:hAnsi="Century Gothic"/>
                <w:noProof/>
                <w:webHidden/>
              </w:rPr>
              <w:fldChar w:fldCharType="end"/>
            </w:r>
          </w:hyperlink>
        </w:p>
        <w:p w14:paraId="3E2CA553" w14:textId="4022AC97" w:rsidR="00AF2D5C" w:rsidRPr="0079336B" w:rsidRDefault="00A83A24" w:rsidP="0079336B">
          <w:pPr>
            <w:spacing w:after="0"/>
            <w:rPr>
              <w:rFonts w:ascii="Century Gothic" w:hAnsi="Century Gothic"/>
              <w:highlight w:val="yellow"/>
              <w:lang w:val="es-ES"/>
            </w:rPr>
          </w:pPr>
          <w:r w:rsidRPr="0079336B">
            <w:rPr>
              <w:rFonts w:ascii="Century Gothic" w:hAnsi="Century Gothic"/>
              <w:bCs/>
              <w:highlight w:val="yellow"/>
              <w:lang w:val="es-ES"/>
            </w:rPr>
            <w:fldChar w:fldCharType="end"/>
          </w:r>
        </w:p>
      </w:sdtContent>
    </w:sdt>
    <w:p w14:paraId="62F09DF2" w14:textId="77777777" w:rsidR="0079336B" w:rsidRDefault="0079336B">
      <w:pPr>
        <w:rPr>
          <w:rFonts w:ascii="Century Gothic" w:hAnsi="Century Gothic"/>
          <w:highlight w:val="yellow"/>
          <w:lang w:val="es-ES"/>
        </w:rPr>
      </w:pPr>
      <w:r>
        <w:rPr>
          <w:rFonts w:ascii="Century Gothic" w:hAnsi="Century Gothic"/>
          <w:highlight w:val="yellow"/>
          <w:lang w:val="es-ES"/>
        </w:rPr>
        <w:br w:type="page"/>
      </w:r>
    </w:p>
    <w:p w14:paraId="140BCB7C" w14:textId="2025BDD7" w:rsidR="00D35825" w:rsidRPr="0079336B" w:rsidRDefault="001174F6" w:rsidP="009931F5">
      <w:pPr>
        <w:pStyle w:val="Tabladeilustraciones"/>
        <w:tabs>
          <w:tab w:val="right" w:leader="dot" w:pos="9050"/>
        </w:tabs>
        <w:jc w:val="center"/>
        <w:rPr>
          <w:rFonts w:ascii="Century Gothic" w:hAnsi="Century Gothic"/>
          <w:lang w:val="es-ES"/>
        </w:rPr>
      </w:pPr>
      <w:r w:rsidRPr="0079336B">
        <w:rPr>
          <w:rFonts w:ascii="Century Gothic" w:hAnsi="Century Gothic"/>
          <w:lang w:val="es-ES"/>
        </w:rPr>
        <w:lastRenderedPageBreak/>
        <w:t>Lista de gráficas</w:t>
      </w:r>
    </w:p>
    <w:p w14:paraId="238A1C34" w14:textId="77777777" w:rsidR="00D35825" w:rsidRPr="0079336B" w:rsidRDefault="00D35825" w:rsidP="009931F5">
      <w:pPr>
        <w:pStyle w:val="Tabladeilustraciones"/>
        <w:tabs>
          <w:tab w:val="right" w:leader="dot" w:pos="9050"/>
        </w:tabs>
        <w:rPr>
          <w:rFonts w:ascii="Century Gothic" w:hAnsi="Century Gothic"/>
          <w:highlight w:val="yellow"/>
          <w:lang w:val="es-ES"/>
        </w:rPr>
      </w:pPr>
    </w:p>
    <w:p w14:paraId="51DDEFE7" w14:textId="77777777" w:rsidR="0079336B" w:rsidRPr="0079336B" w:rsidRDefault="00A83A24">
      <w:pPr>
        <w:pStyle w:val="Tabladeilustraciones"/>
        <w:tabs>
          <w:tab w:val="right" w:leader="dot" w:pos="8828"/>
        </w:tabs>
        <w:rPr>
          <w:rFonts w:ascii="Century Gothic" w:hAnsi="Century Gothic"/>
          <w:noProof/>
          <w:lang w:val="es-ES" w:eastAsia="es-ES"/>
        </w:rPr>
      </w:pPr>
      <w:r w:rsidRPr="0079336B">
        <w:rPr>
          <w:rFonts w:ascii="Century Gothic" w:hAnsi="Century Gothic"/>
          <w:highlight w:val="yellow"/>
          <w:lang w:val="es-ES"/>
        </w:rPr>
        <w:fldChar w:fldCharType="begin"/>
      </w:r>
      <w:r w:rsidR="00D35825" w:rsidRPr="0079336B">
        <w:rPr>
          <w:rFonts w:ascii="Century Gothic" w:hAnsi="Century Gothic"/>
          <w:highlight w:val="yellow"/>
          <w:lang w:val="es-ES"/>
        </w:rPr>
        <w:instrText xml:space="preserve"> TOC \h \z \c "Gráfica" </w:instrText>
      </w:r>
      <w:r w:rsidRPr="0079336B">
        <w:rPr>
          <w:rFonts w:ascii="Century Gothic" w:hAnsi="Century Gothic"/>
          <w:highlight w:val="yellow"/>
          <w:lang w:val="es-ES"/>
        </w:rPr>
        <w:fldChar w:fldCharType="separate"/>
      </w:r>
      <w:hyperlink w:anchor="_Toc532566054" w:history="1">
        <w:r w:rsidR="0079336B" w:rsidRPr="0079336B">
          <w:rPr>
            <w:rStyle w:val="Hipervnculo"/>
            <w:rFonts w:ascii="Century Gothic" w:hAnsi="Century Gothic"/>
            <w:noProof/>
            <w:lang w:val="es-ES"/>
          </w:rPr>
          <w:t>Gráfica 1. Pirámide poblacional</w:t>
        </w:r>
        <w:r w:rsidR="0079336B" w:rsidRPr="0079336B">
          <w:rPr>
            <w:rFonts w:ascii="Century Gothic" w:hAnsi="Century Gothic"/>
            <w:noProof/>
            <w:webHidden/>
          </w:rPr>
          <w:tab/>
        </w:r>
        <w:r w:rsidR="0079336B" w:rsidRPr="0079336B">
          <w:rPr>
            <w:rFonts w:ascii="Century Gothic" w:hAnsi="Century Gothic"/>
            <w:noProof/>
            <w:webHidden/>
          </w:rPr>
          <w:fldChar w:fldCharType="begin"/>
        </w:r>
        <w:r w:rsidR="0079336B" w:rsidRPr="0079336B">
          <w:rPr>
            <w:rFonts w:ascii="Century Gothic" w:hAnsi="Century Gothic"/>
            <w:noProof/>
            <w:webHidden/>
          </w:rPr>
          <w:instrText xml:space="preserve"> PAGEREF _Toc532566054 \h </w:instrText>
        </w:r>
        <w:r w:rsidR="0079336B" w:rsidRPr="0079336B">
          <w:rPr>
            <w:rFonts w:ascii="Century Gothic" w:hAnsi="Century Gothic"/>
            <w:noProof/>
            <w:webHidden/>
          </w:rPr>
        </w:r>
        <w:r w:rsidR="0079336B" w:rsidRPr="0079336B">
          <w:rPr>
            <w:rFonts w:ascii="Century Gothic" w:hAnsi="Century Gothic"/>
            <w:noProof/>
            <w:webHidden/>
          </w:rPr>
          <w:fldChar w:fldCharType="separate"/>
        </w:r>
        <w:r w:rsidR="0079336B" w:rsidRPr="0079336B">
          <w:rPr>
            <w:rFonts w:ascii="Century Gothic" w:hAnsi="Century Gothic"/>
            <w:noProof/>
            <w:webHidden/>
          </w:rPr>
          <w:t>10</w:t>
        </w:r>
        <w:r w:rsidR="0079336B" w:rsidRPr="0079336B">
          <w:rPr>
            <w:rFonts w:ascii="Century Gothic" w:hAnsi="Century Gothic"/>
            <w:noProof/>
            <w:webHidden/>
          </w:rPr>
          <w:fldChar w:fldCharType="end"/>
        </w:r>
      </w:hyperlink>
    </w:p>
    <w:p w14:paraId="4A494523"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55" w:history="1">
        <w:r w:rsidRPr="0079336B">
          <w:rPr>
            <w:rStyle w:val="Hipervnculo"/>
            <w:rFonts w:ascii="Century Gothic" w:hAnsi="Century Gothic"/>
            <w:noProof/>
            <w:lang w:val="es-ES"/>
          </w:rPr>
          <w:t>Gráfica 2. Composición apropiación definitiva de ingresos, 2017 (millones)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_Toc532566055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17</w:t>
        </w:r>
        <w:r w:rsidRPr="0079336B">
          <w:rPr>
            <w:rFonts w:ascii="Century Gothic" w:hAnsi="Century Gothic"/>
            <w:noProof/>
            <w:webHidden/>
          </w:rPr>
          <w:fldChar w:fldCharType="end"/>
        </w:r>
      </w:hyperlink>
    </w:p>
    <w:p w14:paraId="77EE2FD8"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56" w:history="1">
        <w:r w:rsidRPr="0079336B">
          <w:rPr>
            <w:rStyle w:val="Hipervnculo"/>
            <w:rFonts w:ascii="Century Gothic" w:hAnsi="Century Gothic"/>
            <w:noProof/>
            <w:lang w:val="es-ES"/>
          </w:rPr>
          <w:t>Gráfica 3. Recaudo ingresos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_Toc532566056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18</w:t>
        </w:r>
        <w:r w:rsidRPr="0079336B">
          <w:rPr>
            <w:rFonts w:ascii="Century Gothic" w:hAnsi="Century Gothic"/>
            <w:noProof/>
            <w:webHidden/>
          </w:rPr>
          <w:fldChar w:fldCharType="end"/>
        </w:r>
      </w:hyperlink>
    </w:p>
    <w:p w14:paraId="07AE7366"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57" w:history="1">
        <w:r w:rsidRPr="0079336B">
          <w:rPr>
            <w:rStyle w:val="Hipervnculo"/>
            <w:rFonts w:ascii="Century Gothic" w:hAnsi="Century Gothic"/>
            <w:noProof/>
            <w:lang w:val="es-ES"/>
          </w:rPr>
          <w:t>Gráfica 4. Gastos de funcionamiento por unidades 2017 (millones de pesos)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_Toc532566057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31</w:t>
        </w:r>
        <w:r w:rsidRPr="0079336B">
          <w:rPr>
            <w:rFonts w:ascii="Century Gothic" w:hAnsi="Century Gothic"/>
            <w:noProof/>
            <w:webHidden/>
          </w:rPr>
          <w:fldChar w:fldCharType="end"/>
        </w:r>
      </w:hyperlink>
    </w:p>
    <w:p w14:paraId="4A8DC22E"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58" w:history="1">
        <w:r w:rsidRPr="0079336B">
          <w:rPr>
            <w:rStyle w:val="Hipervnculo"/>
            <w:rFonts w:ascii="Century Gothic" w:hAnsi="Century Gothic"/>
            <w:noProof/>
            <w:lang w:val="es-ES"/>
          </w:rPr>
          <w:t>Gráfica 5. Composición presupuesto definitivo gastos de funcionamiento 2017 (millones de pesos)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_Toc532566058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32</w:t>
        </w:r>
        <w:r w:rsidRPr="0079336B">
          <w:rPr>
            <w:rFonts w:ascii="Century Gothic" w:hAnsi="Century Gothic"/>
            <w:noProof/>
            <w:webHidden/>
          </w:rPr>
          <w:fldChar w:fldCharType="end"/>
        </w:r>
      </w:hyperlink>
    </w:p>
    <w:p w14:paraId="3B5F4C68"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59" w:history="1">
        <w:r w:rsidRPr="0079336B">
          <w:rPr>
            <w:rStyle w:val="Hipervnculo"/>
            <w:rFonts w:ascii="Century Gothic" w:hAnsi="Century Gothic"/>
            <w:noProof/>
            <w:lang w:val="es-ES"/>
          </w:rPr>
          <w:t>Gráfica 6. Composición presupuesto definitivo gastos de funcionamiento 2017 (millones de pesos)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_Toc532566059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32</w:t>
        </w:r>
        <w:r w:rsidRPr="0079336B">
          <w:rPr>
            <w:rFonts w:ascii="Century Gothic" w:hAnsi="Century Gothic"/>
            <w:noProof/>
            <w:webHidden/>
          </w:rPr>
          <w:fldChar w:fldCharType="end"/>
        </w:r>
      </w:hyperlink>
    </w:p>
    <w:p w14:paraId="5203089F"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0" w:history="1">
        <w:r w:rsidRPr="0079336B">
          <w:rPr>
            <w:rStyle w:val="Hipervnculo"/>
            <w:rFonts w:ascii="Century Gothic" w:hAnsi="Century Gothic"/>
            <w:noProof/>
            <w:lang w:val="es-ES"/>
          </w:rPr>
          <w:t>Gráfica 7. Desagregación transferencias Entes de Control 2017 (millones de pesos)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_Toc532566060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33</w:t>
        </w:r>
        <w:r w:rsidRPr="0079336B">
          <w:rPr>
            <w:rFonts w:ascii="Century Gothic" w:hAnsi="Century Gothic"/>
            <w:noProof/>
            <w:webHidden/>
          </w:rPr>
          <w:fldChar w:fldCharType="end"/>
        </w:r>
      </w:hyperlink>
    </w:p>
    <w:p w14:paraId="596EA99B"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1" w:history="1">
        <w:r w:rsidRPr="0079336B">
          <w:rPr>
            <w:rStyle w:val="Hipervnculo"/>
            <w:rFonts w:ascii="Century Gothic" w:hAnsi="Century Gothic"/>
            <w:noProof/>
            <w:lang w:val="es-ES"/>
          </w:rPr>
          <w:t>Gráfica 8. Acciones constitucionales y judiciales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_Toc532566061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53</w:t>
        </w:r>
        <w:r w:rsidRPr="0079336B">
          <w:rPr>
            <w:rFonts w:ascii="Century Gothic" w:hAnsi="Century Gothic"/>
            <w:noProof/>
            <w:webHidden/>
          </w:rPr>
          <w:fldChar w:fldCharType="end"/>
        </w:r>
      </w:hyperlink>
    </w:p>
    <w:p w14:paraId="056D8417"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2" w:history="1">
        <w:r w:rsidRPr="0079336B">
          <w:rPr>
            <w:rStyle w:val="Hipervnculo"/>
            <w:rFonts w:ascii="Century Gothic" w:hAnsi="Century Gothic"/>
            <w:noProof/>
            <w:lang w:val="es-ES"/>
          </w:rPr>
          <w:t>Gráfica 9. Acciones constitucionales y judiciales junio 2018</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_Toc532566062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54</w:t>
        </w:r>
        <w:r w:rsidRPr="0079336B">
          <w:rPr>
            <w:rFonts w:ascii="Century Gothic" w:hAnsi="Century Gothic"/>
            <w:noProof/>
            <w:webHidden/>
          </w:rPr>
          <w:fldChar w:fldCharType="end"/>
        </w:r>
      </w:hyperlink>
    </w:p>
    <w:p w14:paraId="55712598"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3" w:history="1">
        <w:r w:rsidRPr="0079336B">
          <w:rPr>
            <w:rStyle w:val="Hipervnculo"/>
            <w:rFonts w:ascii="Century Gothic" w:hAnsi="Century Gothic"/>
            <w:noProof/>
            <w:lang w:val="es-ES"/>
          </w:rPr>
          <w:t>Gráfica 10. Nivel de riesgo año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_Toc532566063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55</w:t>
        </w:r>
        <w:r w:rsidRPr="0079336B">
          <w:rPr>
            <w:rFonts w:ascii="Century Gothic" w:hAnsi="Century Gothic"/>
            <w:noProof/>
            <w:webHidden/>
          </w:rPr>
          <w:fldChar w:fldCharType="end"/>
        </w:r>
      </w:hyperlink>
    </w:p>
    <w:p w14:paraId="70BC1DBE"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4" w:history="1">
        <w:r w:rsidRPr="0079336B">
          <w:rPr>
            <w:rStyle w:val="Hipervnculo"/>
            <w:rFonts w:ascii="Century Gothic" w:hAnsi="Century Gothic"/>
            <w:noProof/>
            <w:lang w:val="es-ES"/>
          </w:rPr>
          <w:t>Gráfica 11. Nivel de riesgo, junio 2018</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_Toc532566064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56</w:t>
        </w:r>
        <w:r w:rsidRPr="0079336B">
          <w:rPr>
            <w:rFonts w:ascii="Century Gothic" w:hAnsi="Century Gothic"/>
            <w:noProof/>
            <w:webHidden/>
          </w:rPr>
          <w:fldChar w:fldCharType="end"/>
        </w:r>
      </w:hyperlink>
    </w:p>
    <w:p w14:paraId="7BCE06F1"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5" w:history="1">
        <w:r w:rsidRPr="0079336B">
          <w:rPr>
            <w:rStyle w:val="Hipervnculo"/>
            <w:rFonts w:ascii="Century Gothic" w:hAnsi="Century Gothic"/>
            <w:noProof/>
            <w:lang w:val="es-ES"/>
          </w:rPr>
          <w:t>Gráfica 12. Riesgo – Cuantía, año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56</w:t>
        </w:r>
        <w:r w:rsidRPr="0079336B">
          <w:rPr>
            <w:rFonts w:ascii="Century Gothic" w:hAnsi="Century Gothic"/>
            <w:noProof/>
            <w:webHidden/>
          </w:rPr>
          <w:fldChar w:fldCharType="end"/>
        </w:r>
      </w:hyperlink>
    </w:p>
    <w:p w14:paraId="29ED5499"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6" w:history="1">
        <w:r w:rsidRPr="0079336B">
          <w:rPr>
            <w:rStyle w:val="Hipervnculo"/>
            <w:rFonts w:ascii="Century Gothic" w:hAnsi="Century Gothic"/>
            <w:noProof/>
            <w:lang w:val="es-ES"/>
          </w:rPr>
          <w:t>Gráfica 13. Riesgo – Cuantía, junio 2018</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57</w:t>
        </w:r>
        <w:r w:rsidRPr="0079336B">
          <w:rPr>
            <w:rFonts w:ascii="Century Gothic" w:hAnsi="Century Gothic"/>
            <w:noProof/>
            <w:webHidden/>
          </w:rPr>
          <w:fldChar w:fldCharType="end"/>
        </w:r>
      </w:hyperlink>
    </w:p>
    <w:p w14:paraId="10D32D9A"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7" w:history="1">
        <w:r w:rsidRPr="0079336B">
          <w:rPr>
            <w:rStyle w:val="Hipervnculo"/>
            <w:rFonts w:ascii="Century Gothic" w:hAnsi="Century Gothic"/>
            <w:noProof/>
            <w:lang w:val="es-ES"/>
          </w:rPr>
          <w:t>Gráfica 14. Pasivo pensional territorial, cubrimiento pasivo pensional territorial</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60</w:t>
        </w:r>
        <w:r w:rsidRPr="0079336B">
          <w:rPr>
            <w:rFonts w:ascii="Century Gothic" w:hAnsi="Century Gothic"/>
            <w:noProof/>
            <w:webHidden/>
          </w:rPr>
          <w:fldChar w:fldCharType="end"/>
        </w:r>
      </w:hyperlink>
    </w:p>
    <w:p w14:paraId="10893362"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8" w:history="1">
        <w:r w:rsidRPr="0079336B">
          <w:rPr>
            <w:rStyle w:val="Hipervnculo"/>
            <w:rFonts w:ascii="Century Gothic" w:hAnsi="Century Gothic"/>
            <w:noProof/>
            <w:lang w:val="es-ES"/>
          </w:rPr>
          <w:t>Gráfica 15.</w:t>
        </w:r>
        <w:r w:rsidRPr="0079336B">
          <w:rPr>
            <w:rStyle w:val="Hipervnculo"/>
            <w:rFonts w:ascii="Century Gothic" w:hAnsi="Century Gothic"/>
            <w:b/>
            <w:noProof/>
            <w:lang w:val="es-ES"/>
          </w:rPr>
          <w:t xml:space="preserve"> </w:t>
        </w:r>
        <w:r w:rsidRPr="0079336B">
          <w:rPr>
            <w:rStyle w:val="Hipervnculo"/>
            <w:rFonts w:ascii="Century Gothic" w:hAnsi="Century Gothic"/>
            <w:noProof/>
            <w:lang w:val="es-ES"/>
          </w:rPr>
          <w:t>Relación de recursos excedentes retirados del FONPET</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_Toc532566068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60</w:t>
        </w:r>
        <w:r w:rsidRPr="0079336B">
          <w:rPr>
            <w:rFonts w:ascii="Century Gothic" w:hAnsi="Century Gothic"/>
            <w:noProof/>
            <w:webHidden/>
          </w:rPr>
          <w:fldChar w:fldCharType="end"/>
        </w:r>
      </w:hyperlink>
    </w:p>
    <w:p w14:paraId="7A84E02F"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69" w:history="1">
        <w:r w:rsidRPr="0079336B">
          <w:rPr>
            <w:rStyle w:val="Hipervnculo"/>
            <w:rFonts w:ascii="Century Gothic" w:hAnsi="Century Gothic"/>
            <w:noProof/>
            <w:lang w:val="es-ES"/>
          </w:rPr>
          <w:t xml:space="preserve">Gráfica 16. Comparativo recursos de inversión </w:t>
        </w:r>
        <w:r w:rsidRPr="0079336B">
          <w:rPr>
            <w:rStyle w:val="Hipervnculo"/>
            <w:rFonts w:ascii="Century Gothic" w:hAnsi="Century Gothic" w:cs="Arial"/>
            <w:noProof/>
            <w:lang w:val="es-ES"/>
          </w:rPr>
          <w:t>(millones de pesos).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_Toc532566069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84</w:t>
        </w:r>
        <w:r w:rsidRPr="0079336B">
          <w:rPr>
            <w:rFonts w:ascii="Century Gothic" w:hAnsi="Century Gothic"/>
            <w:noProof/>
            <w:webHidden/>
          </w:rPr>
          <w:fldChar w:fldCharType="end"/>
        </w:r>
      </w:hyperlink>
    </w:p>
    <w:p w14:paraId="56996402"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70" w:history="1">
        <w:r w:rsidRPr="0079336B">
          <w:rPr>
            <w:rStyle w:val="Hipervnculo"/>
            <w:rFonts w:ascii="Century Gothic" w:hAnsi="Century Gothic"/>
            <w:noProof/>
            <w:lang w:val="es-ES"/>
          </w:rPr>
          <w:t>Gráfica 17. Comparativo de los recursos de inversión por pacto, años 2018 y 2019</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_Toc532566070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85</w:t>
        </w:r>
        <w:r w:rsidRPr="0079336B">
          <w:rPr>
            <w:rFonts w:ascii="Century Gothic" w:hAnsi="Century Gothic"/>
            <w:noProof/>
            <w:webHidden/>
          </w:rPr>
          <w:fldChar w:fldCharType="end"/>
        </w:r>
      </w:hyperlink>
    </w:p>
    <w:p w14:paraId="559E8102"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71" w:history="1">
        <w:r w:rsidRPr="0079336B">
          <w:rPr>
            <w:rStyle w:val="Hipervnculo"/>
            <w:rFonts w:ascii="Century Gothic" w:hAnsi="Century Gothic"/>
            <w:noProof/>
            <w:lang w:val="es-ES"/>
          </w:rPr>
          <w:t>Gráfica 18. Indicador superávit primario 2019 – 2029</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_Toc532566071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93</w:t>
        </w:r>
        <w:r w:rsidRPr="0079336B">
          <w:rPr>
            <w:rFonts w:ascii="Century Gothic" w:hAnsi="Century Gothic"/>
            <w:noProof/>
            <w:webHidden/>
          </w:rPr>
          <w:fldChar w:fldCharType="end"/>
        </w:r>
      </w:hyperlink>
    </w:p>
    <w:p w14:paraId="3CC8133A" w14:textId="11790BAC" w:rsidR="0079336B" w:rsidRPr="0079336B" w:rsidRDefault="0079336B">
      <w:pPr>
        <w:pStyle w:val="Tabladeilustraciones"/>
        <w:tabs>
          <w:tab w:val="right" w:leader="dot" w:pos="8828"/>
        </w:tabs>
        <w:rPr>
          <w:rFonts w:ascii="Century Gothic" w:hAnsi="Century Gothic"/>
          <w:noProof/>
          <w:lang w:val="es-ES" w:eastAsia="es-ES"/>
        </w:rPr>
      </w:pPr>
      <w:hyperlink w:anchor="_Toc532566072" w:history="1">
        <w:r w:rsidRPr="0079336B">
          <w:rPr>
            <w:rStyle w:val="Hipervnculo"/>
            <w:rFonts w:ascii="Century Gothic" w:hAnsi="Century Gothic"/>
            <w:noProof/>
            <w:lang w:val="es-ES"/>
          </w:rPr>
          <w:t>Gráfica 18. Saldo de la deuda. 31 de diciembre de 2017 (miles de pesos)</w:t>
        </w:r>
        <w:r w:rsidRPr="0079336B">
          <w:rPr>
            <w:rStyle w:val="Hipervnculo"/>
            <w:rFonts w:ascii="Century Gothic" w:hAnsi="Century Gothic"/>
            <w:noProof/>
            <w:lang w:val="es-ES" w:eastAsia="es-ES"/>
          </w:rPr>
          <w:t xml:space="preserve"> </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_Toc532566072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94</w:t>
        </w:r>
        <w:r w:rsidRPr="0079336B">
          <w:rPr>
            <w:rFonts w:ascii="Century Gothic" w:hAnsi="Century Gothic"/>
            <w:noProof/>
            <w:webHidden/>
          </w:rPr>
          <w:fldChar w:fldCharType="end"/>
        </w:r>
      </w:hyperlink>
    </w:p>
    <w:p w14:paraId="62966851" w14:textId="6BC180AD" w:rsidR="0079336B" w:rsidRPr="0079336B" w:rsidRDefault="0079336B">
      <w:pPr>
        <w:pStyle w:val="Tabladeilustraciones"/>
        <w:tabs>
          <w:tab w:val="right" w:leader="dot" w:pos="8828"/>
        </w:tabs>
        <w:rPr>
          <w:rFonts w:ascii="Century Gothic" w:hAnsi="Century Gothic"/>
          <w:noProof/>
          <w:lang w:val="es-ES" w:eastAsia="es-ES"/>
        </w:rPr>
      </w:pPr>
      <w:hyperlink w:anchor="_Toc532566073" w:history="1">
        <w:r w:rsidRPr="0079336B">
          <w:rPr>
            <w:rStyle w:val="Hipervnculo"/>
            <w:rFonts w:ascii="Century Gothic" w:hAnsi="Century Gothic"/>
            <w:noProof/>
            <w:lang w:val="es-ES"/>
          </w:rPr>
          <w:t xml:space="preserve">Gráfica 19. Participación endeudamiento. 31 de Diciembre de 2017 </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_Toc532566073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94</w:t>
        </w:r>
        <w:r w:rsidRPr="0079336B">
          <w:rPr>
            <w:rFonts w:ascii="Century Gothic" w:hAnsi="Century Gothic"/>
            <w:noProof/>
            <w:webHidden/>
          </w:rPr>
          <w:fldChar w:fldCharType="end"/>
        </w:r>
      </w:hyperlink>
    </w:p>
    <w:p w14:paraId="3F2CD9DF"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74" w:history="1">
        <w:r w:rsidRPr="0079336B">
          <w:rPr>
            <w:rStyle w:val="Hipervnculo"/>
            <w:rFonts w:ascii="Century Gothic" w:hAnsi="Century Gothic"/>
            <w:noProof/>
            <w:lang w:val="es-ES"/>
          </w:rPr>
          <w:t>Gráfica 20. Endeudamiento</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_Toc532566074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95</w:t>
        </w:r>
        <w:r w:rsidRPr="0079336B">
          <w:rPr>
            <w:rFonts w:ascii="Century Gothic" w:hAnsi="Century Gothic"/>
            <w:noProof/>
            <w:webHidden/>
          </w:rPr>
          <w:fldChar w:fldCharType="end"/>
        </w:r>
      </w:hyperlink>
    </w:p>
    <w:p w14:paraId="36AF0FD0"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75" w:history="1">
        <w:r w:rsidRPr="0079336B">
          <w:rPr>
            <w:rStyle w:val="Hipervnculo"/>
            <w:rFonts w:ascii="Century Gothic" w:hAnsi="Century Gothic"/>
            <w:noProof/>
            <w:lang w:val="es-ES"/>
          </w:rPr>
          <w:t>Gráfica 21. Saldo de la deuda. 30 de junio de 2018 (miles de pesos)</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_Toc532566075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97</w:t>
        </w:r>
        <w:r w:rsidRPr="0079336B">
          <w:rPr>
            <w:rFonts w:ascii="Century Gothic" w:hAnsi="Century Gothic"/>
            <w:noProof/>
            <w:webHidden/>
          </w:rPr>
          <w:fldChar w:fldCharType="end"/>
        </w:r>
      </w:hyperlink>
    </w:p>
    <w:p w14:paraId="74FE6332"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76" w:history="1">
        <w:r w:rsidRPr="0079336B">
          <w:rPr>
            <w:rStyle w:val="Hipervnculo"/>
            <w:rFonts w:ascii="Century Gothic" w:hAnsi="Century Gothic"/>
            <w:noProof/>
            <w:lang w:val="es-ES"/>
          </w:rPr>
          <w:t>Gráfica 22. Indicador de solvencia, 2007 - 2017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_Toc532566076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100</w:t>
        </w:r>
        <w:r w:rsidRPr="0079336B">
          <w:rPr>
            <w:rFonts w:ascii="Century Gothic" w:hAnsi="Century Gothic"/>
            <w:noProof/>
            <w:webHidden/>
          </w:rPr>
          <w:fldChar w:fldCharType="end"/>
        </w:r>
      </w:hyperlink>
    </w:p>
    <w:p w14:paraId="5E305DB0" w14:textId="77777777" w:rsidR="0079336B" w:rsidRPr="0079336B" w:rsidRDefault="0079336B">
      <w:pPr>
        <w:pStyle w:val="Tabladeilustraciones"/>
        <w:tabs>
          <w:tab w:val="right" w:leader="dot" w:pos="8828"/>
        </w:tabs>
        <w:rPr>
          <w:rFonts w:ascii="Century Gothic" w:hAnsi="Century Gothic"/>
          <w:noProof/>
          <w:lang w:val="es-ES" w:eastAsia="es-ES"/>
        </w:rPr>
      </w:pPr>
      <w:hyperlink w:anchor="_Toc532566077" w:history="1">
        <w:r w:rsidRPr="0079336B">
          <w:rPr>
            <w:rStyle w:val="Hipervnculo"/>
            <w:rFonts w:ascii="Century Gothic" w:hAnsi="Century Gothic"/>
            <w:noProof/>
            <w:lang w:val="es-ES"/>
          </w:rPr>
          <w:t>Gráfica 23. Indicador de sostenibilidad. 2007 - 2017</w:t>
        </w:r>
        <w:r w:rsidRPr="0079336B">
          <w:rPr>
            <w:rFonts w:ascii="Century Gothic" w:hAnsi="Century Gothic"/>
            <w:noProof/>
            <w:webHidden/>
          </w:rPr>
          <w:tab/>
        </w:r>
        <w:r w:rsidRPr="0079336B">
          <w:rPr>
            <w:rFonts w:ascii="Century Gothic" w:hAnsi="Century Gothic"/>
            <w:noProof/>
            <w:webHidden/>
          </w:rPr>
          <w:fldChar w:fldCharType="begin"/>
        </w:r>
        <w:r w:rsidRPr="0079336B">
          <w:rPr>
            <w:rFonts w:ascii="Century Gothic" w:hAnsi="Century Gothic"/>
            <w:noProof/>
            <w:webHidden/>
          </w:rPr>
          <w:instrText xml:space="preserve"> PAGEREF _Toc532566077 \h </w:instrText>
        </w:r>
        <w:r w:rsidRPr="0079336B">
          <w:rPr>
            <w:rFonts w:ascii="Century Gothic" w:hAnsi="Century Gothic"/>
            <w:noProof/>
            <w:webHidden/>
          </w:rPr>
        </w:r>
        <w:r w:rsidRPr="0079336B">
          <w:rPr>
            <w:rFonts w:ascii="Century Gothic" w:hAnsi="Century Gothic"/>
            <w:noProof/>
            <w:webHidden/>
          </w:rPr>
          <w:fldChar w:fldCharType="separate"/>
        </w:r>
        <w:r w:rsidRPr="0079336B">
          <w:rPr>
            <w:rFonts w:ascii="Century Gothic" w:hAnsi="Century Gothic"/>
            <w:noProof/>
            <w:webHidden/>
          </w:rPr>
          <w:t>101</w:t>
        </w:r>
        <w:r w:rsidRPr="0079336B">
          <w:rPr>
            <w:rFonts w:ascii="Century Gothic" w:hAnsi="Century Gothic"/>
            <w:noProof/>
            <w:webHidden/>
          </w:rPr>
          <w:fldChar w:fldCharType="end"/>
        </w:r>
      </w:hyperlink>
    </w:p>
    <w:p w14:paraId="1038BEE9" w14:textId="77777777" w:rsidR="00D35825" w:rsidRPr="001E2110" w:rsidRDefault="00A83A24" w:rsidP="009931F5">
      <w:pPr>
        <w:spacing w:after="0"/>
        <w:rPr>
          <w:rFonts w:ascii="Century Gothic" w:hAnsi="Century Gothic"/>
          <w:highlight w:val="yellow"/>
          <w:lang w:val="es-ES"/>
        </w:rPr>
      </w:pPr>
      <w:r w:rsidRPr="0079336B">
        <w:rPr>
          <w:rFonts w:ascii="Century Gothic" w:hAnsi="Century Gothic"/>
          <w:highlight w:val="yellow"/>
          <w:lang w:val="es-ES"/>
        </w:rPr>
        <w:fldChar w:fldCharType="end"/>
      </w:r>
    </w:p>
    <w:p w14:paraId="6C00B6C6" w14:textId="77777777" w:rsidR="00D35825" w:rsidRPr="001E2110" w:rsidRDefault="00D35825" w:rsidP="009931F5">
      <w:pPr>
        <w:spacing w:after="0"/>
        <w:rPr>
          <w:rFonts w:ascii="Century Gothic" w:hAnsi="Century Gothic"/>
          <w:highlight w:val="yellow"/>
          <w:lang w:val="es-ES"/>
        </w:rPr>
      </w:pPr>
      <w:r w:rsidRPr="001E2110">
        <w:rPr>
          <w:rFonts w:ascii="Century Gothic" w:hAnsi="Century Gothic"/>
          <w:highlight w:val="yellow"/>
          <w:lang w:val="es-ES"/>
        </w:rPr>
        <w:br w:type="page"/>
      </w:r>
    </w:p>
    <w:p w14:paraId="7270CABB" w14:textId="3FCC17CB" w:rsidR="00D35825" w:rsidRPr="001E2110" w:rsidRDefault="004F5BDD" w:rsidP="009931F5">
      <w:pPr>
        <w:pStyle w:val="Tabladeilustraciones"/>
        <w:tabs>
          <w:tab w:val="right" w:leader="dot" w:pos="9050"/>
        </w:tabs>
        <w:jc w:val="center"/>
        <w:rPr>
          <w:rFonts w:ascii="Century Gothic" w:hAnsi="Century Gothic"/>
          <w:highlight w:val="yellow"/>
          <w:lang w:val="es-ES"/>
        </w:rPr>
      </w:pPr>
      <w:r w:rsidRPr="001E2110">
        <w:rPr>
          <w:rFonts w:ascii="Century Gothic" w:hAnsi="Century Gothic"/>
          <w:highlight w:val="yellow"/>
          <w:lang w:val="es-ES"/>
        </w:rPr>
        <w:lastRenderedPageBreak/>
        <w:t xml:space="preserve">Lista de tablas </w:t>
      </w:r>
    </w:p>
    <w:p w14:paraId="6C1E4B10" w14:textId="77777777" w:rsidR="00D35825" w:rsidRPr="001E2110" w:rsidRDefault="00D35825" w:rsidP="009931F5">
      <w:pPr>
        <w:pStyle w:val="Tabladeilustraciones"/>
        <w:tabs>
          <w:tab w:val="right" w:leader="dot" w:pos="9050"/>
        </w:tabs>
        <w:rPr>
          <w:rFonts w:ascii="Century Gothic" w:hAnsi="Century Gothic"/>
          <w:highlight w:val="yellow"/>
          <w:lang w:val="es-ES"/>
        </w:rPr>
      </w:pPr>
    </w:p>
    <w:p w14:paraId="47A2E4DD" w14:textId="77777777" w:rsidR="008954F2" w:rsidRDefault="00A83A24">
      <w:pPr>
        <w:pStyle w:val="Tabladeilustraciones"/>
        <w:tabs>
          <w:tab w:val="right" w:leader="dot" w:pos="8828"/>
        </w:tabs>
        <w:rPr>
          <w:noProof/>
          <w:lang w:val="es-ES" w:eastAsia="es-ES"/>
        </w:rPr>
      </w:pPr>
      <w:r w:rsidRPr="001E2110">
        <w:rPr>
          <w:rFonts w:ascii="Century Gothic" w:hAnsi="Century Gothic"/>
          <w:highlight w:val="yellow"/>
          <w:lang w:val="es-ES"/>
        </w:rPr>
        <w:fldChar w:fldCharType="begin"/>
      </w:r>
      <w:r w:rsidR="00D35825" w:rsidRPr="001E2110">
        <w:rPr>
          <w:rFonts w:ascii="Century Gothic" w:hAnsi="Century Gothic"/>
          <w:highlight w:val="yellow"/>
          <w:lang w:val="es-ES"/>
        </w:rPr>
        <w:instrText xml:space="preserve"> TOC \h \z \c "Tabla" </w:instrText>
      </w:r>
      <w:r w:rsidRPr="001E2110">
        <w:rPr>
          <w:rFonts w:ascii="Century Gothic" w:hAnsi="Century Gothic"/>
          <w:highlight w:val="yellow"/>
          <w:lang w:val="es-ES"/>
        </w:rPr>
        <w:fldChar w:fldCharType="separate"/>
      </w:r>
      <w:hyperlink w:anchor="_Toc532570492" w:history="1">
        <w:r w:rsidR="008954F2" w:rsidRPr="00296CA1">
          <w:rPr>
            <w:rStyle w:val="Hipervnculo"/>
            <w:rFonts w:ascii="Century Gothic" w:hAnsi="Century Gothic"/>
            <w:noProof/>
            <w:lang w:val="es-ES"/>
          </w:rPr>
          <w:t>Tabla 1. Indicadores de educación</w:t>
        </w:r>
        <w:r w:rsidR="008954F2">
          <w:rPr>
            <w:noProof/>
            <w:webHidden/>
          </w:rPr>
          <w:tab/>
        </w:r>
        <w:r w:rsidR="008954F2">
          <w:rPr>
            <w:noProof/>
            <w:webHidden/>
          </w:rPr>
          <w:fldChar w:fldCharType="begin"/>
        </w:r>
        <w:r w:rsidR="008954F2">
          <w:rPr>
            <w:noProof/>
            <w:webHidden/>
          </w:rPr>
          <w:instrText xml:space="preserve"> PAGEREF _Toc532570492 \h </w:instrText>
        </w:r>
        <w:r w:rsidR="008954F2">
          <w:rPr>
            <w:noProof/>
            <w:webHidden/>
          </w:rPr>
        </w:r>
        <w:r w:rsidR="008954F2">
          <w:rPr>
            <w:noProof/>
            <w:webHidden/>
          </w:rPr>
          <w:fldChar w:fldCharType="separate"/>
        </w:r>
        <w:r w:rsidR="008954F2">
          <w:rPr>
            <w:noProof/>
            <w:webHidden/>
          </w:rPr>
          <w:t>10</w:t>
        </w:r>
        <w:r w:rsidR="008954F2">
          <w:rPr>
            <w:noProof/>
            <w:webHidden/>
          </w:rPr>
          <w:fldChar w:fldCharType="end"/>
        </w:r>
      </w:hyperlink>
    </w:p>
    <w:p w14:paraId="4F32D6C3" w14:textId="77777777" w:rsidR="008954F2" w:rsidRDefault="008954F2">
      <w:pPr>
        <w:pStyle w:val="Tabladeilustraciones"/>
        <w:tabs>
          <w:tab w:val="right" w:leader="dot" w:pos="8828"/>
        </w:tabs>
        <w:rPr>
          <w:noProof/>
          <w:lang w:val="es-ES" w:eastAsia="es-ES"/>
        </w:rPr>
      </w:pPr>
      <w:hyperlink w:anchor="_Toc532570493" w:history="1">
        <w:r w:rsidRPr="00296CA1">
          <w:rPr>
            <w:rStyle w:val="Hipervnculo"/>
            <w:rFonts w:ascii="Century Gothic" w:hAnsi="Century Gothic"/>
            <w:noProof/>
            <w:lang w:val="es-ES"/>
          </w:rPr>
          <w:t>Tabla 2. Indicadores de salud</w:t>
        </w:r>
        <w:r>
          <w:rPr>
            <w:noProof/>
            <w:webHidden/>
          </w:rPr>
          <w:tab/>
        </w:r>
        <w:r>
          <w:rPr>
            <w:noProof/>
            <w:webHidden/>
          </w:rPr>
          <w:fldChar w:fldCharType="begin"/>
        </w:r>
        <w:r>
          <w:rPr>
            <w:noProof/>
            <w:webHidden/>
          </w:rPr>
          <w:instrText xml:space="preserve"> PAGEREF _Toc532570493 \h </w:instrText>
        </w:r>
        <w:r>
          <w:rPr>
            <w:noProof/>
            <w:webHidden/>
          </w:rPr>
        </w:r>
        <w:r>
          <w:rPr>
            <w:noProof/>
            <w:webHidden/>
          </w:rPr>
          <w:fldChar w:fldCharType="separate"/>
        </w:r>
        <w:r>
          <w:rPr>
            <w:noProof/>
            <w:webHidden/>
          </w:rPr>
          <w:t>11</w:t>
        </w:r>
        <w:r>
          <w:rPr>
            <w:noProof/>
            <w:webHidden/>
          </w:rPr>
          <w:fldChar w:fldCharType="end"/>
        </w:r>
      </w:hyperlink>
    </w:p>
    <w:p w14:paraId="6C65E6EE" w14:textId="77777777" w:rsidR="008954F2" w:rsidRDefault="008954F2">
      <w:pPr>
        <w:pStyle w:val="Tabladeilustraciones"/>
        <w:tabs>
          <w:tab w:val="right" w:leader="dot" w:pos="8828"/>
        </w:tabs>
        <w:rPr>
          <w:noProof/>
          <w:lang w:val="es-ES" w:eastAsia="es-ES"/>
        </w:rPr>
      </w:pPr>
      <w:hyperlink w:anchor="_Toc532570494" w:history="1">
        <w:r w:rsidRPr="00296CA1">
          <w:rPr>
            <w:rStyle w:val="Hipervnculo"/>
            <w:rFonts w:ascii="Century Gothic" w:hAnsi="Century Gothic" w:cs="Arial"/>
            <w:noProof/>
            <w:lang w:val="es-ES"/>
          </w:rPr>
          <w:t>Tabla 3. I</w:t>
        </w:r>
        <w:r w:rsidRPr="00296CA1">
          <w:rPr>
            <w:rStyle w:val="Hipervnculo"/>
            <w:rFonts w:ascii="Century Gothic" w:hAnsi="Century Gothic" w:cs="Arial"/>
            <w:bCs/>
            <w:noProof/>
            <w:lang w:val="es-ES"/>
          </w:rPr>
          <w:t>ndicadores de seguridad</w:t>
        </w:r>
        <w:r>
          <w:rPr>
            <w:noProof/>
            <w:webHidden/>
          </w:rPr>
          <w:tab/>
        </w:r>
        <w:r>
          <w:rPr>
            <w:noProof/>
            <w:webHidden/>
          </w:rPr>
          <w:fldChar w:fldCharType="begin"/>
        </w:r>
        <w:r>
          <w:rPr>
            <w:noProof/>
            <w:webHidden/>
          </w:rPr>
          <w:instrText xml:space="preserve"> PAGEREF _Toc532570494 \h </w:instrText>
        </w:r>
        <w:r>
          <w:rPr>
            <w:noProof/>
            <w:webHidden/>
          </w:rPr>
        </w:r>
        <w:r>
          <w:rPr>
            <w:noProof/>
            <w:webHidden/>
          </w:rPr>
          <w:fldChar w:fldCharType="separate"/>
        </w:r>
        <w:r>
          <w:rPr>
            <w:noProof/>
            <w:webHidden/>
          </w:rPr>
          <w:t>12</w:t>
        </w:r>
        <w:r>
          <w:rPr>
            <w:noProof/>
            <w:webHidden/>
          </w:rPr>
          <w:fldChar w:fldCharType="end"/>
        </w:r>
      </w:hyperlink>
    </w:p>
    <w:p w14:paraId="1C592E7A" w14:textId="77777777" w:rsidR="008954F2" w:rsidRDefault="008954F2">
      <w:pPr>
        <w:pStyle w:val="Tabladeilustraciones"/>
        <w:tabs>
          <w:tab w:val="right" w:leader="dot" w:pos="8828"/>
        </w:tabs>
        <w:rPr>
          <w:noProof/>
          <w:lang w:val="es-ES" w:eastAsia="es-ES"/>
        </w:rPr>
      </w:pPr>
      <w:hyperlink w:anchor="_Toc532570495" w:history="1">
        <w:r w:rsidRPr="00296CA1">
          <w:rPr>
            <w:rStyle w:val="Hipervnculo"/>
            <w:rFonts w:ascii="Century Gothic" w:hAnsi="Century Gothic"/>
            <w:noProof/>
            <w:lang w:val="es-ES"/>
          </w:rPr>
          <w:t>Tabla 4. Incidencia de la pobreza monetaria</w:t>
        </w:r>
        <w:r>
          <w:rPr>
            <w:noProof/>
            <w:webHidden/>
          </w:rPr>
          <w:tab/>
        </w:r>
        <w:r>
          <w:rPr>
            <w:noProof/>
            <w:webHidden/>
          </w:rPr>
          <w:fldChar w:fldCharType="begin"/>
        </w:r>
        <w:r>
          <w:rPr>
            <w:noProof/>
            <w:webHidden/>
          </w:rPr>
          <w:instrText xml:space="preserve"> PAGEREF _Toc532570495 \h </w:instrText>
        </w:r>
        <w:r>
          <w:rPr>
            <w:noProof/>
            <w:webHidden/>
          </w:rPr>
        </w:r>
        <w:r>
          <w:rPr>
            <w:noProof/>
            <w:webHidden/>
          </w:rPr>
          <w:fldChar w:fldCharType="separate"/>
        </w:r>
        <w:r>
          <w:rPr>
            <w:noProof/>
            <w:webHidden/>
          </w:rPr>
          <w:t>13</w:t>
        </w:r>
        <w:r>
          <w:rPr>
            <w:noProof/>
            <w:webHidden/>
          </w:rPr>
          <w:fldChar w:fldCharType="end"/>
        </w:r>
      </w:hyperlink>
    </w:p>
    <w:p w14:paraId="2458B518" w14:textId="77777777" w:rsidR="008954F2" w:rsidRDefault="008954F2">
      <w:pPr>
        <w:pStyle w:val="Tabladeilustraciones"/>
        <w:tabs>
          <w:tab w:val="right" w:leader="dot" w:pos="8828"/>
        </w:tabs>
        <w:rPr>
          <w:noProof/>
          <w:lang w:val="es-ES" w:eastAsia="es-ES"/>
        </w:rPr>
      </w:pPr>
      <w:hyperlink w:anchor="_Toc532570496" w:history="1">
        <w:r w:rsidRPr="00296CA1">
          <w:rPr>
            <w:rStyle w:val="Hipervnculo"/>
            <w:rFonts w:ascii="Century Gothic" w:hAnsi="Century Gothic"/>
            <w:noProof/>
            <w:lang w:val="es-ES"/>
          </w:rPr>
          <w:t>Tabla 5. Incidencia de la pobreza monetaria extrema</w:t>
        </w:r>
        <w:r>
          <w:rPr>
            <w:noProof/>
            <w:webHidden/>
          </w:rPr>
          <w:tab/>
        </w:r>
        <w:r>
          <w:rPr>
            <w:noProof/>
            <w:webHidden/>
          </w:rPr>
          <w:fldChar w:fldCharType="begin"/>
        </w:r>
        <w:r>
          <w:rPr>
            <w:noProof/>
            <w:webHidden/>
          </w:rPr>
          <w:instrText xml:space="preserve"> PAGEREF _Toc532570496 \h </w:instrText>
        </w:r>
        <w:r>
          <w:rPr>
            <w:noProof/>
            <w:webHidden/>
          </w:rPr>
        </w:r>
        <w:r>
          <w:rPr>
            <w:noProof/>
            <w:webHidden/>
          </w:rPr>
          <w:fldChar w:fldCharType="separate"/>
        </w:r>
        <w:r>
          <w:rPr>
            <w:noProof/>
            <w:webHidden/>
          </w:rPr>
          <w:t>13</w:t>
        </w:r>
        <w:r>
          <w:rPr>
            <w:noProof/>
            <w:webHidden/>
          </w:rPr>
          <w:fldChar w:fldCharType="end"/>
        </w:r>
      </w:hyperlink>
    </w:p>
    <w:p w14:paraId="7A282B16" w14:textId="77777777" w:rsidR="008954F2" w:rsidRDefault="008954F2">
      <w:pPr>
        <w:pStyle w:val="Tabladeilustraciones"/>
        <w:tabs>
          <w:tab w:val="right" w:leader="dot" w:pos="8828"/>
        </w:tabs>
        <w:rPr>
          <w:noProof/>
          <w:lang w:val="es-ES" w:eastAsia="es-ES"/>
        </w:rPr>
      </w:pPr>
      <w:hyperlink w:anchor="_Toc532570497" w:history="1">
        <w:r w:rsidRPr="00296CA1">
          <w:rPr>
            <w:rStyle w:val="Hipervnculo"/>
            <w:rFonts w:ascii="Century Gothic" w:hAnsi="Century Gothic"/>
            <w:noProof/>
            <w:lang w:val="es-ES"/>
          </w:rPr>
          <w:t xml:space="preserve">Tabla 6. </w:t>
        </w:r>
        <w:r w:rsidRPr="00296CA1">
          <w:rPr>
            <w:rStyle w:val="Hipervnculo"/>
            <w:rFonts w:ascii="Century Gothic" w:hAnsi="Century Gothic" w:cs="Arial"/>
            <w:noProof/>
            <w:lang w:val="es-ES"/>
          </w:rPr>
          <w:t>Población ocupada según ramas de actividad, 2016</w:t>
        </w:r>
        <w:r>
          <w:rPr>
            <w:noProof/>
            <w:webHidden/>
          </w:rPr>
          <w:tab/>
        </w:r>
        <w:r>
          <w:rPr>
            <w:noProof/>
            <w:webHidden/>
          </w:rPr>
          <w:fldChar w:fldCharType="begin"/>
        </w:r>
        <w:r>
          <w:rPr>
            <w:noProof/>
            <w:webHidden/>
          </w:rPr>
          <w:instrText xml:space="preserve"> PAGEREF _Toc532570497 \h </w:instrText>
        </w:r>
        <w:r>
          <w:rPr>
            <w:noProof/>
            <w:webHidden/>
          </w:rPr>
        </w:r>
        <w:r>
          <w:rPr>
            <w:noProof/>
            <w:webHidden/>
          </w:rPr>
          <w:fldChar w:fldCharType="separate"/>
        </w:r>
        <w:r>
          <w:rPr>
            <w:noProof/>
            <w:webHidden/>
          </w:rPr>
          <w:t>14</w:t>
        </w:r>
        <w:r>
          <w:rPr>
            <w:noProof/>
            <w:webHidden/>
          </w:rPr>
          <w:fldChar w:fldCharType="end"/>
        </w:r>
      </w:hyperlink>
    </w:p>
    <w:p w14:paraId="7209F53B" w14:textId="77777777" w:rsidR="008954F2" w:rsidRDefault="008954F2">
      <w:pPr>
        <w:pStyle w:val="Tabladeilustraciones"/>
        <w:tabs>
          <w:tab w:val="right" w:leader="dot" w:pos="8828"/>
        </w:tabs>
        <w:rPr>
          <w:noProof/>
          <w:lang w:val="es-ES" w:eastAsia="es-ES"/>
        </w:rPr>
      </w:pPr>
      <w:hyperlink w:anchor="_Toc532570498" w:history="1">
        <w:r w:rsidRPr="00296CA1">
          <w:rPr>
            <w:rStyle w:val="Hipervnculo"/>
            <w:rFonts w:ascii="Century Gothic" w:hAnsi="Century Gothic"/>
            <w:noProof/>
            <w:lang w:val="es-ES"/>
          </w:rPr>
          <w:t>Tabla 7. Composición ingresos corrientes 2017 (Millones de pesos)</w:t>
        </w:r>
        <w:r>
          <w:rPr>
            <w:noProof/>
            <w:webHidden/>
          </w:rPr>
          <w:tab/>
        </w:r>
        <w:r>
          <w:rPr>
            <w:noProof/>
            <w:webHidden/>
          </w:rPr>
          <w:fldChar w:fldCharType="begin"/>
        </w:r>
        <w:r>
          <w:rPr>
            <w:noProof/>
            <w:webHidden/>
          </w:rPr>
          <w:instrText xml:space="preserve"> PAGEREF _Toc532570498 \h </w:instrText>
        </w:r>
        <w:r>
          <w:rPr>
            <w:noProof/>
            <w:webHidden/>
          </w:rPr>
        </w:r>
        <w:r>
          <w:rPr>
            <w:noProof/>
            <w:webHidden/>
          </w:rPr>
          <w:fldChar w:fldCharType="separate"/>
        </w:r>
        <w:r>
          <w:rPr>
            <w:noProof/>
            <w:webHidden/>
          </w:rPr>
          <w:t>18</w:t>
        </w:r>
        <w:r>
          <w:rPr>
            <w:noProof/>
            <w:webHidden/>
          </w:rPr>
          <w:fldChar w:fldCharType="end"/>
        </w:r>
      </w:hyperlink>
    </w:p>
    <w:p w14:paraId="0311DD96" w14:textId="77777777" w:rsidR="008954F2" w:rsidRDefault="008954F2">
      <w:pPr>
        <w:pStyle w:val="Tabladeilustraciones"/>
        <w:tabs>
          <w:tab w:val="right" w:leader="dot" w:pos="8828"/>
        </w:tabs>
        <w:rPr>
          <w:noProof/>
          <w:lang w:val="es-ES" w:eastAsia="es-ES"/>
        </w:rPr>
      </w:pPr>
      <w:hyperlink w:anchor="_Toc532570499" w:history="1">
        <w:r w:rsidRPr="00296CA1">
          <w:rPr>
            <w:rStyle w:val="Hipervnculo"/>
            <w:rFonts w:ascii="Century Gothic" w:hAnsi="Century Gothic"/>
            <w:noProof/>
            <w:lang w:val="es-ES"/>
          </w:rPr>
          <w:t>Tabla 8. Composición ingresos corrientes 2017 (millones de pesos)</w:t>
        </w:r>
        <w:r>
          <w:rPr>
            <w:noProof/>
            <w:webHidden/>
          </w:rPr>
          <w:tab/>
        </w:r>
        <w:r>
          <w:rPr>
            <w:noProof/>
            <w:webHidden/>
          </w:rPr>
          <w:fldChar w:fldCharType="begin"/>
        </w:r>
        <w:r>
          <w:rPr>
            <w:noProof/>
            <w:webHidden/>
          </w:rPr>
          <w:instrText xml:space="preserve"> PAGEREF _Toc532570499 \h </w:instrText>
        </w:r>
        <w:r>
          <w:rPr>
            <w:noProof/>
            <w:webHidden/>
          </w:rPr>
        </w:r>
        <w:r>
          <w:rPr>
            <w:noProof/>
            <w:webHidden/>
          </w:rPr>
          <w:fldChar w:fldCharType="separate"/>
        </w:r>
        <w:r>
          <w:rPr>
            <w:noProof/>
            <w:webHidden/>
          </w:rPr>
          <w:t>18</w:t>
        </w:r>
        <w:r>
          <w:rPr>
            <w:noProof/>
            <w:webHidden/>
          </w:rPr>
          <w:fldChar w:fldCharType="end"/>
        </w:r>
      </w:hyperlink>
    </w:p>
    <w:p w14:paraId="5F6E6E6D" w14:textId="77777777" w:rsidR="008954F2" w:rsidRDefault="008954F2">
      <w:pPr>
        <w:pStyle w:val="Tabladeilustraciones"/>
        <w:tabs>
          <w:tab w:val="right" w:leader="dot" w:pos="8828"/>
        </w:tabs>
        <w:rPr>
          <w:noProof/>
          <w:lang w:val="es-ES" w:eastAsia="es-ES"/>
        </w:rPr>
      </w:pPr>
      <w:hyperlink w:anchor="_Toc532570500" w:history="1">
        <w:r w:rsidRPr="00296CA1">
          <w:rPr>
            <w:rStyle w:val="Hipervnculo"/>
            <w:rFonts w:ascii="Century Gothic" w:hAnsi="Century Gothic"/>
            <w:noProof/>
            <w:lang w:val="es-ES"/>
          </w:rPr>
          <w:t>Tabla 9. Composición ingresos corrientes 2017 (millones de pesos)</w:t>
        </w:r>
        <w:r>
          <w:rPr>
            <w:noProof/>
            <w:webHidden/>
          </w:rPr>
          <w:tab/>
        </w:r>
        <w:r>
          <w:rPr>
            <w:noProof/>
            <w:webHidden/>
          </w:rPr>
          <w:fldChar w:fldCharType="begin"/>
        </w:r>
        <w:r>
          <w:rPr>
            <w:noProof/>
            <w:webHidden/>
          </w:rPr>
          <w:instrText xml:space="preserve"> PAGEREF _Toc532570500 \h </w:instrText>
        </w:r>
        <w:r>
          <w:rPr>
            <w:noProof/>
            <w:webHidden/>
          </w:rPr>
        </w:r>
        <w:r>
          <w:rPr>
            <w:noProof/>
            <w:webHidden/>
          </w:rPr>
          <w:fldChar w:fldCharType="separate"/>
        </w:r>
        <w:r>
          <w:rPr>
            <w:noProof/>
            <w:webHidden/>
          </w:rPr>
          <w:t>20</w:t>
        </w:r>
        <w:r>
          <w:rPr>
            <w:noProof/>
            <w:webHidden/>
          </w:rPr>
          <w:fldChar w:fldCharType="end"/>
        </w:r>
      </w:hyperlink>
    </w:p>
    <w:p w14:paraId="2A8F2883" w14:textId="77777777" w:rsidR="008954F2" w:rsidRDefault="008954F2">
      <w:pPr>
        <w:pStyle w:val="Tabladeilustraciones"/>
        <w:tabs>
          <w:tab w:val="right" w:leader="dot" w:pos="8828"/>
        </w:tabs>
        <w:rPr>
          <w:noProof/>
          <w:lang w:val="es-ES" w:eastAsia="es-ES"/>
        </w:rPr>
      </w:pPr>
      <w:hyperlink w:anchor="_Toc532570501" w:history="1">
        <w:r w:rsidRPr="00296CA1">
          <w:rPr>
            <w:rStyle w:val="Hipervnculo"/>
            <w:rFonts w:ascii="Century Gothic" w:hAnsi="Century Gothic"/>
            <w:noProof/>
            <w:lang w:val="es-ES"/>
          </w:rPr>
          <w:t>Tabla 10. Sistema General de Participaciones a diciembre 2017 (millones de pesos)</w:t>
        </w:r>
        <w:r>
          <w:rPr>
            <w:noProof/>
            <w:webHidden/>
          </w:rPr>
          <w:tab/>
        </w:r>
        <w:r>
          <w:rPr>
            <w:noProof/>
            <w:webHidden/>
          </w:rPr>
          <w:fldChar w:fldCharType="begin"/>
        </w:r>
        <w:r>
          <w:rPr>
            <w:noProof/>
            <w:webHidden/>
          </w:rPr>
          <w:instrText xml:space="preserve"> PAGEREF _Toc532570501 \h </w:instrText>
        </w:r>
        <w:r>
          <w:rPr>
            <w:noProof/>
            <w:webHidden/>
          </w:rPr>
        </w:r>
        <w:r>
          <w:rPr>
            <w:noProof/>
            <w:webHidden/>
          </w:rPr>
          <w:fldChar w:fldCharType="separate"/>
        </w:r>
        <w:r>
          <w:rPr>
            <w:noProof/>
            <w:webHidden/>
          </w:rPr>
          <w:t>21</w:t>
        </w:r>
        <w:r>
          <w:rPr>
            <w:noProof/>
            <w:webHidden/>
          </w:rPr>
          <w:fldChar w:fldCharType="end"/>
        </w:r>
      </w:hyperlink>
    </w:p>
    <w:p w14:paraId="5111FD0F" w14:textId="77777777" w:rsidR="008954F2" w:rsidRDefault="008954F2">
      <w:pPr>
        <w:pStyle w:val="Tabladeilustraciones"/>
        <w:tabs>
          <w:tab w:val="right" w:leader="dot" w:pos="8828"/>
        </w:tabs>
        <w:rPr>
          <w:noProof/>
          <w:lang w:val="es-ES" w:eastAsia="es-ES"/>
        </w:rPr>
      </w:pPr>
      <w:hyperlink w:anchor="_Toc532570502" w:history="1">
        <w:r w:rsidRPr="00296CA1">
          <w:rPr>
            <w:rStyle w:val="Hipervnculo"/>
            <w:rFonts w:ascii="Century Gothic" w:hAnsi="Century Gothic"/>
            <w:noProof/>
            <w:lang w:val="es-ES"/>
          </w:rPr>
          <w:t>Tabla 11. Ejecución ingresos Fondo de Seguridad 2017 (millones de pesos)</w:t>
        </w:r>
        <w:r>
          <w:rPr>
            <w:noProof/>
            <w:webHidden/>
          </w:rPr>
          <w:tab/>
        </w:r>
        <w:r>
          <w:rPr>
            <w:noProof/>
            <w:webHidden/>
          </w:rPr>
          <w:fldChar w:fldCharType="begin"/>
        </w:r>
        <w:r>
          <w:rPr>
            <w:noProof/>
            <w:webHidden/>
          </w:rPr>
          <w:instrText xml:space="preserve"> PAGEREF _Toc532570502 \h </w:instrText>
        </w:r>
        <w:r>
          <w:rPr>
            <w:noProof/>
            <w:webHidden/>
          </w:rPr>
        </w:r>
        <w:r>
          <w:rPr>
            <w:noProof/>
            <w:webHidden/>
          </w:rPr>
          <w:fldChar w:fldCharType="separate"/>
        </w:r>
        <w:r>
          <w:rPr>
            <w:noProof/>
            <w:webHidden/>
          </w:rPr>
          <w:t>22</w:t>
        </w:r>
        <w:r>
          <w:rPr>
            <w:noProof/>
            <w:webHidden/>
          </w:rPr>
          <w:fldChar w:fldCharType="end"/>
        </w:r>
      </w:hyperlink>
    </w:p>
    <w:p w14:paraId="3A260FA0" w14:textId="77777777" w:rsidR="008954F2" w:rsidRDefault="008954F2">
      <w:pPr>
        <w:pStyle w:val="Tabladeilustraciones"/>
        <w:tabs>
          <w:tab w:val="right" w:leader="dot" w:pos="8828"/>
        </w:tabs>
        <w:rPr>
          <w:noProof/>
          <w:lang w:val="es-ES" w:eastAsia="es-ES"/>
        </w:rPr>
      </w:pPr>
      <w:hyperlink w:anchor="_Toc532570503" w:history="1">
        <w:r w:rsidRPr="00296CA1">
          <w:rPr>
            <w:rStyle w:val="Hipervnculo"/>
            <w:rFonts w:ascii="Century Gothic" w:hAnsi="Century Gothic"/>
            <w:noProof/>
            <w:lang w:val="es-ES"/>
          </w:rPr>
          <w:t>Tabla 12. Ejecución ingresos Fondo de Secretaría Infraestructura y Valorización 2017 (millones de pesos)</w:t>
        </w:r>
        <w:r>
          <w:rPr>
            <w:noProof/>
            <w:webHidden/>
          </w:rPr>
          <w:tab/>
        </w:r>
        <w:r>
          <w:rPr>
            <w:noProof/>
            <w:webHidden/>
          </w:rPr>
          <w:fldChar w:fldCharType="begin"/>
        </w:r>
        <w:r>
          <w:rPr>
            <w:noProof/>
            <w:webHidden/>
          </w:rPr>
          <w:instrText xml:space="preserve"> PAGEREF _Toc532570503 \h </w:instrText>
        </w:r>
        <w:r>
          <w:rPr>
            <w:noProof/>
            <w:webHidden/>
          </w:rPr>
        </w:r>
        <w:r>
          <w:rPr>
            <w:noProof/>
            <w:webHidden/>
          </w:rPr>
          <w:fldChar w:fldCharType="separate"/>
        </w:r>
        <w:r>
          <w:rPr>
            <w:noProof/>
            <w:webHidden/>
          </w:rPr>
          <w:t>22</w:t>
        </w:r>
        <w:r>
          <w:rPr>
            <w:noProof/>
            <w:webHidden/>
          </w:rPr>
          <w:fldChar w:fldCharType="end"/>
        </w:r>
      </w:hyperlink>
    </w:p>
    <w:p w14:paraId="61324B88" w14:textId="77777777" w:rsidR="008954F2" w:rsidRDefault="008954F2">
      <w:pPr>
        <w:pStyle w:val="Tabladeilustraciones"/>
        <w:tabs>
          <w:tab w:val="right" w:leader="dot" w:pos="8828"/>
        </w:tabs>
        <w:rPr>
          <w:noProof/>
          <w:lang w:val="es-ES" w:eastAsia="es-ES"/>
        </w:rPr>
      </w:pPr>
      <w:hyperlink w:anchor="_Toc532570504" w:history="1">
        <w:r w:rsidRPr="00296CA1">
          <w:rPr>
            <w:rStyle w:val="Hipervnculo"/>
            <w:rFonts w:ascii="Century Gothic" w:hAnsi="Century Gothic"/>
            <w:noProof/>
            <w:lang w:val="es-ES"/>
          </w:rPr>
          <w:t>Tabla 13. Ejecución ingresos Fondo de Compensación de Espacio Público 2017 (millones de pesos)</w:t>
        </w:r>
        <w:r>
          <w:rPr>
            <w:noProof/>
            <w:webHidden/>
          </w:rPr>
          <w:tab/>
        </w:r>
        <w:r>
          <w:rPr>
            <w:noProof/>
            <w:webHidden/>
          </w:rPr>
          <w:fldChar w:fldCharType="begin"/>
        </w:r>
        <w:r>
          <w:rPr>
            <w:noProof/>
            <w:webHidden/>
          </w:rPr>
          <w:instrText xml:space="preserve"> PAGEREF _Toc532570504 \h </w:instrText>
        </w:r>
        <w:r>
          <w:rPr>
            <w:noProof/>
            <w:webHidden/>
          </w:rPr>
        </w:r>
        <w:r>
          <w:rPr>
            <w:noProof/>
            <w:webHidden/>
          </w:rPr>
          <w:fldChar w:fldCharType="separate"/>
        </w:r>
        <w:r>
          <w:rPr>
            <w:noProof/>
            <w:webHidden/>
          </w:rPr>
          <w:t>23</w:t>
        </w:r>
        <w:r>
          <w:rPr>
            <w:noProof/>
            <w:webHidden/>
          </w:rPr>
          <w:fldChar w:fldCharType="end"/>
        </w:r>
      </w:hyperlink>
    </w:p>
    <w:p w14:paraId="61889B83" w14:textId="77777777" w:rsidR="008954F2" w:rsidRDefault="008954F2">
      <w:pPr>
        <w:pStyle w:val="Tabladeilustraciones"/>
        <w:tabs>
          <w:tab w:val="right" w:leader="dot" w:pos="8828"/>
        </w:tabs>
        <w:rPr>
          <w:noProof/>
          <w:lang w:val="es-ES" w:eastAsia="es-ES"/>
        </w:rPr>
      </w:pPr>
      <w:hyperlink w:anchor="_Toc532570505" w:history="1">
        <w:r w:rsidRPr="00296CA1">
          <w:rPr>
            <w:rStyle w:val="Hipervnculo"/>
            <w:rFonts w:ascii="Century Gothic" w:hAnsi="Century Gothic"/>
            <w:noProof/>
            <w:lang w:val="es-ES"/>
          </w:rPr>
          <w:t>Tabla 14. Ejecución ingresos Fondo de Resarcimiento Ambiental 2017 (millones de pesos)</w:t>
        </w:r>
        <w:r>
          <w:rPr>
            <w:noProof/>
            <w:webHidden/>
          </w:rPr>
          <w:tab/>
        </w:r>
        <w:r>
          <w:rPr>
            <w:noProof/>
            <w:webHidden/>
          </w:rPr>
          <w:fldChar w:fldCharType="begin"/>
        </w:r>
        <w:r>
          <w:rPr>
            <w:noProof/>
            <w:webHidden/>
          </w:rPr>
          <w:instrText xml:space="preserve"> PAGEREF _Toc532570505 \h </w:instrText>
        </w:r>
        <w:r>
          <w:rPr>
            <w:noProof/>
            <w:webHidden/>
          </w:rPr>
        </w:r>
        <w:r>
          <w:rPr>
            <w:noProof/>
            <w:webHidden/>
          </w:rPr>
          <w:fldChar w:fldCharType="separate"/>
        </w:r>
        <w:r>
          <w:rPr>
            <w:noProof/>
            <w:webHidden/>
          </w:rPr>
          <w:t>23</w:t>
        </w:r>
        <w:r>
          <w:rPr>
            <w:noProof/>
            <w:webHidden/>
          </w:rPr>
          <w:fldChar w:fldCharType="end"/>
        </w:r>
      </w:hyperlink>
    </w:p>
    <w:p w14:paraId="50C2DB23" w14:textId="77777777" w:rsidR="008954F2" w:rsidRDefault="008954F2">
      <w:pPr>
        <w:pStyle w:val="Tabladeilustraciones"/>
        <w:tabs>
          <w:tab w:val="right" w:leader="dot" w:pos="8828"/>
        </w:tabs>
        <w:rPr>
          <w:noProof/>
          <w:lang w:val="es-ES" w:eastAsia="es-ES"/>
        </w:rPr>
      </w:pPr>
      <w:hyperlink w:anchor="_Toc532570506" w:history="1">
        <w:r w:rsidRPr="00296CA1">
          <w:rPr>
            <w:rStyle w:val="Hipervnculo"/>
            <w:rFonts w:ascii="Century Gothic" w:hAnsi="Century Gothic"/>
            <w:noProof/>
            <w:lang w:val="es-ES"/>
          </w:rPr>
          <w:t>Tabla 15. Ejecución ingresos Fondo de Redistribución del Ingreso 2017 (millones de pesos)</w:t>
        </w:r>
        <w:r>
          <w:rPr>
            <w:noProof/>
            <w:webHidden/>
          </w:rPr>
          <w:tab/>
        </w:r>
        <w:r>
          <w:rPr>
            <w:noProof/>
            <w:webHidden/>
          </w:rPr>
          <w:fldChar w:fldCharType="begin"/>
        </w:r>
        <w:r>
          <w:rPr>
            <w:noProof/>
            <w:webHidden/>
          </w:rPr>
          <w:instrText xml:space="preserve"> PAGEREF _Toc532570506 \h </w:instrText>
        </w:r>
        <w:r>
          <w:rPr>
            <w:noProof/>
            <w:webHidden/>
          </w:rPr>
        </w:r>
        <w:r>
          <w:rPr>
            <w:noProof/>
            <w:webHidden/>
          </w:rPr>
          <w:fldChar w:fldCharType="separate"/>
        </w:r>
        <w:r>
          <w:rPr>
            <w:noProof/>
            <w:webHidden/>
          </w:rPr>
          <w:t>24</w:t>
        </w:r>
        <w:r>
          <w:rPr>
            <w:noProof/>
            <w:webHidden/>
          </w:rPr>
          <w:fldChar w:fldCharType="end"/>
        </w:r>
      </w:hyperlink>
    </w:p>
    <w:p w14:paraId="5E5DB2CB" w14:textId="77777777" w:rsidR="008954F2" w:rsidRDefault="008954F2">
      <w:pPr>
        <w:pStyle w:val="Tabladeilustraciones"/>
        <w:tabs>
          <w:tab w:val="right" w:leader="dot" w:pos="8828"/>
        </w:tabs>
        <w:rPr>
          <w:noProof/>
          <w:lang w:val="es-ES" w:eastAsia="es-ES"/>
        </w:rPr>
      </w:pPr>
      <w:hyperlink w:anchor="_Toc532570507" w:history="1">
        <w:r w:rsidRPr="00296CA1">
          <w:rPr>
            <w:rStyle w:val="Hipervnculo"/>
            <w:rFonts w:ascii="Century Gothic" w:hAnsi="Century Gothic"/>
            <w:noProof/>
            <w:lang w:val="es-ES"/>
          </w:rPr>
          <w:t>Tabla 16. Ejecución ingresos Fondo Local de Salud 2017 (millones de pesos)</w:t>
        </w:r>
        <w:r>
          <w:rPr>
            <w:noProof/>
            <w:webHidden/>
          </w:rPr>
          <w:tab/>
        </w:r>
        <w:r>
          <w:rPr>
            <w:noProof/>
            <w:webHidden/>
          </w:rPr>
          <w:fldChar w:fldCharType="begin"/>
        </w:r>
        <w:r>
          <w:rPr>
            <w:noProof/>
            <w:webHidden/>
          </w:rPr>
          <w:instrText xml:space="preserve"> PAGEREF _Toc532570507 \h </w:instrText>
        </w:r>
        <w:r>
          <w:rPr>
            <w:noProof/>
            <w:webHidden/>
          </w:rPr>
        </w:r>
        <w:r>
          <w:rPr>
            <w:noProof/>
            <w:webHidden/>
          </w:rPr>
          <w:fldChar w:fldCharType="separate"/>
        </w:r>
        <w:r>
          <w:rPr>
            <w:noProof/>
            <w:webHidden/>
          </w:rPr>
          <w:t>25</w:t>
        </w:r>
        <w:r>
          <w:rPr>
            <w:noProof/>
            <w:webHidden/>
          </w:rPr>
          <w:fldChar w:fldCharType="end"/>
        </w:r>
      </w:hyperlink>
    </w:p>
    <w:p w14:paraId="4BA0F0DC" w14:textId="77777777" w:rsidR="008954F2" w:rsidRDefault="008954F2">
      <w:pPr>
        <w:pStyle w:val="Tabladeilustraciones"/>
        <w:tabs>
          <w:tab w:val="right" w:leader="dot" w:pos="8828"/>
        </w:tabs>
        <w:rPr>
          <w:noProof/>
          <w:lang w:val="es-ES" w:eastAsia="es-ES"/>
        </w:rPr>
      </w:pPr>
      <w:hyperlink w:anchor="_Toc532570508" w:history="1">
        <w:r w:rsidRPr="00296CA1">
          <w:rPr>
            <w:rStyle w:val="Hipervnculo"/>
            <w:rFonts w:ascii="Century Gothic" w:hAnsi="Century Gothic"/>
            <w:noProof/>
            <w:lang w:val="es-ES"/>
          </w:rPr>
          <w:t>Tabla 17. Ejecución ingresos Tránsito y Transporte 2017 (millones de pesos)</w:t>
        </w:r>
        <w:r>
          <w:rPr>
            <w:noProof/>
            <w:webHidden/>
          </w:rPr>
          <w:tab/>
        </w:r>
        <w:r>
          <w:rPr>
            <w:noProof/>
            <w:webHidden/>
          </w:rPr>
          <w:fldChar w:fldCharType="begin"/>
        </w:r>
        <w:r>
          <w:rPr>
            <w:noProof/>
            <w:webHidden/>
          </w:rPr>
          <w:instrText xml:space="preserve"> PAGEREF _Toc532570508 \h </w:instrText>
        </w:r>
        <w:r>
          <w:rPr>
            <w:noProof/>
            <w:webHidden/>
          </w:rPr>
        </w:r>
        <w:r>
          <w:rPr>
            <w:noProof/>
            <w:webHidden/>
          </w:rPr>
          <w:fldChar w:fldCharType="separate"/>
        </w:r>
        <w:r>
          <w:rPr>
            <w:noProof/>
            <w:webHidden/>
          </w:rPr>
          <w:t>26</w:t>
        </w:r>
        <w:r>
          <w:rPr>
            <w:noProof/>
            <w:webHidden/>
          </w:rPr>
          <w:fldChar w:fldCharType="end"/>
        </w:r>
      </w:hyperlink>
    </w:p>
    <w:p w14:paraId="7844FCF6" w14:textId="774329CC" w:rsidR="008954F2" w:rsidRDefault="008954F2">
      <w:pPr>
        <w:pStyle w:val="Tabladeilustraciones"/>
        <w:tabs>
          <w:tab w:val="right" w:leader="dot" w:pos="8828"/>
        </w:tabs>
        <w:rPr>
          <w:noProof/>
          <w:lang w:val="es-ES" w:eastAsia="es-ES"/>
        </w:rPr>
      </w:pPr>
      <w:hyperlink w:anchor="_Toc532570509" w:history="1">
        <w:r w:rsidRPr="00296CA1">
          <w:rPr>
            <w:rStyle w:val="Hipervnculo"/>
            <w:rFonts w:ascii="Century Gothic" w:hAnsi="Century Gothic"/>
            <w:noProof/>
            <w:lang w:val="es-ES"/>
          </w:rPr>
          <w:t>Tabla 18. Ejecución ingresos Fondo Municipal de Gestión del Riesgo de Desastres 2017 (millones de pesos)</w:t>
        </w:r>
        <w:r>
          <w:rPr>
            <w:noProof/>
            <w:webHidden/>
          </w:rPr>
          <w:tab/>
        </w:r>
        <w:r>
          <w:rPr>
            <w:noProof/>
            <w:webHidden/>
          </w:rPr>
          <w:fldChar w:fldCharType="begin"/>
        </w:r>
        <w:r>
          <w:rPr>
            <w:noProof/>
            <w:webHidden/>
          </w:rPr>
          <w:instrText xml:space="preserve"> PAGEREF _Toc532570509 \h </w:instrText>
        </w:r>
        <w:r>
          <w:rPr>
            <w:noProof/>
            <w:webHidden/>
          </w:rPr>
        </w:r>
        <w:r>
          <w:rPr>
            <w:noProof/>
            <w:webHidden/>
          </w:rPr>
          <w:fldChar w:fldCharType="separate"/>
        </w:r>
        <w:r>
          <w:rPr>
            <w:noProof/>
            <w:webHidden/>
          </w:rPr>
          <w:t>26</w:t>
        </w:r>
        <w:r>
          <w:rPr>
            <w:noProof/>
            <w:webHidden/>
          </w:rPr>
          <w:fldChar w:fldCharType="end"/>
        </w:r>
      </w:hyperlink>
    </w:p>
    <w:p w14:paraId="09A96FCB" w14:textId="77777777" w:rsidR="008954F2" w:rsidRDefault="008954F2">
      <w:pPr>
        <w:pStyle w:val="Tabladeilustraciones"/>
        <w:tabs>
          <w:tab w:val="right" w:leader="dot" w:pos="8828"/>
        </w:tabs>
        <w:rPr>
          <w:noProof/>
          <w:lang w:val="es-ES" w:eastAsia="es-ES"/>
        </w:rPr>
      </w:pPr>
      <w:hyperlink w:anchor="_Toc532570510" w:history="1">
        <w:r w:rsidRPr="00296CA1">
          <w:rPr>
            <w:rStyle w:val="Hipervnculo"/>
            <w:rFonts w:ascii="Century Gothic" w:hAnsi="Century Gothic"/>
            <w:noProof/>
            <w:lang w:val="es-ES"/>
          </w:rPr>
          <w:t>Tabla 19. Ejecución de recursos de capital 2017 (millones de pesos)</w:t>
        </w:r>
        <w:r>
          <w:rPr>
            <w:noProof/>
            <w:webHidden/>
          </w:rPr>
          <w:tab/>
        </w:r>
        <w:r>
          <w:rPr>
            <w:noProof/>
            <w:webHidden/>
          </w:rPr>
          <w:fldChar w:fldCharType="begin"/>
        </w:r>
        <w:r>
          <w:rPr>
            <w:noProof/>
            <w:webHidden/>
          </w:rPr>
          <w:instrText xml:space="preserve"> PAGEREF _Toc532570510 \h </w:instrText>
        </w:r>
        <w:r>
          <w:rPr>
            <w:noProof/>
            <w:webHidden/>
          </w:rPr>
        </w:r>
        <w:r>
          <w:rPr>
            <w:noProof/>
            <w:webHidden/>
          </w:rPr>
          <w:fldChar w:fldCharType="separate"/>
        </w:r>
        <w:r>
          <w:rPr>
            <w:noProof/>
            <w:webHidden/>
          </w:rPr>
          <w:t>27</w:t>
        </w:r>
        <w:r>
          <w:rPr>
            <w:noProof/>
            <w:webHidden/>
          </w:rPr>
          <w:fldChar w:fldCharType="end"/>
        </w:r>
      </w:hyperlink>
    </w:p>
    <w:p w14:paraId="44326CFA" w14:textId="77777777" w:rsidR="008954F2" w:rsidRDefault="008954F2">
      <w:pPr>
        <w:pStyle w:val="Tabladeilustraciones"/>
        <w:tabs>
          <w:tab w:val="right" w:leader="dot" w:pos="8828"/>
        </w:tabs>
        <w:rPr>
          <w:noProof/>
          <w:lang w:val="es-ES" w:eastAsia="es-ES"/>
        </w:rPr>
      </w:pPr>
      <w:hyperlink w:anchor="_Toc532570511" w:history="1">
        <w:r w:rsidRPr="00296CA1">
          <w:rPr>
            <w:rStyle w:val="Hipervnculo"/>
            <w:rFonts w:ascii="Century Gothic" w:hAnsi="Century Gothic"/>
            <w:noProof/>
            <w:lang w:val="es-ES"/>
          </w:rPr>
          <w:t>Tabla 20. Ejecución ingresos de Establecimientos Públicos y Unidad Administrativa Especial 2017 (millones de pesos)</w:t>
        </w:r>
        <w:r>
          <w:rPr>
            <w:noProof/>
            <w:webHidden/>
          </w:rPr>
          <w:tab/>
        </w:r>
        <w:r>
          <w:rPr>
            <w:noProof/>
            <w:webHidden/>
          </w:rPr>
          <w:fldChar w:fldCharType="begin"/>
        </w:r>
        <w:r>
          <w:rPr>
            <w:noProof/>
            <w:webHidden/>
          </w:rPr>
          <w:instrText xml:space="preserve"> PAGEREF _Toc532570511 \h </w:instrText>
        </w:r>
        <w:r>
          <w:rPr>
            <w:noProof/>
            <w:webHidden/>
          </w:rPr>
        </w:r>
        <w:r>
          <w:rPr>
            <w:noProof/>
            <w:webHidden/>
          </w:rPr>
          <w:fldChar w:fldCharType="separate"/>
        </w:r>
        <w:r>
          <w:rPr>
            <w:noProof/>
            <w:webHidden/>
          </w:rPr>
          <w:t>28</w:t>
        </w:r>
        <w:r>
          <w:rPr>
            <w:noProof/>
            <w:webHidden/>
          </w:rPr>
          <w:fldChar w:fldCharType="end"/>
        </w:r>
      </w:hyperlink>
    </w:p>
    <w:p w14:paraId="5D8B8F6E" w14:textId="77777777" w:rsidR="008954F2" w:rsidRDefault="008954F2">
      <w:pPr>
        <w:pStyle w:val="Tabladeilustraciones"/>
        <w:tabs>
          <w:tab w:val="right" w:leader="dot" w:pos="8828"/>
        </w:tabs>
        <w:rPr>
          <w:noProof/>
          <w:lang w:val="es-ES" w:eastAsia="es-ES"/>
        </w:rPr>
      </w:pPr>
      <w:hyperlink w:anchor="_Toc532570512" w:history="1">
        <w:r w:rsidRPr="00296CA1">
          <w:rPr>
            <w:rStyle w:val="Hipervnculo"/>
            <w:rFonts w:ascii="Century Gothic" w:hAnsi="Century Gothic"/>
            <w:noProof/>
            <w:lang w:val="es-ES"/>
          </w:rPr>
          <w:t>Tabla 21. Composición de gastos 2017 (millones de pesos)</w:t>
        </w:r>
        <w:r>
          <w:rPr>
            <w:noProof/>
            <w:webHidden/>
          </w:rPr>
          <w:tab/>
        </w:r>
        <w:r>
          <w:rPr>
            <w:noProof/>
            <w:webHidden/>
          </w:rPr>
          <w:fldChar w:fldCharType="begin"/>
        </w:r>
        <w:r>
          <w:rPr>
            <w:noProof/>
            <w:webHidden/>
          </w:rPr>
          <w:instrText xml:space="preserve"> PAGEREF _Toc532570512 \h </w:instrText>
        </w:r>
        <w:r>
          <w:rPr>
            <w:noProof/>
            <w:webHidden/>
          </w:rPr>
        </w:r>
        <w:r>
          <w:rPr>
            <w:noProof/>
            <w:webHidden/>
          </w:rPr>
          <w:fldChar w:fldCharType="separate"/>
        </w:r>
        <w:r>
          <w:rPr>
            <w:noProof/>
            <w:webHidden/>
          </w:rPr>
          <w:t>29</w:t>
        </w:r>
        <w:r>
          <w:rPr>
            <w:noProof/>
            <w:webHidden/>
          </w:rPr>
          <w:fldChar w:fldCharType="end"/>
        </w:r>
      </w:hyperlink>
    </w:p>
    <w:p w14:paraId="4E0A5C48" w14:textId="77777777" w:rsidR="008954F2" w:rsidRDefault="008954F2">
      <w:pPr>
        <w:pStyle w:val="Tabladeilustraciones"/>
        <w:tabs>
          <w:tab w:val="right" w:leader="dot" w:pos="8828"/>
        </w:tabs>
        <w:rPr>
          <w:noProof/>
          <w:lang w:val="es-ES" w:eastAsia="es-ES"/>
        </w:rPr>
      </w:pPr>
      <w:hyperlink w:anchor="_Toc532570513" w:history="1">
        <w:r w:rsidRPr="00296CA1">
          <w:rPr>
            <w:rStyle w:val="Hipervnculo"/>
            <w:rFonts w:ascii="Century Gothic" w:hAnsi="Century Gothic"/>
            <w:noProof/>
            <w:lang w:val="es-ES"/>
          </w:rPr>
          <w:t>Tabla 22. Servicio de la deuda</w:t>
        </w:r>
        <w:r>
          <w:rPr>
            <w:noProof/>
            <w:webHidden/>
          </w:rPr>
          <w:tab/>
        </w:r>
        <w:r>
          <w:rPr>
            <w:noProof/>
            <w:webHidden/>
          </w:rPr>
          <w:fldChar w:fldCharType="begin"/>
        </w:r>
        <w:r>
          <w:rPr>
            <w:noProof/>
            <w:webHidden/>
          </w:rPr>
          <w:instrText xml:space="preserve"> PAGEREF _Toc532570513 \h </w:instrText>
        </w:r>
        <w:r>
          <w:rPr>
            <w:noProof/>
            <w:webHidden/>
          </w:rPr>
        </w:r>
        <w:r>
          <w:rPr>
            <w:noProof/>
            <w:webHidden/>
          </w:rPr>
          <w:fldChar w:fldCharType="separate"/>
        </w:r>
        <w:r>
          <w:rPr>
            <w:noProof/>
            <w:webHidden/>
          </w:rPr>
          <w:t>32</w:t>
        </w:r>
        <w:r>
          <w:rPr>
            <w:noProof/>
            <w:webHidden/>
          </w:rPr>
          <w:fldChar w:fldCharType="end"/>
        </w:r>
      </w:hyperlink>
    </w:p>
    <w:p w14:paraId="7E831084" w14:textId="77777777" w:rsidR="008954F2" w:rsidRDefault="008954F2">
      <w:pPr>
        <w:pStyle w:val="Tabladeilustraciones"/>
        <w:tabs>
          <w:tab w:val="right" w:leader="dot" w:pos="8828"/>
        </w:tabs>
        <w:rPr>
          <w:noProof/>
          <w:lang w:val="es-ES" w:eastAsia="es-ES"/>
        </w:rPr>
      </w:pPr>
      <w:hyperlink w:anchor="_Toc532570514" w:history="1">
        <w:r w:rsidRPr="00296CA1">
          <w:rPr>
            <w:rStyle w:val="Hipervnculo"/>
            <w:rFonts w:ascii="Century Gothic" w:hAnsi="Century Gothic"/>
            <w:noProof/>
            <w:lang w:val="es-ES"/>
          </w:rPr>
          <w:t>Tabla 23. Composición de gastos de inversión por sectores 2017 (millones de pesos)</w:t>
        </w:r>
        <w:r>
          <w:rPr>
            <w:noProof/>
            <w:webHidden/>
          </w:rPr>
          <w:tab/>
        </w:r>
        <w:r>
          <w:rPr>
            <w:noProof/>
            <w:webHidden/>
          </w:rPr>
          <w:fldChar w:fldCharType="begin"/>
        </w:r>
        <w:r>
          <w:rPr>
            <w:noProof/>
            <w:webHidden/>
          </w:rPr>
          <w:instrText xml:space="preserve"> PAGEREF _Toc532570514 \h </w:instrText>
        </w:r>
        <w:r>
          <w:rPr>
            <w:noProof/>
            <w:webHidden/>
          </w:rPr>
        </w:r>
        <w:r>
          <w:rPr>
            <w:noProof/>
            <w:webHidden/>
          </w:rPr>
          <w:fldChar w:fldCharType="separate"/>
        </w:r>
        <w:r>
          <w:rPr>
            <w:noProof/>
            <w:webHidden/>
          </w:rPr>
          <w:t>33</w:t>
        </w:r>
        <w:r>
          <w:rPr>
            <w:noProof/>
            <w:webHidden/>
          </w:rPr>
          <w:fldChar w:fldCharType="end"/>
        </w:r>
      </w:hyperlink>
    </w:p>
    <w:p w14:paraId="051D9A68" w14:textId="77777777" w:rsidR="008954F2" w:rsidRDefault="008954F2">
      <w:pPr>
        <w:pStyle w:val="Tabladeilustraciones"/>
        <w:tabs>
          <w:tab w:val="right" w:leader="dot" w:pos="8828"/>
        </w:tabs>
        <w:rPr>
          <w:noProof/>
          <w:lang w:val="es-ES" w:eastAsia="es-ES"/>
        </w:rPr>
      </w:pPr>
      <w:hyperlink w:anchor="_Toc532570515" w:history="1">
        <w:r w:rsidRPr="00296CA1">
          <w:rPr>
            <w:rStyle w:val="Hipervnculo"/>
            <w:rFonts w:ascii="Century Gothic" w:hAnsi="Century Gothic"/>
            <w:noProof/>
            <w:lang w:val="es-ES"/>
          </w:rPr>
          <w:t xml:space="preserve">Tabla 24. </w:t>
        </w:r>
        <w:r w:rsidRPr="00296CA1">
          <w:rPr>
            <w:rStyle w:val="Hipervnculo"/>
            <w:rFonts w:ascii="Century Gothic" w:hAnsi="Century Gothic"/>
            <w:noProof/>
            <w:w w:val="105"/>
            <w:lang w:val="es-ES"/>
          </w:rPr>
          <w:t>Informe de alivios tributarios otorgados</w:t>
        </w:r>
        <w:r>
          <w:rPr>
            <w:noProof/>
            <w:webHidden/>
          </w:rPr>
          <w:tab/>
        </w:r>
        <w:r>
          <w:rPr>
            <w:noProof/>
            <w:webHidden/>
          </w:rPr>
          <w:fldChar w:fldCharType="begin"/>
        </w:r>
        <w:r>
          <w:rPr>
            <w:noProof/>
            <w:webHidden/>
          </w:rPr>
          <w:instrText xml:space="preserve"> PAGEREF _Toc532570515 \h </w:instrText>
        </w:r>
        <w:r>
          <w:rPr>
            <w:noProof/>
            <w:webHidden/>
          </w:rPr>
        </w:r>
        <w:r>
          <w:rPr>
            <w:noProof/>
            <w:webHidden/>
          </w:rPr>
          <w:fldChar w:fldCharType="separate"/>
        </w:r>
        <w:r>
          <w:rPr>
            <w:noProof/>
            <w:webHidden/>
          </w:rPr>
          <w:t>38</w:t>
        </w:r>
        <w:r>
          <w:rPr>
            <w:noProof/>
            <w:webHidden/>
          </w:rPr>
          <w:fldChar w:fldCharType="end"/>
        </w:r>
      </w:hyperlink>
    </w:p>
    <w:p w14:paraId="5BB94466" w14:textId="77777777" w:rsidR="008954F2" w:rsidRDefault="008954F2">
      <w:pPr>
        <w:pStyle w:val="Tabladeilustraciones"/>
        <w:tabs>
          <w:tab w:val="right" w:leader="dot" w:pos="8828"/>
        </w:tabs>
        <w:rPr>
          <w:noProof/>
          <w:lang w:val="es-ES" w:eastAsia="es-ES"/>
        </w:rPr>
      </w:pPr>
      <w:hyperlink w:anchor="_Toc532570516" w:history="1">
        <w:r w:rsidRPr="00296CA1">
          <w:rPr>
            <w:rStyle w:val="Hipervnculo"/>
            <w:rFonts w:ascii="Century Gothic" w:hAnsi="Century Gothic"/>
            <w:noProof/>
          </w:rPr>
          <w:t>Tabla 25. Exoneraciones otorgadas en la vigencia 2017 (millones de pesos)</w:t>
        </w:r>
        <w:r>
          <w:rPr>
            <w:noProof/>
            <w:webHidden/>
          </w:rPr>
          <w:tab/>
        </w:r>
        <w:r>
          <w:rPr>
            <w:noProof/>
            <w:webHidden/>
          </w:rPr>
          <w:fldChar w:fldCharType="begin"/>
        </w:r>
        <w:r>
          <w:rPr>
            <w:noProof/>
            <w:webHidden/>
          </w:rPr>
          <w:instrText xml:space="preserve"> PAGEREF _Toc532570516 \h </w:instrText>
        </w:r>
        <w:r>
          <w:rPr>
            <w:noProof/>
            <w:webHidden/>
          </w:rPr>
        </w:r>
        <w:r>
          <w:rPr>
            <w:noProof/>
            <w:webHidden/>
          </w:rPr>
          <w:fldChar w:fldCharType="separate"/>
        </w:r>
        <w:r>
          <w:rPr>
            <w:noProof/>
            <w:webHidden/>
          </w:rPr>
          <w:t>46</w:t>
        </w:r>
        <w:r>
          <w:rPr>
            <w:noProof/>
            <w:webHidden/>
          </w:rPr>
          <w:fldChar w:fldCharType="end"/>
        </w:r>
      </w:hyperlink>
    </w:p>
    <w:p w14:paraId="6D81D4DE" w14:textId="77777777" w:rsidR="008954F2" w:rsidRDefault="008954F2">
      <w:pPr>
        <w:pStyle w:val="Tabladeilustraciones"/>
        <w:tabs>
          <w:tab w:val="right" w:leader="dot" w:pos="8828"/>
        </w:tabs>
        <w:rPr>
          <w:noProof/>
          <w:lang w:val="es-ES" w:eastAsia="es-ES"/>
        </w:rPr>
      </w:pPr>
      <w:hyperlink w:anchor="_Toc532570517" w:history="1">
        <w:r w:rsidRPr="00296CA1">
          <w:rPr>
            <w:rStyle w:val="Hipervnculo"/>
            <w:rFonts w:ascii="Century Gothic" w:hAnsi="Century Gothic"/>
            <w:noProof/>
          </w:rPr>
          <w:t>Tabla 26. Reservas presupuestales (millones)</w:t>
        </w:r>
        <w:r>
          <w:rPr>
            <w:noProof/>
            <w:webHidden/>
          </w:rPr>
          <w:tab/>
        </w:r>
        <w:r>
          <w:rPr>
            <w:noProof/>
            <w:webHidden/>
          </w:rPr>
          <w:fldChar w:fldCharType="begin"/>
        </w:r>
        <w:r>
          <w:rPr>
            <w:noProof/>
            <w:webHidden/>
          </w:rPr>
          <w:instrText xml:space="preserve"> PAGEREF _Toc532570517 \h </w:instrText>
        </w:r>
        <w:r>
          <w:rPr>
            <w:noProof/>
            <w:webHidden/>
          </w:rPr>
        </w:r>
        <w:r>
          <w:rPr>
            <w:noProof/>
            <w:webHidden/>
          </w:rPr>
          <w:fldChar w:fldCharType="separate"/>
        </w:r>
        <w:r>
          <w:rPr>
            <w:noProof/>
            <w:webHidden/>
          </w:rPr>
          <w:t>47</w:t>
        </w:r>
        <w:r>
          <w:rPr>
            <w:noProof/>
            <w:webHidden/>
          </w:rPr>
          <w:fldChar w:fldCharType="end"/>
        </w:r>
      </w:hyperlink>
    </w:p>
    <w:p w14:paraId="28D0445B" w14:textId="77777777" w:rsidR="008954F2" w:rsidRDefault="008954F2">
      <w:pPr>
        <w:pStyle w:val="Tabladeilustraciones"/>
        <w:tabs>
          <w:tab w:val="right" w:leader="dot" w:pos="8828"/>
        </w:tabs>
        <w:rPr>
          <w:noProof/>
          <w:lang w:val="es-ES" w:eastAsia="es-ES"/>
        </w:rPr>
      </w:pPr>
      <w:hyperlink w:anchor="_Toc532570518" w:history="1">
        <w:r w:rsidRPr="00296CA1">
          <w:rPr>
            <w:rStyle w:val="Hipervnculo"/>
            <w:rFonts w:ascii="Century Gothic" w:hAnsi="Century Gothic"/>
            <w:noProof/>
          </w:rPr>
          <w:t>Tabla 27. Proyectos de acuerdo sancionados en la vigencia 2017</w:t>
        </w:r>
        <w:r>
          <w:rPr>
            <w:noProof/>
            <w:webHidden/>
          </w:rPr>
          <w:tab/>
        </w:r>
        <w:r>
          <w:rPr>
            <w:noProof/>
            <w:webHidden/>
          </w:rPr>
          <w:fldChar w:fldCharType="begin"/>
        </w:r>
        <w:r>
          <w:rPr>
            <w:noProof/>
            <w:webHidden/>
          </w:rPr>
          <w:instrText xml:space="preserve"> PAGEREF _Toc532570518 \h </w:instrText>
        </w:r>
        <w:r>
          <w:rPr>
            <w:noProof/>
            <w:webHidden/>
          </w:rPr>
        </w:r>
        <w:r>
          <w:rPr>
            <w:noProof/>
            <w:webHidden/>
          </w:rPr>
          <w:fldChar w:fldCharType="separate"/>
        </w:r>
        <w:r>
          <w:rPr>
            <w:noProof/>
            <w:webHidden/>
          </w:rPr>
          <w:t>47</w:t>
        </w:r>
        <w:r>
          <w:rPr>
            <w:noProof/>
            <w:webHidden/>
          </w:rPr>
          <w:fldChar w:fldCharType="end"/>
        </w:r>
      </w:hyperlink>
    </w:p>
    <w:p w14:paraId="58DB2CB3" w14:textId="77777777" w:rsidR="008954F2" w:rsidRDefault="008954F2">
      <w:pPr>
        <w:pStyle w:val="Tabladeilustraciones"/>
        <w:tabs>
          <w:tab w:val="right" w:leader="dot" w:pos="8828"/>
        </w:tabs>
        <w:rPr>
          <w:noProof/>
          <w:lang w:val="es-ES" w:eastAsia="es-ES"/>
        </w:rPr>
      </w:pPr>
      <w:hyperlink w:anchor="_Toc532570519" w:history="1">
        <w:r w:rsidRPr="00296CA1">
          <w:rPr>
            <w:rStyle w:val="Hipervnculo"/>
            <w:rFonts w:ascii="Century Gothic" w:hAnsi="Century Gothic"/>
            <w:noProof/>
            <w:lang w:val="es-ES"/>
          </w:rPr>
          <w:t>Tabla 28. Cuentas por pagar a 31 de diciembre de 2017 (millones de pesos)</w:t>
        </w:r>
        <w:r>
          <w:rPr>
            <w:noProof/>
            <w:webHidden/>
          </w:rPr>
          <w:tab/>
        </w:r>
        <w:r>
          <w:rPr>
            <w:noProof/>
            <w:webHidden/>
          </w:rPr>
          <w:fldChar w:fldCharType="begin"/>
        </w:r>
        <w:r>
          <w:rPr>
            <w:noProof/>
            <w:webHidden/>
          </w:rPr>
          <w:instrText xml:space="preserve"> PAGEREF _Toc532570519 \h </w:instrText>
        </w:r>
        <w:r>
          <w:rPr>
            <w:noProof/>
            <w:webHidden/>
          </w:rPr>
        </w:r>
        <w:r>
          <w:rPr>
            <w:noProof/>
            <w:webHidden/>
          </w:rPr>
          <w:fldChar w:fldCharType="separate"/>
        </w:r>
        <w:r>
          <w:rPr>
            <w:noProof/>
            <w:webHidden/>
          </w:rPr>
          <w:t>51</w:t>
        </w:r>
        <w:r>
          <w:rPr>
            <w:noProof/>
            <w:webHidden/>
          </w:rPr>
          <w:fldChar w:fldCharType="end"/>
        </w:r>
      </w:hyperlink>
    </w:p>
    <w:p w14:paraId="6B4EC077" w14:textId="77777777" w:rsidR="008954F2" w:rsidRDefault="008954F2">
      <w:pPr>
        <w:pStyle w:val="Tabladeilustraciones"/>
        <w:tabs>
          <w:tab w:val="right" w:leader="dot" w:pos="8828"/>
        </w:tabs>
        <w:rPr>
          <w:noProof/>
          <w:lang w:val="es-ES" w:eastAsia="es-ES"/>
        </w:rPr>
      </w:pPr>
      <w:hyperlink w:anchor="_Toc532570520" w:history="1">
        <w:r w:rsidRPr="00296CA1">
          <w:rPr>
            <w:rStyle w:val="Hipervnculo"/>
            <w:rFonts w:ascii="Century Gothic" w:hAnsi="Century Gothic"/>
            <w:noProof/>
            <w:lang w:val="es-ES"/>
          </w:rPr>
          <w:t>Tabla 29. Valoración del riesgo</w:t>
        </w:r>
        <w:r>
          <w:rPr>
            <w:noProof/>
            <w:webHidden/>
          </w:rPr>
          <w:tab/>
        </w:r>
        <w:r>
          <w:rPr>
            <w:noProof/>
            <w:webHidden/>
          </w:rPr>
          <w:fldChar w:fldCharType="begin"/>
        </w:r>
        <w:r>
          <w:rPr>
            <w:noProof/>
            <w:webHidden/>
          </w:rPr>
          <w:instrText xml:space="preserve"> PAGEREF _Toc532570520 \h </w:instrText>
        </w:r>
        <w:r>
          <w:rPr>
            <w:noProof/>
            <w:webHidden/>
          </w:rPr>
        </w:r>
        <w:r>
          <w:rPr>
            <w:noProof/>
            <w:webHidden/>
          </w:rPr>
          <w:fldChar w:fldCharType="separate"/>
        </w:r>
        <w:r>
          <w:rPr>
            <w:noProof/>
            <w:webHidden/>
          </w:rPr>
          <w:t>53</w:t>
        </w:r>
        <w:r>
          <w:rPr>
            <w:noProof/>
            <w:webHidden/>
          </w:rPr>
          <w:fldChar w:fldCharType="end"/>
        </w:r>
      </w:hyperlink>
    </w:p>
    <w:p w14:paraId="473A9595" w14:textId="77777777" w:rsidR="008954F2" w:rsidRDefault="008954F2">
      <w:pPr>
        <w:pStyle w:val="Tabladeilustraciones"/>
        <w:tabs>
          <w:tab w:val="right" w:leader="dot" w:pos="8828"/>
        </w:tabs>
        <w:rPr>
          <w:noProof/>
          <w:lang w:val="es-ES" w:eastAsia="es-ES"/>
        </w:rPr>
      </w:pPr>
      <w:hyperlink w:anchor="_Toc532570521" w:history="1">
        <w:r w:rsidRPr="00296CA1">
          <w:rPr>
            <w:rStyle w:val="Hipervnculo"/>
            <w:rFonts w:ascii="Century Gothic" w:hAnsi="Century Gothic"/>
            <w:noProof/>
            <w:lang w:val="es-ES"/>
          </w:rPr>
          <w:t>Tabla 30. Procesos judiciales del nivel central, año 2017 (millones de pesos)</w:t>
        </w:r>
        <w:r>
          <w:rPr>
            <w:noProof/>
            <w:webHidden/>
          </w:rPr>
          <w:tab/>
        </w:r>
        <w:r>
          <w:rPr>
            <w:noProof/>
            <w:webHidden/>
          </w:rPr>
          <w:fldChar w:fldCharType="begin"/>
        </w:r>
        <w:r>
          <w:rPr>
            <w:noProof/>
            <w:webHidden/>
          </w:rPr>
          <w:instrText xml:space="preserve"> PAGEREF _Toc532570521 \h </w:instrText>
        </w:r>
        <w:r>
          <w:rPr>
            <w:noProof/>
            <w:webHidden/>
          </w:rPr>
        </w:r>
        <w:r>
          <w:rPr>
            <w:noProof/>
            <w:webHidden/>
          </w:rPr>
          <w:fldChar w:fldCharType="separate"/>
        </w:r>
        <w:r>
          <w:rPr>
            <w:noProof/>
            <w:webHidden/>
          </w:rPr>
          <w:t>55</w:t>
        </w:r>
        <w:r>
          <w:rPr>
            <w:noProof/>
            <w:webHidden/>
          </w:rPr>
          <w:fldChar w:fldCharType="end"/>
        </w:r>
      </w:hyperlink>
    </w:p>
    <w:p w14:paraId="2D8954D0" w14:textId="77777777" w:rsidR="008954F2" w:rsidRDefault="008954F2">
      <w:pPr>
        <w:pStyle w:val="Tabladeilustraciones"/>
        <w:tabs>
          <w:tab w:val="right" w:leader="dot" w:pos="8828"/>
        </w:tabs>
        <w:rPr>
          <w:noProof/>
          <w:lang w:val="es-ES" w:eastAsia="es-ES"/>
        </w:rPr>
      </w:pPr>
      <w:hyperlink w:anchor="_Toc532570522" w:history="1">
        <w:r w:rsidRPr="00296CA1">
          <w:rPr>
            <w:rStyle w:val="Hipervnculo"/>
            <w:rFonts w:ascii="Century Gothic" w:hAnsi="Century Gothic"/>
            <w:noProof/>
            <w:lang w:val="es-ES"/>
          </w:rPr>
          <w:t>Tabla 31. Procesos judiciales del nivel central, año 2018 (millones de pesos)</w:t>
        </w:r>
        <w:r>
          <w:rPr>
            <w:noProof/>
            <w:webHidden/>
          </w:rPr>
          <w:tab/>
        </w:r>
        <w:r>
          <w:rPr>
            <w:noProof/>
            <w:webHidden/>
          </w:rPr>
          <w:fldChar w:fldCharType="begin"/>
        </w:r>
        <w:r>
          <w:rPr>
            <w:noProof/>
            <w:webHidden/>
          </w:rPr>
          <w:instrText xml:space="preserve"> PAGEREF _Toc532570522 \h </w:instrText>
        </w:r>
        <w:r>
          <w:rPr>
            <w:noProof/>
            <w:webHidden/>
          </w:rPr>
        </w:r>
        <w:r>
          <w:rPr>
            <w:noProof/>
            <w:webHidden/>
          </w:rPr>
          <w:fldChar w:fldCharType="separate"/>
        </w:r>
        <w:r>
          <w:rPr>
            <w:noProof/>
            <w:webHidden/>
          </w:rPr>
          <w:t>57</w:t>
        </w:r>
        <w:r>
          <w:rPr>
            <w:noProof/>
            <w:webHidden/>
          </w:rPr>
          <w:fldChar w:fldCharType="end"/>
        </w:r>
      </w:hyperlink>
    </w:p>
    <w:p w14:paraId="088787AF" w14:textId="77777777" w:rsidR="008954F2" w:rsidRDefault="008954F2">
      <w:pPr>
        <w:pStyle w:val="Tabladeilustraciones"/>
        <w:tabs>
          <w:tab w:val="right" w:leader="dot" w:pos="8828"/>
        </w:tabs>
        <w:rPr>
          <w:noProof/>
          <w:lang w:val="es-ES" w:eastAsia="es-ES"/>
        </w:rPr>
      </w:pPr>
      <w:hyperlink w:anchor="_Toc532570523" w:history="1">
        <w:r w:rsidRPr="00296CA1">
          <w:rPr>
            <w:rStyle w:val="Hipervnculo"/>
            <w:rFonts w:ascii="Century Gothic" w:hAnsi="Century Gothic"/>
            <w:noProof/>
            <w:lang w:val="es-ES"/>
          </w:rPr>
          <w:t>Tabla 32.</w:t>
        </w:r>
        <w:r w:rsidRPr="00296CA1">
          <w:rPr>
            <w:rStyle w:val="Hipervnculo"/>
            <w:rFonts w:ascii="Century Gothic" w:hAnsi="Century Gothic"/>
            <w:b/>
            <w:noProof/>
            <w:lang w:val="es-ES"/>
          </w:rPr>
          <w:t xml:space="preserve"> </w:t>
        </w:r>
        <w:r w:rsidRPr="00296CA1">
          <w:rPr>
            <w:rStyle w:val="Hipervnculo"/>
            <w:rFonts w:ascii="Century Gothic" w:hAnsi="Century Gothic" w:cs="Arial"/>
            <w:noProof/>
            <w:lang w:val="es-ES"/>
          </w:rPr>
          <w:t>Evolución histórica del Pasivo Pensional y aportes al FONPET (millones de pesos).</w:t>
        </w:r>
        <w:r>
          <w:rPr>
            <w:noProof/>
            <w:webHidden/>
          </w:rPr>
          <w:tab/>
        </w:r>
        <w:r>
          <w:rPr>
            <w:noProof/>
            <w:webHidden/>
          </w:rPr>
          <w:fldChar w:fldCharType="begin"/>
        </w:r>
        <w:r>
          <w:rPr>
            <w:noProof/>
            <w:webHidden/>
          </w:rPr>
          <w:instrText xml:space="preserve"> PAGEREF _Toc532570523 \h </w:instrText>
        </w:r>
        <w:r>
          <w:rPr>
            <w:noProof/>
            <w:webHidden/>
          </w:rPr>
        </w:r>
        <w:r>
          <w:rPr>
            <w:noProof/>
            <w:webHidden/>
          </w:rPr>
          <w:fldChar w:fldCharType="separate"/>
        </w:r>
        <w:r>
          <w:rPr>
            <w:noProof/>
            <w:webHidden/>
          </w:rPr>
          <w:t>59</w:t>
        </w:r>
        <w:r>
          <w:rPr>
            <w:noProof/>
            <w:webHidden/>
          </w:rPr>
          <w:fldChar w:fldCharType="end"/>
        </w:r>
      </w:hyperlink>
    </w:p>
    <w:p w14:paraId="526CE910" w14:textId="77777777" w:rsidR="008954F2" w:rsidRDefault="008954F2">
      <w:pPr>
        <w:pStyle w:val="Tabladeilustraciones"/>
        <w:tabs>
          <w:tab w:val="right" w:leader="dot" w:pos="8828"/>
        </w:tabs>
        <w:rPr>
          <w:noProof/>
          <w:lang w:val="es-ES" w:eastAsia="es-ES"/>
        </w:rPr>
      </w:pPr>
      <w:hyperlink w:anchor="_Toc532570524" w:history="1">
        <w:r w:rsidRPr="00296CA1">
          <w:rPr>
            <w:rStyle w:val="Hipervnculo"/>
            <w:rFonts w:ascii="Century Gothic" w:hAnsi="Century Gothic"/>
            <w:noProof/>
            <w:lang w:val="es-ES"/>
          </w:rPr>
          <w:t>Tabla 33.</w:t>
        </w:r>
        <w:r w:rsidRPr="00296CA1">
          <w:rPr>
            <w:rStyle w:val="Hipervnculo"/>
            <w:rFonts w:ascii="Century Gothic" w:hAnsi="Century Gothic"/>
            <w:b/>
            <w:noProof/>
            <w:lang w:val="es-ES"/>
          </w:rPr>
          <w:t xml:space="preserve"> </w:t>
        </w:r>
        <w:r w:rsidRPr="00296CA1">
          <w:rPr>
            <w:rStyle w:val="Hipervnculo"/>
            <w:rFonts w:ascii="Century Gothic" w:hAnsi="Century Gothic" w:cs="Arial"/>
            <w:noProof/>
            <w:lang w:val="es-ES"/>
          </w:rPr>
          <w:t>Ejecución presupuestal de INVIPASTO, año 2017</w:t>
        </w:r>
        <w:r>
          <w:rPr>
            <w:noProof/>
            <w:webHidden/>
          </w:rPr>
          <w:tab/>
        </w:r>
        <w:r>
          <w:rPr>
            <w:noProof/>
            <w:webHidden/>
          </w:rPr>
          <w:fldChar w:fldCharType="begin"/>
        </w:r>
        <w:r>
          <w:rPr>
            <w:noProof/>
            <w:webHidden/>
          </w:rPr>
          <w:instrText xml:space="preserve"> PAGEREF _Toc532570524 \h </w:instrText>
        </w:r>
        <w:r>
          <w:rPr>
            <w:noProof/>
            <w:webHidden/>
          </w:rPr>
        </w:r>
        <w:r>
          <w:rPr>
            <w:noProof/>
            <w:webHidden/>
          </w:rPr>
          <w:fldChar w:fldCharType="separate"/>
        </w:r>
        <w:r>
          <w:rPr>
            <w:noProof/>
            <w:webHidden/>
          </w:rPr>
          <w:t>63</w:t>
        </w:r>
        <w:r>
          <w:rPr>
            <w:noProof/>
            <w:webHidden/>
          </w:rPr>
          <w:fldChar w:fldCharType="end"/>
        </w:r>
      </w:hyperlink>
    </w:p>
    <w:p w14:paraId="3735F643" w14:textId="77777777" w:rsidR="008954F2" w:rsidRDefault="008954F2">
      <w:pPr>
        <w:pStyle w:val="Tabladeilustraciones"/>
        <w:tabs>
          <w:tab w:val="right" w:leader="dot" w:pos="8828"/>
        </w:tabs>
        <w:rPr>
          <w:noProof/>
          <w:lang w:val="es-ES" w:eastAsia="es-ES"/>
        </w:rPr>
      </w:pPr>
      <w:hyperlink w:anchor="_Toc532570525" w:history="1">
        <w:r w:rsidRPr="00296CA1">
          <w:rPr>
            <w:rStyle w:val="Hipervnculo"/>
            <w:rFonts w:ascii="Century Gothic" w:hAnsi="Century Gothic"/>
            <w:noProof/>
            <w:lang w:val="es-ES"/>
          </w:rPr>
          <w:t>Tabla 34.</w:t>
        </w:r>
        <w:r w:rsidRPr="00296CA1">
          <w:rPr>
            <w:rStyle w:val="Hipervnculo"/>
            <w:rFonts w:ascii="Century Gothic" w:hAnsi="Century Gothic"/>
            <w:b/>
            <w:noProof/>
            <w:lang w:val="es-ES"/>
          </w:rPr>
          <w:t xml:space="preserve"> </w:t>
        </w:r>
        <w:r w:rsidRPr="00296CA1">
          <w:rPr>
            <w:rStyle w:val="Hipervnculo"/>
            <w:rFonts w:ascii="Century Gothic" w:hAnsi="Century Gothic" w:cs="Arial"/>
            <w:noProof/>
            <w:lang w:val="es-ES"/>
          </w:rPr>
          <w:t>Ejecución presupuestal Pasto Deporte, 2017</w:t>
        </w:r>
        <w:r>
          <w:rPr>
            <w:noProof/>
            <w:webHidden/>
          </w:rPr>
          <w:tab/>
        </w:r>
        <w:r>
          <w:rPr>
            <w:noProof/>
            <w:webHidden/>
          </w:rPr>
          <w:fldChar w:fldCharType="begin"/>
        </w:r>
        <w:r>
          <w:rPr>
            <w:noProof/>
            <w:webHidden/>
          </w:rPr>
          <w:instrText xml:space="preserve"> PAGEREF _Toc532570525 \h </w:instrText>
        </w:r>
        <w:r>
          <w:rPr>
            <w:noProof/>
            <w:webHidden/>
          </w:rPr>
        </w:r>
        <w:r>
          <w:rPr>
            <w:noProof/>
            <w:webHidden/>
          </w:rPr>
          <w:fldChar w:fldCharType="separate"/>
        </w:r>
        <w:r>
          <w:rPr>
            <w:noProof/>
            <w:webHidden/>
          </w:rPr>
          <w:t>64</w:t>
        </w:r>
        <w:r>
          <w:rPr>
            <w:noProof/>
            <w:webHidden/>
          </w:rPr>
          <w:fldChar w:fldCharType="end"/>
        </w:r>
      </w:hyperlink>
    </w:p>
    <w:p w14:paraId="2C352DF3" w14:textId="77777777" w:rsidR="008954F2" w:rsidRDefault="008954F2">
      <w:pPr>
        <w:pStyle w:val="Tabladeilustraciones"/>
        <w:tabs>
          <w:tab w:val="right" w:leader="dot" w:pos="8828"/>
        </w:tabs>
        <w:rPr>
          <w:noProof/>
          <w:lang w:val="es-ES" w:eastAsia="es-ES"/>
        </w:rPr>
      </w:pPr>
      <w:hyperlink w:anchor="_Toc532570526" w:history="1">
        <w:r w:rsidRPr="00296CA1">
          <w:rPr>
            <w:rStyle w:val="Hipervnculo"/>
            <w:rFonts w:ascii="Century Gothic" w:hAnsi="Century Gothic"/>
            <w:noProof/>
            <w:lang w:val="es-ES"/>
          </w:rPr>
          <w:t>Tabla 35.</w:t>
        </w:r>
        <w:r w:rsidRPr="00296CA1">
          <w:rPr>
            <w:rStyle w:val="Hipervnculo"/>
            <w:rFonts w:ascii="Century Gothic" w:hAnsi="Century Gothic"/>
            <w:b/>
            <w:noProof/>
            <w:lang w:val="es-ES"/>
          </w:rPr>
          <w:t xml:space="preserve"> </w:t>
        </w:r>
        <w:r w:rsidRPr="00296CA1">
          <w:rPr>
            <w:rStyle w:val="Hipervnculo"/>
            <w:rFonts w:ascii="Century Gothic" w:hAnsi="Century Gothic"/>
            <w:noProof/>
            <w:lang w:val="es-ES"/>
          </w:rPr>
          <w:t>Cuentas por pagar</w:t>
        </w:r>
        <w:r>
          <w:rPr>
            <w:noProof/>
            <w:webHidden/>
          </w:rPr>
          <w:tab/>
        </w:r>
        <w:r>
          <w:rPr>
            <w:noProof/>
            <w:webHidden/>
          </w:rPr>
          <w:fldChar w:fldCharType="begin"/>
        </w:r>
        <w:r>
          <w:rPr>
            <w:noProof/>
            <w:webHidden/>
          </w:rPr>
          <w:instrText xml:space="preserve"> PAGEREF _Toc532570526 \h </w:instrText>
        </w:r>
        <w:r>
          <w:rPr>
            <w:noProof/>
            <w:webHidden/>
          </w:rPr>
        </w:r>
        <w:r>
          <w:rPr>
            <w:noProof/>
            <w:webHidden/>
          </w:rPr>
          <w:fldChar w:fldCharType="separate"/>
        </w:r>
        <w:r>
          <w:rPr>
            <w:noProof/>
            <w:webHidden/>
          </w:rPr>
          <w:t>64</w:t>
        </w:r>
        <w:r>
          <w:rPr>
            <w:noProof/>
            <w:webHidden/>
          </w:rPr>
          <w:fldChar w:fldCharType="end"/>
        </w:r>
      </w:hyperlink>
    </w:p>
    <w:p w14:paraId="0F30934E" w14:textId="77777777" w:rsidR="008954F2" w:rsidRDefault="008954F2">
      <w:pPr>
        <w:pStyle w:val="Tabladeilustraciones"/>
        <w:tabs>
          <w:tab w:val="right" w:leader="dot" w:pos="8828"/>
        </w:tabs>
        <w:rPr>
          <w:noProof/>
          <w:lang w:val="es-ES" w:eastAsia="es-ES"/>
        </w:rPr>
      </w:pPr>
      <w:hyperlink w:anchor="_Toc532570527" w:history="1">
        <w:r w:rsidRPr="00296CA1">
          <w:rPr>
            <w:rStyle w:val="Hipervnculo"/>
            <w:rFonts w:ascii="Century Gothic" w:hAnsi="Century Gothic" w:cs="Century Gothic"/>
            <w:noProof/>
            <w:lang w:val="es-ES"/>
          </w:rPr>
          <w:t>Tabla 36. Saldo de pasivos (millones de pesos)</w:t>
        </w:r>
        <w:r>
          <w:rPr>
            <w:noProof/>
            <w:webHidden/>
          </w:rPr>
          <w:tab/>
        </w:r>
        <w:r>
          <w:rPr>
            <w:noProof/>
            <w:webHidden/>
          </w:rPr>
          <w:fldChar w:fldCharType="begin"/>
        </w:r>
        <w:r>
          <w:rPr>
            <w:noProof/>
            <w:webHidden/>
          </w:rPr>
          <w:instrText xml:space="preserve"> PAGEREF _Toc532570527 \h </w:instrText>
        </w:r>
        <w:r>
          <w:rPr>
            <w:noProof/>
            <w:webHidden/>
          </w:rPr>
        </w:r>
        <w:r>
          <w:rPr>
            <w:noProof/>
            <w:webHidden/>
          </w:rPr>
          <w:fldChar w:fldCharType="separate"/>
        </w:r>
        <w:r>
          <w:rPr>
            <w:noProof/>
            <w:webHidden/>
          </w:rPr>
          <w:t>68</w:t>
        </w:r>
        <w:r>
          <w:rPr>
            <w:noProof/>
            <w:webHidden/>
          </w:rPr>
          <w:fldChar w:fldCharType="end"/>
        </w:r>
      </w:hyperlink>
    </w:p>
    <w:p w14:paraId="558FCA83" w14:textId="77777777" w:rsidR="008954F2" w:rsidRDefault="008954F2">
      <w:pPr>
        <w:pStyle w:val="Tabladeilustraciones"/>
        <w:tabs>
          <w:tab w:val="right" w:leader="dot" w:pos="8828"/>
        </w:tabs>
        <w:rPr>
          <w:noProof/>
          <w:lang w:val="es-ES" w:eastAsia="es-ES"/>
        </w:rPr>
      </w:pPr>
      <w:hyperlink w:anchor="_Toc532570528" w:history="1">
        <w:r w:rsidRPr="00296CA1">
          <w:rPr>
            <w:rStyle w:val="Hipervnculo"/>
            <w:rFonts w:ascii="Century Gothic" w:hAnsi="Century Gothic"/>
            <w:noProof/>
            <w:lang w:val="es-ES"/>
          </w:rPr>
          <w:t>Tabla 37. Proyección ingresos corrientes de libre destinación 2019 – 2029 (millones de pesos)</w:t>
        </w:r>
        <w:r>
          <w:rPr>
            <w:noProof/>
            <w:webHidden/>
          </w:rPr>
          <w:tab/>
        </w:r>
        <w:r>
          <w:rPr>
            <w:noProof/>
            <w:webHidden/>
          </w:rPr>
          <w:fldChar w:fldCharType="begin"/>
        </w:r>
        <w:r>
          <w:rPr>
            <w:noProof/>
            <w:webHidden/>
          </w:rPr>
          <w:instrText xml:space="preserve"> PAGEREF _Toc532570528 \h </w:instrText>
        </w:r>
        <w:r>
          <w:rPr>
            <w:noProof/>
            <w:webHidden/>
          </w:rPr>
        </w:r>
        <w:r>
          <w:rPr>
            <w:noProof/>
            <w:webHidden/>
          </w:rPr>
          <w:fldChar w:fldCharType="separate"/>
        </w:r>
        <w:r>
          <w:rPr>
            <w:noProof/>
            <w:webHidden/>
          </w:rPr>
          <w:t>70</w:t>
        </w:r>
        <w:r>
          <w:rPr>
            <w:noProof/>
            <w:webHidden/>
          </w:rPr>
          <w:fldChar w:fldCharType="end"/>
        </w:r>
      </w:hyperlink>
    </w:p>
    <w:p w14:paraId="0858DFC1" w14:textId="77777777" w:rsidR="008954F2" w:rsidRDefault="008954F2">
      <w:pPr>
        <w:pStyle w:val="Tabladeilustraciones"/>
        <w:tabs>
          <w:tab w:val="right" w:leader="dot" w:pos="8828"/>
        </w:tabs>
        <w:rPr>
          <w:noProof/>
          <w:lang w:val="es-ES" w:eastAsia="es-ES"/>
        </w:rPr>
      </w:pPr>
      <w:hyperlink w:anchor="_Toc532570529" w:history="1">
        <w:r w:rsidRPr="00296CA1">
          <w:rPr>
            <w:rStyle w:val="Hipervnculo"/>
            <w:rFonts w:ascii="Century Gothic" w:hAnsi="Century Gothic"/>
            <w:noProof/>
            <w:lang w:val="es-ES"/>
          </w:rPr>
          <w:t>Tabla 38. Proyección ingresos corrientes de destinación específica 2019 – 2029 (millones de pesos)</w:t>
        </w:r>
        <w:r>
          <w:rPr>
            <w:noProof/>
            <w:webHidden/>
          </w:rPr>
          <w:tab/>
        </w:r>
        <w:r>
          <w:rPr>
            <w:noProof/>
            <w:webHidden/>
          </w:rPr>
          <w:fldChar w:fldCharType="begin"/>
        </w:r>
        <w:r>
          <w:rPr>
            <w:noProof/>
            <w:webHidden/>
          </w:rPr>
          <w:instrText xml:space="preserve"> PAGEREF _Toc532570529 \h </w:instrText>
        </w:r>
        <w:r>
          <w:rPr>
            <w:noProof/>
            <w:webHidden/>
          </w:rPr>
        </w:r>
        <w:r>
          <w:rPr>
            <w:noProof/>
            <w:webHidden/>
          </w:rPr>
          <w:fldChar w:fldCharType="separate"/>
        </w:r>
        <w:r>
          <w:rPr>
            <w:noProof/>
            <w:webHidden/>
          </w:rPr>
          <w:t>72</w:t>
        </w:r>
        <w:r>
          <w:rPr>
            <w:noProof/>
            <w:webHidden/>
          </w:rPr>
          <w:fldChar w:fldCharType="end"/>
        </w:r>
      </w:hyperlink>
    </w:p>
    <w:p w14:paraId="548CB29F" w14:textId="77777777" w:rsidR="008954F2" w:rsidRDefault="008954F2">
      <w:pPr>
        <w:pStyle w:val="Tabladeilustraciones"/>
        <w:tabs>
          <w:tab w:val="right" w:leader="dot" w:pos="8828"/>
        </w:tabs>
        <w:rPr>
          <w:noProof/>
          <w:lang w:val="es-ES" w:eastAsia="es-ES"/>
        </w:rPr>
      </w:pPr>
      <w:hyperlink w:anchor="_Toc532570530" w:history="1">
        <w:r w:rsidRPr="00296CA1">
          <w:rPr>
            <w:rStyle w:val="Hipervnculo"/>
            <w:rFonts w:ascii="Century Gothic" w:hAnsi="Century Gothic"/>
            <w:noProof/>
            <w:lang w:val="es-ES"/>
          </w:rPr>
          <w:t>Tabla 39. Comparativo apropiación inicial  ingresos corrientes 2018 - 2019</w:t>
        </w:r>
        <w:r>
          <w:rPr>
            <w:noProof/>
            <w:webHidden/>
          </w:rPr>
          <w:tab/>
        </w:r>
        <w:r>
          <w:rPr>
            <w:noProof/>
            <w:webHidden/>
          </w:rPr>
          <w:fldChar w:fldCharType="begin"/>
        </w:r>
        <w:r>
          <w:rPr>
            <w:noProof/>
            <w:webHidden/>
          </w:rPr>
          <w:instrText xml:space="preserve"> PAGEREF _Toc532570530 \h </w:instrText>
        </w:r>
        <w:r>
          <w:rPr>
            <w:noProof/>
            <w:webHidden/>
          </w:rPr>
        </w:r>
        <w:r>
          <w:rPr>
            <w:noProof/>
            <w:webHidden/>
          </w:rPr>
          <w:fldChar w:fldCharType="separate"/>
        </w:r>
        <w:r>
          <w:rPr>
            <w:noProof/>
            <w:webHidden/>
          </w:rPr>
          <w:t>75</w:t>
        </w:r>
        <w:r>
          <w:rPr>
            <w:noProof/>
            <w:webHidden/>
          </w:rPr>
          <w:fldChar w:fldCharType="end"/>
        </w:r>
      </w:hyperlink>
    </w:p>
    <w:p w14:paraId="34AD70DA" w14:textId="77777777" w:rsidR="008954F2" w:rsidRDefault="008954F2">
      <w:pPr>
        <w:pStyle w:val="Tabladeilustraciones"/>
        <w:tabs>
          <w:tab w:val="right" w:leader="dot" w:pos="8828"/>
        </w:tabs>
        <w:rPr>
          <w:noProof/>
          <w:lang w:val="es-ES" w:eastAsia="es-ES"/>
        </w:rPr>
      </w:pPr>
      <w:hyperlink w:anchor="_Toc532570531" w:history="1">
        <w:r w:rsidRPr="00296CA1">
          <w:rPr>
            <w:rStyle w:val="Hipervnculo"/>
            <w:rFonts w:ascii="Century Gothic" w:hAnsi="Century Gothic"/>
            <w:noProof/>
            <w:lang w:val="es-ES"/>
          </w:rPr>
          <w:t>Tabla 40.</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Comparativo presupuesto inicial Fondo de Seguridad 2018 – 2019</w:t>
        </w:r>
        <w:r w:rsidRPr="00296CA1">
          <w:rPr>
            <w:rStyle w:val="Hipervnculo"/>
            <w:rFonts w:ascii="Century Gothic" w:hAnsi="Century Gothic"/>
            <w:b/>
            <w:noProof/>
            <w:lang w:val="es-ES"/>
          </w:rPr>
          <w:t xml:space="preserve">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_Toc532570531 \h </w:instrText>
        </w:r>
        <w:r>
          <w:rPr>
            <w:noProof/>
            <w:webHidden/>
          </w:rPr>
        </w:r>
        <w:r>
          <w:rPr>
            <w:noProof/>
            <w:webHidden/>
          </w:rPr>
          <w:fldChar w:fldCharType="separate"/>
        </w:r>
        <w:r>
          <w:rPr>
            <w:noProof/>
            <w:webHidden/>
          </w:rPr>
          <w:t>76</w:t>
        </w:r>
        <w:r>
          <w:rPr>
            <w:noProof/>
            <w:webHidden/>
          </w:rPr>
          <w:fldChar w:fldCharType="end"/>
        </w:r>
      </w:hyperlink>
    </w:p>
    <w:p w14:paraId="7CCF3508" w14:textId="77777777" w:rsidR="008954F2" w:rsidRDefault="008954F2">
      <w:pPr>
        <w:pStyle w:val="Tabladeilustraciones"/>
        <w:tabs>
          <w:tab w:val="right" w:leader="dot" w:pos="8828"/>
        </w:tabs>
        <w:rPr>
          <w:noProof/>
          <w:lang w:val="es-ES" w:eastAsia="es-ES"/>
        </w:rPr>
      </w:pPr>
      <w:hyperlink w:anchor="_Toc532570532" w:history="1">
        <w:r w:rsidRPr="00296CA1">
          <w:rPr>
            <w:rStyle w:val="Hipervnculo"/>
            <w:rFonts w:ascii="Century Gothic" w:hAnsi="Century Gothic"/>
            <w:noProof/>
            <w:lang w:val="es-ES"/>
          </w:rPr>
          <w:t>Tabla 41.</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Comparativo presupuesto inicial Fondo de Infraestructura y Valorización 2018 – 2019</w:t>
        </w:r>
        <w:r w:rsidRPr="00296CA1">
          <w:rPr>
            <w:rStyle w:val="Hipervnculo"/>
            <w:rFonts w:ascii="Century Gothic" w:hAnsi="Century Gothic"/>
            <w:b/>
            <w:noProof/>
            <w:lang w:val="es-ES"/>
          </w:rPr>
          <w:t xml:space="preserve">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_Toc532570532 \h </w:instrText>
        </w:r>
        <w:r>
          <w:rPr>
            <w:noProof/>
            <w:webHidden/>
          </w:rPr>
        </w:r>
        <w:r>
          <w:rPr>
            <w:noProof/>
            <w:webHidden/>
          </w:rPr>
          <w:fldChar w:fldCharType="separate"/>
        </w:r>
        <w:r>
          <w:rPr>
            <w:noProof/>
            <w:webHidden/>
          </w:rPr>
          <w:t>76</w:t>
        </w:r>
        <w:r>
          <w:rPr>
            <w:noProof/>
            <w:webHidden/>
          </w:rPr>
          <w:fldChar w:fldCharType="end"/>
        </w:r>
      </w:hyperlink>
    </w:p>
    <w:p w14:paraId="34326BF1" w14:textId="77777777" w:rsidR="008954F2" w:rsidRDefault="008954F2">
      <w:pPr>
        <w:pStyle w:val="Tabladeilustraciones"/>
        <w:tabs>
          <w:tab w:val="right" w:leader="dot" w:pos="8828"/>
        </w:tabs>
        <w:rPr>
          <w:noProof/>
          <w:lang w:val="es-ES" w:eastAsia="es-ES"/>
        </w:rPr>
      </w:pPr>
      <w:hyperlink w:anchor="_Toc532570533" w:history="1">
        <w:r w:rsidRPr="00296CA1">
          <w:rPr>
            <w:rStyle w:val="Hipervnculo"/>
            <w:rFonts w:ascii="Century Gothic" w:hAnsi="Century Gothic"/>
            <w:noProof/>
            <w:lang w:val="es-ES"/>
          </w:rPr>
          <w:t>Tabla 42.</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presupuesto inicial Fondo de Compensación de Espacio Público 2018 2019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_Toc532570533 \h </w:instrText>
        </w:r>
        <w:r>
          <w:rPr>
            <w:noProof/>
            <w:webHidden/>
          </w:rPr>
        </w:r>
        <w:r>
          <w:rPr>
            <w:noProof/>
            <w:webHidden/>
          </w:rPr>
          <w:fldChar w:fldCharType="separate"/>
        </w:r>
        <w:r>
          <w:rPr>
            <w:noProof/>
            <w:webHidden/>
          </w:rPr>
          <w:t>76</w:t>
        </w:r>
        <w:r>
          <w:rPr>
            <w:noProof/>
            <w:webHidden/>
          </w:rPr>
          <w:fldChar w:fldCharType="end"/>
        </w:r>
      </w:hyperlink>
    </w:p>
    <w:p w14:paraId="0D63D5F2" w14:textId="77777777" w:rsidR="008954F2" w:rsidRDefault="008954F2">
      <w:pPr>
        <w:pStyle w:val="Tabladeilustraciones"/>
        <w:tabs>
          <w:tab w:val="right" w:leader="dot" w:pos="8828"/>
        </w:tabs>
        <w:rPr>
          <w:noProof/>
          <w:lang w:val="es-ES" w:eastAsia="es-ES"/>
        </w:rPr>
      </w:pPr>
      <w:hyperlink w:anchor="_Toc532570534" w:history="1">
        <w:r w:rsidRPr="00296CA1">
          <w:rPr>
            <w:rStyle w:val="Hipervnculo"/>
            <w:rFonts w:ascii="Century Gothic" w:hAnsi="Century Gothic"/>
            <w:noProof/>
            <w:lang w:val="es-ES"/>
          </w:rPr>
          <w:t>Tabla 43.</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presupuesto inicial Fondo de Resarcimiento Ambiental 2018 – 2019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_Toc532570534 \h </w:instrText>
        </w:r>
        <w:r>
          <w:rPr>
            <w:noProof/>
            <w:webHidden/>
          </w:rPr>
        </w:r>
        <w:r>
          <w:rPr>
            <w:noProof/>
            <w:webHidden/>
          </w:rPr>
          <w:fldChar w:fldCharType="separate"/>
        </w:r>
        <w:r>
          <w:rPr>
            <w:noProof/>
            <w:webHidden/>
          </w:rPr>
          <w:t>77</w:t>
        </w:r>
        <w:r>
          <w:rPr>
            <w:noProof/>
            <w:webHidden/>
          </w:rPr>
          <w:fldChar w:fldCharType="end"/>
        </w:r>
      </w:hyperlink>
    </w:p>
    <w:p w14:paraId="4A134CC7" w14:textId="77777777" w:rsidR="008954F2" w:rsidRDefault="008954F2">
      <w:pPr>
        <w:pStyle w:val="Tabladeilustraciones"/>
        <w:tabs>
          <w:tab w:val="right" w:leader="dot" w:pos="8828"/>
        </w:tabs>
        <w:rPr>
          <w:noProof/>
          <w:lang w:val="es-ES" w:eastAsia="es-ES"/>
        </w:rPr>
      </w:pPr>
      <w:hyperlink w:anchor="_Toc532570535" w:history="1">
        <w:r w:rsidRPr="00296CA1">
          <w:rPr>
            <w:rStyle w:val="Hipervnculo"/>
            <w:rFonts w:ascii="Century Gothic" w:hAnsi="Century Gothic"/>
            <w:noProof/>
            <w:lang w:val="es-ES"/>
          </w:rPr>
          <w:t>Tabla 44.</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presupuesto inicial Fondo de Redistribución del Ingresos 2018 - 2019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_Toc532570535 \h </w:instrText>
        </w:r>
        <w:r>
          <w:rPr>
            <w:noProof/>
            <w:webHidden/>
          </w:rPr>
        </w:r>
        <w:r>
          <w:rPr>
            <w:noProof/>
            <w:webHidden/>
          </w:rPr>
          <w:fldChar w:fldCharType="separate"/>
        </w:r>
        <w:r>
          <w:rPr>
            <w:noProof/>
            <w:webHidden/>
          </w:rPr>
          <w:t>77</w:t>
        </w:r>
        <w:r>
          <w:rPr>
            <w:noProof/>
            <w:webHidden/>
          </w:rPr>
          <w:fldChar w:fldCharType="end"/>
        </w:r>
      </w:hyperlink>
    </w:p>
    <w:p w14:paraId="61753A0B" w14:textId="77777777" w:rsidR="008954F2" w:rsidRDefault="008954F2">
      <w:pPr>
        <w:pStyle w:val="Tabladeilustraciones"/>
        <w:tabs>
          <w:tab w:val="right" w:leader="dot" w:pos="8828"/>
        </w:tabs>
        <w:rPr>
          <w:noProof/>
          <w:lang w:val="es-ES" w:eastAsia="es-ES"/>
        </w:rPr>
      </w:pPr>
      <w:hyperlink w:anchor="_Toc532570536" w:history="1">
        <w:r w:rsidRPr="00296CA1">
          <w:rPr>
            <w:rStyle w:val="Hipervnculo"/>
            <w:rFonts w:ascii="Century Gothic" w:hAnsi="Century Gothic"/>
            <w:noProof/>
            <w:lang w:val="es-ES"/>
          </w:rPr>
          <w:t>Tabla 45.</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presupuesto inicial Fondo Local de Salud 2018 – 2019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_Toc532570536 \h </w:instrText>
        </w:r>
        <w:r>
          <w:rPr>
            <w:noProof/>
            <w:webHidden/>
          </w:rPr>
        </w:r>
        <w:r>
          <w:rPr>
            <w:noProof/>
            <w:webHidden/>
          </w:rPr>
          <w:fldChar w:fldCharType="separate"/>
        </w:r>
        <w:r>
          <w:rPr>
            <w:noProof/>
            <w:webHidden/>
          </w:rPr>
          <w:t>78</w:t>
        </w:r>
        <w:r>
          <w:rPr>
            <w:noProof/>
            <w:webHidden/>
          </w:rPr>
          <w:fldChar w:fldCharType="end"/>
        </w:r>
      </w:hyperlink>
    </w:p>
    <w:p w14:paraId="6940AA56" w14:textId="77777777" w:rsidR="008954F2" w:rsidRDefault="008954F2">
      <w:pPr>
        <w:pStyle w:val="Tabladeilustraciones"/>
        <w:tabs>
          <w:tab w:val="right" w:leader="dot" w:pos="8828"/>
        </w:tabs>
        <w:rPr>
          <w:noProof/>
          <w:lang w:val="es-ES" w:eastAsia="es-ES"/>
        </w:rPr>
      </w:pPr>
      <w:hyperlink w:anchor="_Toc532570537" w:history="1">
        <w:r w:rsidRPr="00296CA1">
          <w:rPr>
            <w:rStyle w:val="Hipervnculo"/>
            <w:rFonts w:ascii="Century Gothic" w:hAnsi="Century Gothic"/>
            <w:noProof/>
            <w:lang w:val="es-ES"/>
          </w:rPr>
          <w:t>Tabla 46.</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presupuesto inicial Tránsito y Transporte 2018 – 2019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_Toc532570537 \h </w:instrText>
        </w:r>
        <w:r>
          <w:rPr>
            <w:noProof/>
            <w:webHidden/>
          </w:rPr>
        </w:r>
        <w:r>
          <w:rPr>
            <w:noProof/>
            <w:webHidden/>
          </w:rPr>
          <w:fldChar w:fldCharType="separate"/>
        </w:r>
        <w:r>
          <w:rPr>
            <w:noProof/>
            <w:webHidden/>
          </w:rPr>
          <w:t>79</w:t>
        </w:r>
        <w:r>
          <w:rPr>
            <w:noProof/>
            <w:webHidden/>
          </w:rPr>
          <w:fldChar w:fldCharType="end"/>
        </w:r>
      </w:hyperlink>
    </w:p>
    <w:p w14:paraId="70D3861F" w14:textId="77777777" w:rsidR="008954F2" w:rsidRDefault="008954F2">
      <w:pPr>
        <w:pStyle w:val="Tabladeilustraciones"/>
        <w:tabs>
          <w:tab w:val="right" w:leader="dot" w:pos="8828"/>
        </w:tabs>
        <w:rPr>
          <w:noProof/>
          <w:lang w:val="es-ES" w:eastAsia="es-ES"/>
        </w:rPr>
      </w:pPr>
      <w:hyperlink w:anchor="_Toc532570538" w:history="1">
        <w:r w:rsidRPr="00296CA1">
          <w:rPr>
            <w:rStyle w:val="Hipervnculo"/>
            <w:rFonts w:ascii="Century Gothic" w:hAnsi="Century Gothic"/>
            <w:noProof/>
            <w:lang w:val="es-ES"/>
          </w:rPr>
          <w:t>Tabla 47.</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presupuesto inicial Fondo Municipal de Gestión del Riesgo de Desastres 2018 – 2019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_Toc532570538 \h </w:instrText>
        </w:r>
        <w:r>
          <w:rPr>
            <w:noProof/>
            <w:webHidden/>
          </w:rPr>
        </w:r>
        <w:r>
          <w:rPr>
            <w:noProof/>
            <w:webHidden/>
          </w:rPr>
          <w:fldChar w:fldCharType="separate"/>
        </w:r>
        <w:r>
          <w:rPr>
            <w:noProof/>
            <w:webHidden/>
          </w:rPr>
          <w:t>79</w:t>
        </w:r>
        <w:r>
          <w:rPr>
            <w:noProof/>
            <w:webHidden/>
          </w:rPr>
          <w:fldChar w:fldCharType="end"/>
        </w:r>
      </w:hyperlink>
    </w:p>
    <w:p w14:paraId="7DCD4E24" w14:textId="77777777" w:rsidR="008954F2" w:rsidRDefault="008954F2">
      <w:pPr>
        <w:pStyle w:val="Tabladeilustraciones"/>
        <w:tabs>
          <w:tab w:val="right" w:leader="dot" w:pos="8828"/>
        </w:tabs>
        <w:rPr>
          <w:noProof/>
          <w:lang w:val="es-ES" w:eastAsia="es-ES"/>
        </w:rPr>
      </w:pPr>
      <w:hyperlink w:anchor="_Toc532570539" w:history="1">
        <w:r w:rsidRPr="00296CA1">
          <w:rPr>
            <w:rStyle w:val="Hipervnculo"/>
            <w:rFonts w:ascii="Century Gothic" w:hAnsi="Century Gothic"/>
            <w:noProof/>
            <w:lang w:val="es-ES"/>
          </w:rPr>
          <w:t>Tabla 48. Comparativo recursos de capital (millones de pesos)</w:t>
        </w:r>
        <w:r>
          <w:rPr>
            <w:noProof/>
            <w:webHidden/>
          </w:rPr>
          <w:tab/>
        </w:r>
        <w:r>
          <w:rPr>
            <w:noProof/>
            <w:webHidden/>
          </w:rPr>
          <w:fldChar w:fldCharType="begin"/>
        </w:r>
        <w:r>
          <w:rPr>
            <w:noProof/>
            <w:webHidden/>
          </w:rPr>
          <w:instrText xml:space="preserve"> PAGEREF _Toc532570539 \h </w:instrText>
        </w:r>
        <w:r>
          <w:rPr>
            <w:noProof/>
            <w:webHidden/>
          </w:rPr>
        </w:r>
        <w:r>
          <w:rPr>
            <w:noProof/>
            <w:webHidden/>
          </w:rPr>
          <w:fldChar w:fldCharType="separate"/>
        </w:r>
        <w:r>
          <w:rPr>
            <w:noProof/>
            <w:webHidden/>
          </w:rPr>
          <w:t>79</w:t>
        </w:r>
        <w:r>
          <w:rPr>
            <w:noProof/>
            <w:webHidden/>
          </w:rPr>
          <w:fldChar w:fldCharType="end"/>
        </w:r>
      </w:hyperlink>
    </w:p>
    <w:p w14:paraId="483BB716" w14:textId="77777777" w:rsidR="008954F2" w:rsidRDefault="008954F2">
      <w:pPr>
        <w:pStyle w:val="Tabladeilustraciones"/>
        <w:tabs>
          <w:tab w:val="right" w:leader="dot" w:pos="8828"/>
        </w:tabs>
        <w:rPr>
          <w:noProof/>
          <w:lang w:val="es-ES" w:eastAsia="es-ES"/>
        </w:rPr>
      </w:pPr>
      <w:hyperlink w:anchor="_Toc532570540" w:history="1">
        <w:r w:rsidRPr="00296CA1">
          <w:rPr>
            <w:rStyle w:val="Hipervnculo"/>
            <w:rFonts w:ascii="Century Gothic" w:hAnsi="Century Gothic"/>
            <w:noProof/>
            <w:lang w:val="es-ES"/>
          </w:rPr>
          <w:t>Tabla 49. Ingresos Establecimientos Públicos y Unidad Administrativa Especial Avante, para el SETP</w:t>
        </w:r>
        <w:r>
          <w:rPr>
            <w:noProof/>
            <w:webHidden/>
          </w:rPr>
          <w:tab/>
        </w:r>
        <w:r>
          <w:rPr>
            <w:noProof/>
            <w:webHidden/>
          </w:rPr>
          <w:fldChar w:fldCharType="begin"/>
        </w:r>
        <w:r>
          <w:rPr>
            <w:noProof/>
            <w:webHidden/>
          </w:rPr>
          <w:instrText xml:space="preserve"> PAGEREF _Toc532570540 \h </w:instrText>
        </w:r>
        <w:r>
          <w:rPr>
            <w:noProof/>
            <w:webHidden/>
          </w:rPr>
        </w:r>
        <w:r>
          <w:rPr>
            <w:noProof/>
            <w:webHidden/>
          </w:rPr>
          <w:fldChar w:fldCharType="separate"/>
        </w:r>
        <w:r>
          <w:rPr>
            <w:noProof/>
            <w:webHidden/>
          </w:rPr>
          <w:t>80</w:t>
        </w:r>
        <w:r>
          <w:rPr>
            <w:noProof/>
            <w:webHidden/>
          </w:rPr>
          <w:fldChar w:fldCharType="end"/>
        </w:r>
      </w:hyperlink>
    </w:p>
    <w:p w14:paraId="35EB9225" w14:textId="77777777" w:rsidR="008954F2" w:rsidRDefault="008954F2">
      <w:pPr>
        <w:pStyle w:val="Tabladeilustraciones"/>
        <w:tabs>
          <w:tab w:val="right" w:leader="dot" w:pos="8828"/>
        </w:tabs>
        <w:rPr>
          <w:noProof/>
          <w:lang w:val="es-ES" w:eastAsia="es-ES"/>
        </w:rPr>
      </w:pPr>
      <w:hyperlink w:anchor="_Toc532570541" w:history="1">
        <w:r w:rsidRPr="00296CA1">
          <w:rPr>
            <w:rStyle w:val="Hipervnculo"/>
            <w:rFonts w:ascii="Century Gothic" w:hAnsi="Century Gothic"/>
            <w:noProof/>
            <w:lang w:val="es-ES"/>
          </w:rPr>
          <w:t>Tabla 50.</w:t>
        </w:r>
        <w:r w:rsidRPr="00296CA1">
          <w:rPr>
            <w:rStyle w:val="Hipervnculo"/>
            <w:rFonts w:ascii="Century Gothic" w:hAnsi="Century Gothic"/>
            <w:b/>
            <w:noProof/>
            <w:lang w:val="es-ES"/>
          </w:rPr>
          <w:t xml:space="preserve"> </w:t>
        </w:r>
        <w:r w:rsidRPr="00296CA1">
          <w:rPr>
            <w:rStyle w:val="Hipervnculo"/>
            <w:rFonts w:ascii="Century Gothic" w:eastAsia="Times New Roman" w:hAnsi="Century Gothic" w:cs="Arial"/>
            <w:noProof/>
            <w:lang w:val="es-ES"/>
          </w:rPr>
          <w:t xml:space="preserve">Comparativo gastos de funcionamiento </w:t>
        </w:r>
        <w:r w:rsidRPr="00296CA1">
          <w:rPr>
            <w:rStyle w:val="Hipervnculo"/>
            <w:rFonts w:ascii="Century Gothic" w:hAnsi="Century Gothic"/>
            <w:noProof/>
            <w:lang w:val="es-ES"/>
          </w:rPr>
          <w:t>(millones de pesos)</w:t>
        </w:r>
        <w:r>
          <w:rPr>
            <w:noProof/>
            <w:webHidden/>
          </w:rPr>
          <w:tab/>
        </w:r>
        <w:r>
          <w:rPr>
            <w:noProof/>
            <w:webHidden/>
          </w:rPr>
          <w:fldChar w:fldCharType="begin"/>
        </w:r>
        <w:r>
          <w:rPr>
            <w:noProof/>
            <w:webHidden/>
          </w:rPr>
          <w:instrText xml:space="preserve"> PAGEREF _Toc532570541 \h </w:instrText>
        </w:r>
        <w:r>
          <w:rPr>
            <w:noProof/>
            <w:webHidden/>
          </w:rPr>
        </w:r>
        <w:r>
          <w:rPr>
            <w:noProof/>
            <w:webHidden/>
          </w:rPr>
          <w:fldChar w:fldCharType="separate"/>
        </w:r>
        <w:r>
          <w:rPr>
            <w:noProof/>
            <w:webHidden/>
          </w:rPr>
          <w:t>81</w:t>
        </w:r>
        <w:r>
          <w:rPr>
            <w:noProof/>
            <w:webHidden/>
          </w:rPr>
          <w:fldChar w:fldCharType="end"/>
        </w:r>
      </w:hyperlink>
    </w:p>
    <w:p w14:paraId="29527666" w14:textId="77777777" w:rsidR="008954F2" w:rsidRDefault="008954F2">
      <w:pPr>
        <w:pStyle w:val="Tabladeilustraciones"/>
        <w:tabs>
          <w:tab w:val="right" w:leader="dot" w:pos="8828"/>
        </w:tabs>
        <w:rPr>
          <w:noProof/>
          <w:lang w:val="es-ES" w:eastAsia="es-ES"/>
        </w:rPr>
      </w:pPr>
      <w:hyperlink w:anchor="_Toc532570542" w:history="1">
        <w:r w:rsidRPr="00296CA1">
          <w:rPr>
            <w:rStyle w:val="Hipervnculo"/>
            <w:rFonts w:ascii="Century Gothic" w:hAnsi="Century Gothic"/>
            <w:noProof/>
            <w:lang w:val="es-ES"/>
          </w:rPr>
          <w:t>Tabla 51.</w:t>
        </w:r>
        <w:r w:rsidRPr="00296CA1">
          <w:rPr>
            <w:rStyle w:val="Hipervnculo"/>
            <w:rFonts w:ascii="Century Gothic" w:hAnsi="Century Gothic"/>
            <w:b/>
            <w:noProof/>
            <w:lang w:val="es-ES"/>
          </w:rPr>
          <w:t xml:space="preserve"> </w:t>
        </w:r>
        <w:r w:rsidRPr="00296CA1">
          <w:rPr>
            <w:rStyle w:val="Hipervnculo"/>
            <w:rFonts w:ascii="Century Gothic" w:hAnsi="Century Gothic"/>
            <w:noProof/>
            <w:lang w:val="es-ES"/>
          </w:rPr>
          <w:t>Comparativo indicador gastos de funcionamiento 2016 – 2019 (millones de pesos)</w:t>
        </w:r>
        <w:r>
          <w:rPr>
            <w:noProof/>
            <w:webHidden/>
          </w:rPr>
          <w:tab/>
        </w:r>
        <w:r>
          <w:rPr>
            <w:noProof/>
            <w:webHidden/>
          </w:rPr>
          <w:fldChar w:fldCharType="begin"/>
        </w:r>
        <w:r>
          <w:rPr>
            <w:noProof/>
            <w:webHidden/>
          </w:rPr>
          <w:instrText xml:space="preserve"> PAGEREF _Toc532570542 \h </w:instrText>
        </w:r>
        <w:r>
          <w:rPr>
            <w:noProof/>
            <w:webHidden/>
          </w:rPr>
        </w:r>
        <w:r>
          <w:rPr>
            <w:noProof/>
            <w:webHidden/>
          </w:rPr>
          <w:fldChar w:fldCharType="separate"/>
        </w:r>
        <w:r>
          <w:rPr>
            <w:noProof/>
            <w:webHidden/>
          </w:rPr>
          <w:t>81</w:t>
        </w:r>
        <w:r>
          <w:rPr>
            <w:noProof/>
            <w:webHidden/>
          </w:rPr>
          <w:fldChar w:fldCharType="end"/>
        </w:r>
      </w:hyperlink>
    </w:p>
    <w:p w14:paraId="5B95028A" w14:textId="77777777" w:rsidR="008954F2" w:rsidRDefault="008954F2">
      <w:pPr>
        <w:pStyle w:val="Tabladeilustraciones"/>
        <w:tabs>
          <w:tab w:val="right" w:leader="dot" w:pos="8828"/>
        </w:tabs>
        <w:rPr>
          <w:noProof/>
          <w:lang w:val="es-ES" w:eastAsia="es-ES"/>
        </w:rPr>
      </w:pPr>
      <w:hyperlink w:anchor="_Toc532570543" w:history="1">
        <w:r w:rsidRPr="00296CA1">
          <w:rPr>
            <w:rStyle w:val="Hipervnculo"/>
            <w:rFonts w:ascii="Century Gothic" w:hAnsi="Century Gothic"/>
            <w:noProof/>
            <w:lang w:val="es-ES"/>
          </w:rPr>
          <w:t>Tabla 52. Proyección gastos de funcionamiento con Ingresos Corrientes de Libre Destinación (millones de pesos)</w:t>
        </w:r>
        <w:r>
          <w:rPr>
            <w:noProof/>
            <w:webHidden/>
          </w:rPr>
          <w:tab/>
        </w:r>
        <w:r>
          <w:rPr>
            <w:noProof/>
            <w:webHidden/>
          </w:rPr>
          <w:fldChar w:fldCharType="begin"/>
        </w:r>
        <w:r>
          <w:rPr>
            <w:noProof/>
            <w:webHidden/>
          </w:rPr>
          <w:instrText xml:space="preserve"> PAGEREF _Toc532570543 \h </w:instrText>
        </w:r>
        <w:r>
          <w:rPr>
            <w:noProof/>
            <w:webHidden/>
          </w:rPr>
        </w:r>
        <w:r>
          <w:rPr>
            <w:noProof/>
            <w:webHidden/>
          </w:rPr>
          <w:fldChar w:fldCharType="separate"/>
        </w:r>
        <w:r>
          <w:rPr>
            <w:noProof/>
            <w:webHidden/>
          </w:rPr>
          <w:t>82</w:t>
        </w:r>
        <w:r>
          <w:rPr>
            <w:noProof/>
            <w:webHidden/>
          </w:rPr>
          <w:fldChar w:fldCharType="end"/>
        </w:r>
      </w:hyperlink>
    </w:p>
    <w:p w14:paraId="7E8F6004" w14:textId="77777777" w:rsidR="008954F2" w:rsidRDefault="008954F2">
      <w:pPr>
        <w:pStyle w:val="Tabladeilustraciones"/>
        <w:tabs>
          <w:tab w:val="right" w:leader="dot" w:pos="8828"/>
        </w:tabs>
        <w:rPr>
          <w:noProof/>
          <w:lang w:val="es-ES" w:eastAsia="es-ES"/>
        </w:rPr>
      </w:pPr>
      <w:hyperlink w:anchor="_Toc532570544" w:history="1">
        <w:r w:rsidRPr="00296CA1">
          <w:rPr>
            <w:rStyle w:val="Hipervnculo"/>
            <w:rFonts w:ascii="Century Gothic" w:hAnsi="Century Gothic"/>
            <w:noProof/>
            <w:lang w:val="es-ES"/>
          </w:rPr>
          <w:t>Tabla 53. Proyección transferencias Concejo Municipal 2019 – 2020 (millones de pesos)</w:t>
        </w:r>
        <w:r>
          <w:rPr>
            <w:noProof/>
            <w:webHidden/>
          </w:rPr>
          <w:tab/>
        </w:r>
        <w:r>
          <w:rPr>
            <w:noProof/>
            <w:webHidden/>
          </w:rPr>
          <w:fldChar w:fldCharType="begin"/>
        </w:r>
        <w:r>
          <w:rPr>
            <w:noProof/>
            <w:webHidden/>
          </w:rPr>
          <w:instrText xml:space="preserve"> PAGEREF _Toc532570544 \h </w:instrText>
        </w:r>
        <w:r>
          <w:rPr>
            <w:noProof/>
            <w:webHidden/>
          </w:rPr>
        </w:r>
        <w:r>
          <w:rPr>
            <w:noProof/>
            <w:webHidden/>
          </w:rPr>
          <w:fldChar w:fldCharType="separate"/>
        </w:r>
        <w:r>
          <w:rPr>
            <w:noProof/>
            <w:webHidden/>
          </w:rPr>
          <w:t>82</w:t>
        </w:r>
        <w:r>
          <w:rPr>
            <w:noProof/>
            <w:webHidden/>
          </w:rPr>
          <w:fldChar w:fldCharType="end"/>
        </w:r>
      </w:hyperlink>
    </w:p>
    <w:p w14:paraId="5D636B45" w14:textId="77777777" w:rsidR="008954F2" w:rsidRDefault="008954F2">
      <w:pPr>
        <w:pStyle w:val="Tabladeilustraciones"/>
        <w:tabs>
          <w:tab w:val="right" w:leader="dot" w:pos="8828"/>
        </w:tabs>
        <w:rPr>
          <w:noProof/>
          <w:lang w:val="es-ES" w:eastAsia="es-ES"/>
        </w:rPr>
      </w:pPr>
      <w:hyperlink w:anchor="_Toc532570545" w:history="1">
        <w:r w:rsidRPr="00296CA1">
          <w:rPr>
            <w:rStyle w:val="Hipervnculo"/>
            <w:rFonts w:ascii="Century Gothic" w:hAnsi="Century Gothic"/>
            <w:noProof/>
            <w:lang w:val="es-ES"/>
          </w:rPr>
          <w:t>Tabla 54. Proyección transferencias Personería Municipal 2019 – 2020 (millones de pesos)</w:t>
        </w:r>
        <w:r>
          <w:rPr>
            <w:noProof/>
            <w:webHidden/>
          </w:rPr>
          <w:tab/>
        </w:r>
        <w:r>
          <w:rPr>
            <w:noProof/>
            <w:webHidden/>
          </w:rPr>
          <w:fldChar w:fldCharType="begin"/>
        </w:r>
        <w:r>
          <w:rPr>
            <w:noProof/>
            <w:webHidden/>
          </w:rPr>
          <w:instrText xml:space="preserve"> PAGEREF _Toc532570545 \h </w:instrText>
        </w:r>
        <w:r>
          <w:rPr>
            <w:noProof/>
            <w:webHidden/>
          </w:rPr>
        </w:r>
        <w:r>
          <w:rPr>
            <w:noProof/>
            <w:webHidden/>
          </w:rPr>
          <w:fldChar w:fldCharType="separate"/>
        </w:r>
        <w:r>
          <w:rPr>
            <w:noProof/>
            <w:webHidden/>
          </w:rPr>
          <w:t>83</w:t>
        </w:r>
        <w:r>
          <w:rPr>
            <w:noProof/>
            <w:webHidden/>
          </w:rPr>
          <w:fldChar w:fldCharType="end"/>
        </w:r>
      </w:hyperlink>
    </w:p>
    <w:p w14:paraId="4A170C9C" w14:textId="77777777" w:rsidR="008954F2" w:rsidRDefault="008954F2">
      <w:pPr>
        <w:pStyle w:val="Tabladeilustraciones"/>
        <w:tabs>
          <w:tab w:val="right" w:leader="dot" w:pos="8828"/>
        </w:tabs>
        <w:rPr>
          <w:noProof/>
          <w:lang w:val="es-ES" w:eastAsia="es-ES"/>
        </w:rPr>
      </w:pPr>
      <w:hyperlink w:anchor="_Toc532570546" w:history="1">
        <w:r w:rsidRPr="00296CA1">
          <w:rPr>
            <w:rStyle w:val="Hipervnculo"/>
            <w:rFonts w:ascii="Century Gothic" w:hAnsi="Century Gothic"/>
            <w:noProof/>
            <w:lang w:val="es-ES"/>
          </w:rPr>
          <w:t>Tabla 55. Proyección transferencias Contraloría Municipal 2019 – 2020 (millones de pesos)</w:t>
        </w:r>
        <w:r>
          <w:rPr>
            <w:noProof/>
            <w:webHidden/>
          </w:rPr>
          <w:tab/>
        </w:r>
        <w:r>
          <w:rPr>
            <w:noProof/>
            <w:webHidden/>
          </w:rPr>
          <w:fldChar w:fldCharType="begin"/>
        </w:r>
        <w:r>
          <w:rPr>
            <w:noProof/>
            <w:webHidden/>
          </w:rPr>
          <w:instrText xml:space="preserve"> PAGEREF _Toc532570546 \h </w:instrText>
        </w:r>
        <w:r>
          <w:rPr>
            <w:noProof/>
            <w:webHidden/>
          </w:rPr>
        </w:r>
        <w:r>
          <w:rPr>
            <w:noProof/>
            <w:webHidden/>
          </w:rPr>
          <w:fldChar w:fldCharType="separate"/>
        </w:r>
        <w:r>
          <w:rPr>
            <w:noProof/>
            <w:webHidden/>
          </w:rPr>
          <w:t>83</w:t>
        </w:r>
        <w:r>
          <w:rPr>
            <w:noProof/>
            <w:webHidden/>
          </w:rPr>
          <w:fldChar w:fldCharType="end"/>
        </w:r>
      </w:hyperlink>
    </w:p>
    <w:p w14:paraId="714B8EA4" w14:textId="77777777" w:rsidR="008954F2" w:rsidRDefault="008954F2">
      <w:pPr>
        <w:pStyle w:val="Tabladeilustraciones"/>
        <w:tabs>
          <w:tab w:val="right" w:leader="dot" w:pos="8828"/>
        </w:tabs>
        <w:rPr>
          <w:noProof/>
          <w:lang w:val="es-ES" w:eastAsia="es-ES"/>
        </w:rPr>
      </w:pPr>
      <w:hyperlink w:anchor="_Toc532570547" w:history="1">
        <w:r w:rsidRPr="00296CA1">
          <w:rPr>
            <w:rStyle w:val="Hipervnculo"/>
            <w:rFonts w:ascii="Century Gothic" w:hAnsi="Century Gothic"/>
            <w:noProof/>
            <w:lang w:val="es-ES"/>
          </w:rPr>
          <w:t>Tabla 56. Vigencias futuras gastos de inversión (Millones de pesos)</w:t>
        </w:r>
        <w:r>
          <w:rPr>
            <w:noProof/>
            <w:webHidden/>
          </w:rPr>
          <w:tab/>
        </w:r>
        <w:r>
          <w:rPr>
            <w:noProof/>
            <w:webHidden/>
          </w:rPr>
          <w:fldChar w:fldCharType="begin"/>
        </w:r>
        <w:r>
          <w:rPr>
            <w:noProof/>
            <w:webHidden/>
          </w:rPr>
          <w:instrText xml:space="preserve"> PAGEREF _Toc532570547 \h </w:instrText>
        </w:r>
        <w:r>
          <w:rPr>
            <w:noProof/>
            <w:webHidden/>
          </w:rPr>
        </w:r>
        <w:r>
          <w:rPr>
            <w:noProof/>
            <w:webHidden/>
          </w:rPr>
          <w:fldChar w:fldCharType="separate"/>
        </w:r>
        <w:r>
          <w:rPr>
            <w:noProof/>
            <w:webHidden/>
          </w:rPr>
          <w:t>85</w:t>
        </w:r>
        <w:r>
          <w:rPr>
            <w:noProof/>
            <w:webHidden/>
          </w:rPr>
          <w:fldChar w:fldCharType="end"/>
        </w:r>
      </w:hyperlink>
    </w:p>
    <w:p w14:paraId="7AAC1ED6" w14:textId="77777777" w:rsidR="008954F2" w:rsidRDefault="008954F2">
      <w:pPr>
        <w:pStyle w:val="Tabladeilustraciones"/>
        <w:tabs>
          <w:tab w:val="right" w:leader="dot" w:pos="8828"/>
        </w:tabs>
        <w:rPr>
          <w:noProof/>
          <w:lang w:val="es-ES" w:eastAsia="es-ES"/>
        </w:rPr>
      </w:pPr>
      <w:hyperlink w:anchor="_Toc532570548" w:history="1">
        <w:r w:rsidRPr="00296CA1">
          <w:rPr>
            <w:rStyle w:val="Hipervnculo"/>
            <w:rFonts w:ascii="Century Gothic" w:hAnsi="Century Gothic"/>
            <w:noProof/>
          </w:rPr>
          <w:t xml:space="preserve">Tabla 57. </w:t>
        </w:r>
        <w:r w:rsidRPr="00296CA1">
          <w:rPr>
            <w:rStyle w:val="Hipervnculo"/>
            <w:rFonts w:ascii="Century Gothic" w:eastAsia="Times New Roman" w:hAnsi="Century Gothic" w:cs="Calibri"/>
            <w:bCs/>
            <w:noProof/>
          </w:rPr>
          <w:t>Plan financiero 2019 – 2019</w:t>
        </w:r>
        <w:r>
          <w:rPr>
            <w:noProof/>
            <w:webHidden/>
          </w:rPr>
          <w:tab/>
        </w:r>
        <w:r>
          <w:rPr>
            <w:noProof/>
            <w:webHidden/>
          </w:rPr>
          <w:fldChar w:fldCharType="begin"/>
        </w:r>
        <w:r>
          <w:rPr>
            <w:noProof/>
            <w:webHidden/>
          </w:rPr>
          <w:instrText xml:space="preserve"> PAGEREF _Toc532570548 \h </w:instrText>
        </w:r>
        <w:r>
          <w:rPr>
            <w:noProof/>
            <w:webHidden/>
          </w:rPr>
        </w:r>
        <w:r>
          <w:rPr>
            <w:noProof/>
            <w:webHidden/>
          </w:rPr>
          <w:fldChar w:fldCharType="separate"/>
        </w:r>
        <w:r>
          <w:rPr>
            <w:noProof/>
            <w:webHidden/>
          </w:rPr>
          <w:t>87</w:t>
        </w:r>
        <w:r>
          <w:rPr>
            <w:noProof/>
            <w:webHidden/>
          </w:rPr>
          <w:fldChar w:fldCharType="end"/>
        </w:r>
      </w:hyperlink>
    </w:p>
    <w:p w14:paraId="38280249" w14:textId="77777777" w:rsidR="008954F2" w:rsidRDefault="008954F2">
      <w:pPr>
        <w:pStyle w:val="Tabladeilustraciones"/>
        <w:tabs>
          <w:tab w:val="right" w:leader="dot" w:pos="8828"/>
        </w:tabs>
        <w:rPr>
          <w:noProof/>
          <w:lang w:val="es-ES" w:eastAsia="es-ES"/>
        </w:rPr>
      </w:pPr>
      <w:hyperlink w:anchor="_Toc532570549" w:history="1">
        <w:r w:rsidRPr="00296CA1">
          <w:rPr>
            <w:rStyle w:val="Hipervnculo"/>
            <w:rFonts w:ascii="Century Gothic" w:hAnsi="Century Gothic"/>
            <w:noProof/>
            <w:lang w:val="es-ES"/>
          </w:rPr>
          <w:t>Tabla 58. Superávit primario. Ley 819 de 2003 (millones de pesos)</w:t>
        </w:r>
        <w:r>
          <w:rPr>
            <w:noProof/>
            <w:webHidden/>
          </w:rPr>
          <w:tab/>
        </w:r>
        <w:r>
          <w:rPr>
            <w:noProof/>
            <w:webHidden/>
          </w:rPr>
          <w:fldChar w:fldCharType="begin"/>
        </w:r>
        <w:r>
          <w:rPr>
            <w:noProof/>
            <w:webHidden/>
          </w:rPr>
          <w:instrText xml:space="preserve"> PAGEREF _Toc532570549 \h </w:instrText>
        </w:r>
        <w:r>
          <w:rPr>
            <w:noProof/>
            <w:webHidden/>
          </w:rPr>
        </w:r>
        <w:r>
          <w:rPr>
            <w:noProof/>
            <w:webHidden/>
          </w:rPr>
          <w:fldChar w:fldCharType="separate"/>
        </w:r>
        <w:r>
          <w:rPr>
            <w:noProof/>
            <w:webHidden/>
          </w:rPr>
          <w:t>91</w:t>
        </w:r>
        <w:r>
          <w:rPr>
            <w:noProof/>
            <w:webHidden/>
          </w:rPr>
          <w:fldChar w:fldCharType="end"/>
        </w:r>
      </w:hyperlink>
    </w:p>
    <w:p w14:paraId="71EC7ED0" w14:textId="77777777" w:rsidR="008954F2" w:rsidRDefault="008954F2">
      <w:pPr>
        <w:pStyle w:val="Tabladeilustraciones"/>
        <w:tabs>
          <w:tab w:val="right" w:leader="dot" w:pos="8828"/>
        </w:tabs>
        <w:rPr>
          <w:noProof/>
          <w:lang w:val="es-ES" w:eastAsia="es-ES"/>
        </w:rPr>
      </w:pPr>
      <w:hyperlink w:anchor="_Toc532570550" w:history="1">
        <w:r w:rsidRPr="00296CA1">
          <w:rPr>
            <w:rStyle w:val="Hipervnculo"/>
            <w:rFonts w:ascii="Century Gothic" w:hAnsi="Century Gothic"/>
            <w:noProof/>
            <w:lang w:val="es-ES"/>
          </w:rPr>
          <w:t>Tabla 59. Estado de deuda pública</w:t>
        </w:r>
        <w:r>
          <w:rPr>
            <w:noProof/>
            <w:webHidden/>
          </w:rPr>
          <w:tab/>
        </w:r>
        <w:r>
          <w:rPr>
            <w:noProof/>
            <w:webHidden/>
          </w:rPr>
          <w:fldChar w:fldCharType="begin"/>
        </w:r>
        <w:r>
          <w:rPr>
            <w:noProof/>
            <w:webHidden/>
          </w:rPr>
          <w:instrText xml:space="preserve"> PAGEREF _Toc532570550 \h </w:instrText>
        </w:r>
        <w:r>
          <w:rPr>
            <w:noProof/>
            <w:webHidden/>
          </w:rPr>
        </w:r>
        <w:r>
          <w:rPr>
            <w:noProof/>
            <w:webHidden/>
          </w:rPr>
          <w:fldChar w:fldCharType="separate"/>
        </w:r>
        <w:r>
          <w:rPr>
            <w:noProof/>
            <w:webHidden/>
          </w:rPr>
          <w:t>94</w:t>
        </w:r>
        <w:r>
          <w:rPr>
            <w:noProof/>
            <w:webHidden/>
          </w:rPr>
          <w:fldChar w:fldCharType="end"/>
        </w:r>
      </w:hyperlink>
    </w:p>
    <w:p w14:paraId="18C9D8AB" w14:textId="77777777" w:rsidR="008954F2" w:rsidRDefault="008954F2">
      <w:pPr>
        <w:pStyle w:val="Tabladeilustraciones"/>
        <w:tabs>
          <w:tab w:val="right" w:leader="dot" w:pos="8828"/>
        </w:tabs>
        <w:rPr>
          <w:noProof/>
          <w:lang w:val="es-ES" w:eastAsia="es-ES"/>
        </w:rPr>
      </w:pPr>
      <w:hyperlink w:anchor="_Toc532570551" w:history="1">
        <w:r w:rsidRPr="00296CA1">
          <w:rPr>
            <w:rStyle w:val="Hipervnculo"/>
            <w:rFonts w:ascii="Century Gothic" w:hAnsi="Century Gothic"/>
            <w:noProof/>
            <w:lang w:val="es-ES"/>
          </w:rPr>
          <w:t>Tabla 60. Valor y perfil deuda pretendida 2018 – 2019 (millones de pesos)</w:t>
        </w:r>
        <w:r>
          <w:rPr>
            <w:noProof/>
            <w:webHidden/>
          </w:rPr>
          <w:tab/>
        </w:r>
        <w:r>
          <w:rPr>
            <w:noProof/>
            <w:webHidden/>
          </w:rPr>
          <w:fldChar w:fldCharType="begin"/>
        </w:r>
        <w:r>
          <w:rPr>
            <w:noProof/>
            <w:webHidden/>
          </w:rPr>
          <w:instrText xml:space="preserve"> PAGEREF _Toc532570551 \h </w:instrText>
        </w:r>
        <w:r>
          <w:rPr>
            <w:noProof/>
            <w:webHidden/>
          </w:rPr>
        </w:r>
        <w:r>
          <w:rPr>
            <w:noProof/>
            <w:webHidden/>
          </w:rPr>
          <w:fldChar w:fldCharType="separate"/>
        </w:r>
        <w:r>
          <w:rPr>
            <w:noProof/>
            <w:webHidden/>
          </w:rPr>
          <w:t>101</w:t>
        </w:r>
        <w:r>
          <w:rPr>
            <w:noProof/>
            <w:webHidden/>
          </w:rPr>
          <w:fldChar w:fldCharType="end"/>
        </w:r>
      </w:hyperlink>
    </w:p>
    <w:p w14:paraId="1289C934" w14:textId="77777777" w:rsidR="008954F2" w:rsidRDefault="008954F2">
      <w:pPr>
        <w:pStyle w:val="Tabladeilustraciones"/>
        <w:tabs>
          <w:tab w:val="right" w:leader="dot" w:pos="8828"/>
        </w:tabs>
        <w:rPr>
          <w:noProof/>
          <w:lang w:val="es-ES" w:eastAsia="es-ES"/>
        </w:rPr>
      </w:pPr>
      <w:hyperlink w:anchor="_Toc532570552" w:history="1">
        <w:r w:rsidRPr="00296CA1">
          <w:rPr>
            <w:rStyle w:val="Hipervnculo"/>
            <w:rFonts w:ascii="Century Gothic" w:hAnsi="Century Gothic"/>
            <w:noProof/>
            <w:lang w:val="es-ES"/>
          </w:rPr>
          <w:t xml:space="preserve">Tabla 61. </w:t>
        </w:r>
        <w:r w:rsidRPr="00296CA1">
          <w:rPr>
            <w:rStyle w:val="Hipervnculo"/>
            <w:rFonts w:ascii="Century Gothic" w:eastAsia="Times New Roman" w:hAnsi="Century Gothic" w:cs="Arial"/>
            <w:noProof/>
            <w:lang w:val="es-ES"/>
          </w:rPr>
          <w:t>Servicio de la deuda</w:t>
        </w:r>
        <w:r>
          <w:rPr>
            <w:noProof/>
            <w:webHidden/>
          </w:rPr>
          <w:tab/>
        </w:r>
        <w:r>
          <w:rPr>
            <w:noProof/>
            <w:webHidden/>
          </w:rPr>
          <w:fldChar w:fldCharType="begin"/>
        </w:r>
        <w:r>
          <w:rPr>
            <w:noProof/>
            <w:webHidden/>
          </w:rPr>
          <w:instrText xml:space="preserve"> PAGEREF _Toc532570552 \h </w:instrText>
        </w:r>
        <w:r>
          <w:rPr>
            <w:noProof/>
            <w:webHidden/>
          </w:rPr>
        </w:r>
        <w:r>
          <w:rPr>
            <w:noProof/>
            <w:webHidden/>
          </w:rPr>
          <w:fldChar w:fldCharType="separate"/>
        </w:r>
        <w:r>
          <w:rPr>
            <w:noProof/>
            <w:webHidden/>
          </w:rPr>
          <w:t>102</w:t>
        </w:r>
        <w:r>
          <w:rPr>
            <w:noProof/>
            <w:webHidden/>
          </w:rPr>
          <w:fldChar w:fldCharType="end"/>
        </w:r>
      </w:hyperlink>
    </w:p>
    <w:p w14:paraId="4AF88264" w14:textId="77777777" w:rsidR="008954F2" w:rsidRDefault="008954F2">
      <w:pPr>
        <w:pStyle w:val="Tabladeilustraciones"/>
        <w:tabs>
          <w:tab w:val="right" w:leader="dot" w:pos="8828"/>
        </w:tabs>
        <w:rPr>
          <w:noProof/>
          <w:lang w:val="es-ES" w:eastAsia="es-ES"/>
        </w:rPr>
      </w:pPr>
      <w:hyperlink w:anchor="_Toc532570553" w:history="1">
        <w:r w:rsidRPr="00296CA1">
          <w:rPr>
            <w:rStyle w:val="Hipervnculo"/>
            <w:rFonts w:ascii="Century Gothic" w:hAnsi="Century Gothic"/>
            <w:noProof/>
            <w:lang w:val="es-ES"/>
          </w:rPr>
          <w:t>Tabla 62. Proyección de indicadores – Ley 358 de 1997</w:t>
        </w:r>
        <w:r>
          <w:rPr>
            <w:noProof/>
            <w:webHidden/>
          </w:rPr>
          <w:tab/>
        </w:r>
        <w:r>
          <w:rPr>
            <w:noProof/>
            <w:webHidden/>
          </w:rPr>
          <w:fldChar w:fldCharType="begin"/>
        </w:r>
        <w:r>
          <w:rPr>
            <w:noProof/>
            <w:webHidden/>
          </w:rPr>
          <w:instrText xml:space="preserve"> PAGEREF _Toc532570553 \h </w:instrText>
        </w:r>
        <w:r>
          <w:rPr>
            <w:noProof/>
            <w:webHidden/>
          </w:rPr>
        </w:r>
        <w:r>
          <w:rPr>
            <w:noProof/>
            <w:webHidden/>
          </w:rPr>
          <w:fldChar w:fldCharType="separate"/>
        </w:r>
        <w:r>
          <w:rPr>
            <w:noProof/>
            <w:webHidden/>
          </w:rPr>
          <w:t>103</w:t>
        </w:r>
        <w:r>
          <w:rPr>
            <w:noProof/>
            <w:webHidden/>
          </w:rPr>
          <w:fldChar w:fldCharType="end"/>
        </w:r>
      </w:hyperlink>
    </w:p>
    <w:p w14:paraId="3AAF2081" w14:textId="77777777" w:rsidR="008954F2" w:rsidRDefault="008954F2">
      <w:pPr>
        <w:pStyle w:val="Tabladeilustraciones"/>
        <w:tabs>
          <w:tab w:val="right" w:leader="dot" w:pos="8828"/>
        </w:tabs>
        <w:rPr>
          <w:noProof/>
          <w:lang w:val="es-ES" w:eastAsia="es-ES"/>
        </w:rPr>
      </w:pPr>
      <w:hyperlink w:anchor="_Toc532570554" w:history="1">
        <w:r w:rsidRPr="00296CA1">
          <w:rPr>
            <w:rStyle w:val="Hipervnculo"/>
            <w:rFonts w:ascii="Century Gothic" w:hAnsi="Century Gothic"/>
            <w:noProof/>
            <w:lang w:val="es-ES"/>
          </w:rPr>
          <w:t>Tabla 63. Ahorro operacional = ingresos corrientes – Gastos de funcionamiento</w:t>
        </w:r>
        <w:r>
          <w:rPr>
            <w:noProof/>
            <w:webHidden/>
          </w:rPr>
          <w:tab/>
        </w:r>
        <w:r>
          <w:rPr>
            <w:noProof/>
            <w:webHidden/>
          </w:rPr>
          <w:fldChar w:fldCharType="begin"/>
        </w:r>
        <w:r>
          <w:rPr>
            <w:noProof/>
            <w:webHidden/>
          </w:rPr>
          <w:instrText xml:space="preserve"> PAGEREF _Toc532570554 \h </w:instrText>
        </w:r>
        <w:r>
          <w:rPr>
            <w:noProof/>
            <w:webHidden/>
          </w:rPr>
        </w:r>
        <w:r>
          <w:rPr>
            <w:noProof/>
            <w:webHidden/>
          </w:rPr>
          <w:fldChar w:fldCharType="separate"/>
        </w:r>
        <w:r>
          <w:rPr>
            <w:noProof/>
            <w:webHidden/>
          </w:rPr>
          <w:t>103</w:t>
        </w:r>
        <w:r>
          <w:rPr>
            <w:noProof/>
            <w:webHidden/>
          </w:rPr>
          <w:fldChar w:fldCharType="end"/>
        </w:r>
      </w:hyperlink>
    </w:p>
    <w:p w14:paraId="6B7EB719" w14:textId="77777777" w:rsidR="008954F2" w:rsidRDefault="008954F2">
      <w:pPr>
        <w:pStyle w:val="Tabladeilustraciones"/>
        <w:tabs>
          <w:tab w:val="right" w:leader="dot" w:pos="8828"/>
        </w:tabs>
        <w:rPr>
          <w:noProof/>
          <w:lang w:val="es-ES" w:eastAsia="es-ES"/>
        </w:rPr>
      </w:pPr>
      <w:hyperlink w:anchor="_Toc532570555" w:history="1">
        <w:r w:rsidRPr="00296CA1">
          <w:rPr>
            <w:rStyle w:val="Hipervnculo"/>
            <w:rFonts w:ascii="Century Gothic" w:hAnsi="Century Gothic"/>
            <w:noProof/>
            <w:lang w:val="es-ES"/>
          </w:rPr>
          <w:t xml:space="preserve">Tabla 64. </w:t>
        </w:r>
        <w:r w:rsidRPr="00296CA1">
          <w:rPr>
            <w:rStyle w:val="Hipervnculo"/>
            <w:rFonts w:ascii="Century Gothic" w:eastAsia="Times New Roman" w:hAnsi="Century Gothic" w:cs="Times New Roman"/>
            <w:noProof/>
            <w:lang w:val="es-ES"/>
          </w:rPr>
          <w:t>Acciones y medidas ingresos</w:t>
        </w:r>
        <w:r>
          <w:rPr>
            <w:noProof/>
            <w:webHidden/>
          </w:rPr>
          <w:tab/>
        </w:r>
        <w:r>
          <w:rPr>
            <w:noProof/>
            <w:webHidden/>
          </w:rPr>
          <w:fldChar w:fldCharType="begin"/>
        </w:r>
        <w:r>
          <w:rPr>
            <w:noProof/>
            <w:webHidden/>
          </w:rPr>
          <w:instrText xml:space="preserve"> PAGEREF _Toc532570555 \h </w:instrText>
        </w:r>
        <w:r>
          <w:rPr>
            <w:noProof/>
            <w:webHidden/>
          </w:rPr>
        </w:r>
        <w:r>
          <w:rPr>
            <w:noProof/>
            <w:webHidden/>
          </w:rPr>
          <w:fldChar w:fldCharType="separate"/>
        </w:r>
        <w:r>
          <w:rPr>
            <w:noProof/>
            <w:webHidden/>
          </w:rPr>
          <w:t>107</w:t>
        </w:r>
        <w:r>
          <w:rPr>
            <w:noProof/>
            <w:webHidden/>
          </w:rPr>
          <w:fldChar w:fldCharType="end"/>
        </w:r>
      </w:hyperlink>
    </w:p>
    <w:p w14:paraId="48A968FE" w14:textId="77777777" w:rsidR="00D35825" w:rsidRPr="001E2110" w:rsidRDefault="00A83A24" w:rsidP="009931F5">
      <w:pPr>
        <w:spacing w:after="0"/>
        <w:rPr>
          <w:rFonts w:ascii="Century Gothic" w:hAnsi="Century Gothic"/>
          <w:highlight w:val="yellow"/>
          <w:lang w:val="es-ES"/>
        </w:rPr>
      </w:pPr>
      <w:r w:rsidRPr="001E2110">
        <w:rPr>
          <w:rFonts w:ascii="Century Gothic" w:hAnsi="Century Gothic"/>
          <w:highlight w:val="yellow"/>
          <w:lang w:val="es-ES"/>
        </w:rPr>
        <w:fldChar w:fldCharType="end"/>
      </w:r>
    </w:p>
    <w:p w14:paraId="262DAC58" w14:textId="77777777" w:rsidR="00D35825" w:rsidRPr="001E2110" w:rsidRDefault="00D35825" w:rsidP="009931F5">
      <w:pPr>
        <w:spacing w:after="0"/>
        <w:rPr>
          <w:rFonts w:ascii="Century Gothic" w:hAnsi="Century Gothic"/>
          <w:color w:val="FF0000"/>
          <w:highlight w:val="yellow"/>
          <w:lang w:val="es-ES"/>
        </w:rPr>
      </w:pPr>
      <w:r w:rsidRPr="001E2110">
        <w:rPr>
          <w:rFonts w:ascii="Century Gothic" w:hAnsi="Century Gothic"/>
          <w:color w:val="FF0000"/>
          <w:highlight w:val="yellow"/>
          <w:lang w:val="es-ES"/>
        </w:rPr>
        <w:br w:type="page"/>
      </w:r>
    </w:p>
    <w:p w14:paraId="41397E2A" w14:textId="77777777" w:rsidR="00855DCD" w:rsidRPr="001E2110" w:rsidRDefault="00880E74" w:rsidP="00473499">
      <w:pPr>
        <w:pStyle w:val="Ttulo1"/>
        <w:numPr>
          <w:ilvl w:val="0"/>
          <w:numId w:val="0"/>
        </w:numPr>
        <w:rPr>
          <w:lang w:val="es-ES"/>
        </w:rPr>
      </w:pPr>
      <w:bookmarkStart w:id="0" w:name="_Toc532565915"/>
      <w:r w:rsidRPr="001E2110">
        <w:rPr>
          <w:lang w:val="es-ES"/>
        </w:rPr>
        <w:lastRenderedPageBreak/>
        <w:t>Introducción</w:t>
      </w:r>
      <w:bookmarkEnd w:id="0"/>
    </w:p>
    <w:p w14:paraId="55A9F510" w14:textId="77777777" w:rsidR="00996BC7" w:rsidRPr="001E2110" w:rsidRDefault="00996BC7" w:rsidP="009931F5">
      <w:pPr>
        <w:pStyle w:val="Textoindependiente"/>
        <w:spacing w:after="200" w:line="276" w:lineRule="auto"/>
        <w:jc w:val="both"/>
        <w:rPr>
          <w:sz w:val="22"/>
          <w:szCs w:val="22"/>
          <w:lang w:val="es-ES"/>
        </w:rPr>
      </w:pPr>
    </w:p>
    <w:p w14:paraId="2B144D3B" w14:textId="0DB16421" w:rsidR="008C75CC" w:rsidRPr="001E2110" w:rsidRDefault="000256CC" w:rsidP="009931F5">
      <w:pPr>
        <w:pStyle w:val="Textoindependiente"/>
        <w:spacing w:after="200" w:line="276" w:lineRule="auto"/>
        <w:jc w:val="both"/>
        <w:rPr>
          <w:sz w:val="22"/>
          <w:szCs w:val="22"/>
          <w:lang w:val="es-ES"/>
        </w:rPr>
      </w:pPr>
      <w:r w:rsidRPr="001E2110">
        <w:rPr>
          <w:sz w:val="22"/>
          <w:szCs w:val="22"/>
          <w:lang w:val="es-ES"/>
        </w:rPr>
        <w:t xml:space="preserve">A partir de lo </w:t>
      </w:r>
      <w:r w:rsidR="00AE6073" w:rsidRPr="001E2110">
        <w:rPr>
          <w:sz w:val="22"/>
          <w:szCs w:val="22"/>
          <w:lang w:val="es-ES"/>
        </w:rPr>
        <w:t>establecido en la Ley 819 de 2003, teniendo en cuenta</w:t>
      </w:r>
      <w:r w:rsidRPr="001E2110">
        <w:rPr>
          <w:sz w:val="22"/>
          <w:szCs w:val="22"/>
          <w:lang w:val="es-ES"/>
        </w:rPr>
        <w:t>, además,</w:t>
      </w:r>
      <w:r w:rsidR="00AE6073" w:rsidRPr="001E2110">
        <w:rPr>
          <w:sz w:val="22"/>
          <w:szCs w:val="22"/>
          <w:lang w:val="es-ES"/>
        </w:rPr>
        <w:t xml:space="preserve"> </w:t>
      </w:r>
      <w:r w:rsidRPr="001E2110">
        <w:rPr>
          <w:sz w:val="22"/>
          <w:szCs w:val="22"/>
          <w:lang w:val="es-ES"/>
        </w:rPr>
        <w:t xml:space="preserve">los </w:t>
      </w:r>
      <w:r w:rsidR="00AE6073" w:rsidRPr="001E2110">
        <w:rPr>
          <w:sz w:val="22"/>
          <w:szCs w:val="22"/>
          <w:lang w:val="es-ES"/>
        </w:rPr>
        <w:t xml:space="preserve">decretos reglamentarios vigentes y </w:t>
      </w:r>
      <w:r w:rsidR="008C75CC" w:rsidRPr="001E2110">
        <w:rPr>
          <w:sz w:val="22"/>
          <w:szCs w:val="22"/>
          <w:lang w:val="es-ES"/>
        </w:rPr>
        <w:t>acogiendo la herramienta estratégica de planeación financiera para entidades territoriales, el municipio de Pasto</w:t>
      </w:r>
      <w:r w:rsidRPr="001E2110">
        <w:rPr>
          <w:sz w:val="22"/>
          <w:szCs w:val="22"/>
          <w:lang w:val="es-ES"/>
        </w:rPr>
        <w:t xml:space="preserve"> construye</w:t>
      </w:r>
      <w:r w:rsidR="008C75CC" w:rsidRPr="001E2110">
        <w:rPr>
          <w:sz w:val="22"/>
          <w:szCs w:val="22"/>
          <w:lang w:val="es-ES"/>
        </w:rPr>
        <w:t xml:space="preserve"> el </w:t>
      </w:r>
      <w:r w:rsidR="0000417F" w:rsidRPr="001E2110">
        <w:rPr>
          <w:sz w:val="22"/>
          <w:szCs w:val="22"/>
          <w:lang w:val="es-ES"/>
        </w:rPr>
        <w:t xml:space="preserve">Marco Fiscal de Mediano Plazo (MFMP) para </w:t>
      </w:r>
      <w:r w:rsidR="00195B41" w:rsidRPr="001E2110">
        <w:rPr>
          <w:sz w:val="22"/>
          <w:szCs w:val="22"/>
          <w:lang w:val="es-ES"/>
        </w:rPr>
        <w:t>la vigencia 2019</w:t>
      </w:r>
      <w:r w:rsidR="0000417F" w:rsidRPr="001E2110">
        <w:rPr>
          <w:sz w:val="22"/>
          <w:szCs w:val="22"/>
          <w:lang w:val="es-ES"/>
        </w:rPr>
        <w:t>,</w:t>
      </w:r>
      <w:r w:rsidR="008C75CC" w:rsidRPr="001E2110">
        <w:rPr>
          <w:sz w:val="22"/>
          <w:szCs w:val="22"/>
          <w:lang w:val="es-ES"/>
        </w:rPr>
        <w:t xml:space="preserve"> </w:t>
      </w:r>
      <w:r w:rsidR="00B15F8A" w:rsidRPr="001E2110">
        <w:rPr>
          <w:sz w:val="22"/>
          <w:szCs w:val="22"/>
          <w:lang w:val="es-ES"/>
        </w:rPr>
        <w:t xml:space="preserve">instrumento técnico – financiero, </w:t>
      </w:r>
      <w:r w:rsidR="008C75CC" w:rsidRPr="001E2110">
        <w:rPr>
          <w:sz w:val="22"/>
          <w:szCs w:val="22"/>
          <w:lang w:val="es-ES"/>
        </w:rPr>
        <w:t xml:space="preserve">que </w:t>
      </w:r>
      <w:r w:rsidR="00B15F8A" w:rsidRPr="001E2110">
        <w:rPr>
          <w:sz w:val="22"/>
          <w:szCs w:val="22"/>
          <w:lang w:val="es-ES"/>
        </w:rPr>
        <w:t>permite enfatizar en los resultados y propósitos de la política fiscal</w:t>
      </w:r>
      <w:r w:rsidR="008C75CC" w:rsidRPr="001E2110">
        <w:rPr>
          <w:sz w:val="22"/>
          <w:szCs w:val="22"/>
          <w:lang w:val="es-ES"/>
        </w:rPr>
        <w:t xml:space="preserve"> para el municipio.</w:t>
      </w:r>
    </w:p>
    <w:p w14:paraId="07699E68" w14:textId="695AF62A" w:rsidR="008C75CC" w:rsidRPr="001E2110" w:rsidRDefault="008C75CC" w:rsidP="008C75CC">
      <w:pPr>
        <w:pStyle w:val="Textoindependiente"/>
        <w:spacing w:after="200" w:line="276" w:lineRule="auto"/>
        <w:jc w:val="both"/>
        <w:rPr>
          <w:sz w:val="22"/>
          <w:szCs w:val="22"/>
          <w:lang w:val="es-ES"/>
        </w:rPr>
      </w:pPr>
      <w:r w:rsidRPr="001E2110">
        <w:rPr>
          <w:sz w:val="22"/>
          <w:szCs w:val="22"/>
          <w:lang w:val="es-ES"/>
        </w:rPr>
        <w:t xml:space="preserve">Este instrumento soporta el Presupuesto de Rentas e Ingresos y </w:t>
      </w:r>
      <w:r w:rsidR="000256CC" w:rsidRPr="001E2110">
        <w:rPr>
          <w:sz w:val="22"/>
          <w:szCs w:val="22"/>
          <w:lang w:val="es-ES"/>
        </w:rPr>
        <w:t xml:space="preserve">de </w:t>
      </w:r>
      <w:r w:rsidRPr="001E2110">
        <w:rPr>
          <w:sz w:val="22"/>
          <w:szCs w:val="22"/>
          <w:lang w:val="es-ES"/>
        </w:rPr>
        <w:t xml:space="preserve">Gastos e Inversiones de la vigencia 2019 y sirve como referencia a la administración municipal, a los órganos de control y a la comunidad en general, para realizar seguimiento a los recursos públicos que maneja el ejecutivo municipal, a la vez que garantiza la transparencia en el manejo del erario público. </w:t>
      </w:r>
    </w:p>
    <w:p w14:paraId="26D9F0ED" w14:textId="395B035C" w:rsidR="00AF2D5C" w:rsidRPr="001E2110" w:rsidRDefault="00344262" w:rsidP="009931F5">
      <w:pPr>
        <w:pStyle w:val="Textoindependiente"/>
        <w:spacing w:after="200" w:line="276" w:lineRule="auto"/>
        <w:jc w:val="both"/>
        <w:rPr>
          <w:sz w:val="22"/>
          <w:szCs w:val="22"/>
          <w:lang w:val="es-ES"/>
        </w:rPr>
      </w:pPr>
      <w:r w:rsidRPr="001E2110">
        <w:rPr>
          <w:sz w:val="22"/>
          <w:szCs w:val="22"/>
          <w:lang w:val="es-ES"/>
        </w:rPr>
        <w:t xml:space="preserve">Este Marco Fiscal de Mediano Plazo contiene un </w:t>
      </w:r>
      <w:r w:rsidR="000859D5" w:rsidRPr="001E2110">
        <w:rPr>
          <w:sz w:val="22"/>
          <w:szCs w:val="22"/>
          <w:lang w:val="es-ES"/>
        </w:rPr>
        <w:t>contexto y antecedentes d</w:t>
      </w:r>
      <w:r w:rsidR="001E4D04" w:rsidRPr="001E2110">
        <w:rPr>
          <w:sz w:val="22"/>
          <w:szCs w:val="22"/>
          <w:lang w:val="es-ES"/>
        </w:rPr>
        <w:t xml:space="preserve">el municipio de Pasto, </w:t>
      </w:r>
      <w:r w:rsidR="00365EF1" w:rsidRPr="001E2110">
        <w:rPr>
          <w:sz w:val="22"/>
          <w:szCs w:val="22"/>
          <w:lang w:val="es-ES"/>
        </w:rPr>
        <w:t xml:space="preserve">el </w:t>
      </w:r>
      <w:r w:rsidR="00B245CA" w:rsidRPr="001E2110">
        <w:rPr>
          <w:sz w:val="22"/>
          <w:szCs w:val="22"/>
          <w:lang w:val="es-ES"/>
        </w:rPr>
        <w:t xml:space="preserve">análisis de los resultados de la </w:t>
      </w:r>
      <w:r w:rsidR="00365EF1" w:rsidRPr="001E2110">
        <w:rPr>
          <w:sz w:val="22"/>
          <w:szCs w:val="22"/>
          <w:lang w:val="es-ES"/>
        </w:rPr>
        <w:t xml:space="preserve">vigencia anterior en cuanto a ejecución de ingresos y gastos, </w:t>
      </w:r>
      <w:r w:rsidR="000859D5" w:rsidRPr="001E2110">
        <w:rPr>
          <w:sz w:val="22"/>
          <w:szCs w:val="22"/>
          <w:lang w:val="es-ES"/>
        </w:rPr>
        <w:t xml:space="preserve">la estimación del costo fiscal de las exenciones tributarias, la relación de los pasivos exigibles y de los pasivos contingentes que </w:t>
      </w:r>
      <w:r w:rsidRPr="001E2110">
        <w:rPr>
          <w:sz w:val="22"/>
          <w:szCs w:val="22"/>
          <w:lang w:val="es-ES"/>
        </w:rPr>
        <w:t xml:space="preserve">pueden </w:t>
      </w:r>
      <w:r w:rsidR="000859D5" w:rsidRPr="001E2110">
        <w:rPr>
          <w:sz w:val="22"/>
          <w:szCs w:val="22"/>
          <w:lang w:val="es-ES"/>
        </w:rPr>
        <w:t>afecta</w:t>
      </w:r>
      <w:r w:rsidRPr="001E2110">
        <w:rPr>
          <w:sz w:val="22"/>
          <w:szCs w:val="22"/>
          <w:lang w:val="es-ES"/>
        </w:rPr>
        <w:t>r</w:t>
      </w:r>
      <w:r w:rsidR="000859D5" w:rsidRPr="001E2110">
        <w:rPr>
          <w:sz w:val="22"/>
          <w:szCs w:val="22"/>
          <w:lang w:val="es-ES"/>
        </w:rPr>
        <w:t xml:space="preserve"> la situ</w:t>
      </w:r>
      <w:r w:rsidR="00F26AC1" w:rsidRPr="001E2110">
        <w:rPr>
          <w:sz w:val="22"/>
          <w:szCs w:val="22"/>
          <w:lang w:val="es-ES"/>
        </w:rPr>
        <w:t>ación financiera del municipio.</w:t>
      </w:r>
    </w:p>
    <w:p w14:paraId="11FC8D7E" w14:textId="26171AF0" w:rsidR="00D62DA8" w:rsidRPr="001E2110" w:rsidRDefault="000859D5" w:rsidP="009931F5">
      <w:pPr>
        <w:pStyle w:val="Textoindependiente"/>
        <w:spacing w:after="200" w:line="276" w:lineRule="auto"/>
        <w:jc w:val="both"/>
        <w:rPr>
          <w:sz w:val="22"/>
          <w:szCs w:val="22"/>
          <w:lang w:val="es-ES"/>
        </w:rPr>
      </w:pPr>
      <w:r w:rsidRPr="001E2110">
        <w:rPr>
          <w:sz w:val="22"/>
          <w:szCs w:val="22"/>
          <w:lang w:val="es-ES"/>
        </w:rPr>
        <w:t xml:space="preserve">De igual manera, se presenta el costo fiscal de los proyectos de acuerdo sancionados en la vigencia fiscal anterior, el </w:t>
      </w:r>
      <w:r w:rsidR="001E4D04" w:rsidRPr="001E2110">
        <w:rPr>
          <w:sz w:val="22"/>
          <w:szCs w:val="22"/>
          <w:lang w:val="es-ES"/>
        </w:rPr>
        <w:t>p</w:t>
      </w:r>
      <w:r w:rsidRPr="001E2110">
        <w:rPr>
          <w:sz w:val="22"/>
          <w:szCs w:val="22"/>
          <w:lang w:val="es-ES"/>
        </w:rPr>
        <w:t xml:space="preserve">lan </w:t>
      </w:r>
      <w:r w:rsidR="001E4D04" w:rsidRPr="001E2110">
        <w:rPr>
          <w:sz w:val="22"/>
          <w:szCs w:val="22"/>
          <w:lang w:val="es-ES"/>
        </w:rPr>
        <w:t>f</w:t>
      </w:r>
      <w:r w:rsidRPr="001E2110">
        <w:rPr>
          <w:sz w:val="22"/>
          <w:szCs w:val="22"/>
          <w:lang w:val="es-ES"/>
        </w:rPr>
        <w:t xml:space="preserve">inanciero, las metas de superávit primario, el nivel de </w:t>
      </w:r>
      <w:r w:rsidR="000256CC" w:rsidRPr="001E2110">
        <w:rPr>
          <w:sz w:val="22"/>
          <w:szCs w:val="22"/>
          <w:lang w:val="es-ES"/>
        </w:rPr>
        <w:t xml:space="preserve">la </w:t>
      </w:r>
      <w:r w:rsidRPr="001E2110">
        <w:rPr>
          <w:sz w:val="22"/>
          <w:szCs w:val="22"/>
          <w:lang w:val="es-ES"/>
        </w:rPr>
        <w:t xml:space="preserve">deuda </w:t>
      </w:r>
      <w:r w:rsidR="00AF2D5C" w:rsidRPr="001E2110">
        <w:rPr>
          <w:sz w:val="22"/>
          <w:szCs w:val="22"/>
          <w:lang w:val="es-ES"/>
        </w:rPr>
        <w:t>pública</w:t>
      </w:r>
      <w:r w:rsidRPr="001E2110">
        <w:rPr>
          <w:sz w:val="22"/>
          <w:szCs w:val="22"/>
          <w:lang w:val="es-ES"/>
        </w:rPr>
        <w:t xml:space="preserve"> y el análisis </w:t>
      </w:r>
      <w:r w:rsidR="00AF2D5C" w:rsidRPr="001E2110">
        <w:rPr>
          <w:sz w:val="22"/>
          <w:szCs w:val="22"/>
          <w:lang w:val="es-ES"/>
        </w:rPr>
        <w:t>de sostenibilidad</w:t>
      </w:r>
      <w:r w:rsidR="00365686" w:rsidRPr="001E2110">
        <w:rPr>
          <w:sz w:val="22"/>
          <w:szCs w:val="22"/>
          <w:lang w:val="es-ES"/>
        </w:rPr>
        <w:t>.</w:t>
      </w:r>
    </w:p>
    <w:p w14:paraId="20CCC2A3" w14:textId="4A3EA6F0" w:rsidR="00871201" w:rsidRPr="001E2110" w:rsidRDefault="00AF2D5C" w:rsidP="009931F5">
      <w:pPr>
        <w:pStyle w:val="Textoindependiente"/>
        <w:spacing w:after="200" w:line="276" w:lineRule="auto"/>
        <w:jc w:val="both"/>
        <w:rPr>
          <w:sz w:val="22"/>
          <w:szCs w:val="22"/>
          <w:lang w:val="es-ES"/>
        </w:rPr>
      </w:pPr>
      <w:r w:rsidRPr="001E2110">
        <w:rPr>
          <w:sz w:val="22"/>
          <w:szCs w:val="22"/>
          <w:lang w:val="es-ES"/>
        </w:rPr>
        <w:t xml:space="preserve">Finalmente, se </w:t>
      </w:r>
      <w:r w:rsidR="000256CC" w:rsidRPr="001E2110">
        <w:rPr>
          <w:sz w:val="22"/>
          <w:szCs w:val="22"/>
          <w:lang w:val="es-ES"/>
        </w:rPr>
        <w:t xml:space="preserve">describen </w:t>
      </w:r>
      <w:r w:rsidRPr="001E2110">
        <w:rPr>
          <w:sz w:val="22"/>
          <w:szCs w:val="22"/>
          <w:lang w:val="es-ES"/>
        </w:rPr>
        <w:t>las acciones y medidas específicas</w:t>
      </w:r>
      <w:r w:rsidR="00DE1BD0" w:rsidRPr="001E2110">
        <w:rPr>
          <w:sz w:val="22"/>
          <w:szCs w:val="22"/>
          <w:lang w:val="es-ES"/>
        </w:rPr>
        <w:t xml:space="preserve"> </w:t>
      </w:r>
      <w:r w:rsidR="00F26AC1" w:rsidRPr="001E2110">
        <w:rPr>
          <w:sz w:val="22"/>
          <w:szCs w:val="22"/>
          <w:lang w:val="es-ES"/>
        </w:rPr>
        <w:t xml:space="preserve">para </w:t>
      </w:r>
      <w:r w:rsidR="00DE1BD0" w:rsidRPr="001E2110">
        <w:rPr>
          <w:sz w:val="22"/>
          <w:szCs w:val="22"/>
          <w:lang w:val="es-ES"/>
        </w:rPr>
        <w:t>el cumplimiento de las metas</w:t>
      </w:r>
      <w:r w:rsidR="00F26AC1" w:rsidRPr="001E2110">
        <w:rPr>
          <w:sz w:val="22"/>
          <w:szCs w:val="22"/>
          <w:lang w:val="es-ES"/>
        </w:rPr>
        <w:t xml:space="preserve"> financieras y del Plan de Desarrollo Municipal “Pasto </w:t>
      </w:r>
      <w:r w:rsidR="008D6F1C" w:rsidRPr="001E2110">
        <w:rPr>
          <w:sz w:val="22"/>
          <w:szCs w:val="22"/>
          <w:lang w:val="es-ES"/>
        </w:rPr>
        <w:t xml:space="preserve">Educado </w:t>
      </w:r>
      <w:r w:rsidR="00F26AC1" w:rsidRPr="001E2110">
        <w:rPr>
          <w:sz w:val="22"/>
          <w:szCs w:val="22"/>
          <w:lang w:val="es-ES"/>
        </w:rPr>
        <w:t>Constructor de Paz” 2016 – 2019</w:t>
      </w:r>
      <w:r w:rsidR="007B11C8" w:rsidRPr="001E2110">
        <w:rPr>
          <w:sz w:val="22"/>
          <w:szCs w:val="22"/>
          <w:lang w:val="es-ES"/>
        </w:rPr>
        <w:t xml:space="preserve">. </w:t>
      </w:r>
    </w:p>
    <w:p w14:paraId="2805A013" w14:textId="77777777" w:rsidR="00855DCD" w:rsidRPr="001E2110" w:rsidRDefault="00855DCD" w:rsidP="009931F5">
      <w:pPr>
        <w:rPr>
          <w:rFonts w:ascii="Century Gothic" w:hAnsi="Century Gothic"/>
          <w:color w:val="FF0000"/>
          <w:lang w:val="es-ES"/>
        </w:rPr>
      </w:pPr>
      <w:r w:rsidRPr="001E2110">
        <w:rPr>
          <w:rFonts w:ascii="Century Gothic" w:hAnsi="Century Gothic"/>
          <w:color w:val="FF0000"/>
          <w:lang w:val="es-ES"/>
        </w:rPr>
        <w:br w:type="page"/>
      </w:r>
    </w:p>
    <w:p w14:paraId="7ADAB36B" w14:textId="77777777" w:rsidR="00852B6E" w:rsidRPr="001E2110" w:rsidRDefault="00A075C2" w:rsidP="00473499">
      <w:pPr>
        <w:pStyle w:val="Ttulo1"/>
        <w:rPr>
          <w:lang w:val="es-ES"/>
        </w:rPr>
      </w:pPr>
      <w:bookmarkStart w:id="1" w:name="_Toc532565916"/>
      <w:r w:rsidRPr="001E2110">
        <w:rPr>
          <w:noProof/>
          <w:lang w:val="es-ES" w:eastAsia="es-ES"/>
        </w:rPr>
        <w:lastRenderedPageBreak/>
        <w:drawing>
          <wp:anchor distT="0" distB="0" distL="114300" distR="114300" simplePos="0" relativeHeight="251688448" behindDoc="0" locked="0" layoutInCell="1" allowOverlap="1" wp14:anchorId="3CBB1E07" wp14:editId="5E1A9763">
            <wp:simplePos x="0" y="0"/>
            <wp:positionH relativeFrom="column">
              <wp:posOffset>4012565</wp:posOffset>
            </wp:positionH>
            <wp:positionV relativeFrom="paragraph">
              <wp:posOffset>30480</wp:posOffset>
            </wp:positionV>
            <wp:extent cx="1609725" cy="1657350"/>
            <wp:effectExtent l="0" t="0" r="9525" b="0"/>
            <wp:wrapSquare wrapText="bothSides"/>
            <wp:docPr id="13" name="Imagen 1" descr="https://upload.wikimedia.org/wikipedia/commons/thumb/9/92/Colombia_-_Nari%C3%B1o_-_San_Juan_de_Pasto.svg/2000px-Colombia_-_Nari%C3%B1o_-_San_Juan_de_Pasto.svg.png"/>
            <wp:cNvGraphicFramePr/>
            <a:graphic xmlns:a="http://schemas.openxmlformats.org/drawingml/2006/main">
              <a:graphicData uri="http://schemas.openxmlformats.org/drawingml/2006/picture">
                <pic:pic xmlns:pic="http://schemas.openxmlformats.org/drawingml/2006/picture">
                  <pic:nvPicPr>
                    <pic:cNvPr id="4100" name="Picture 4" descr="https://upload.wikimedia.org/wikipedia/commons/thumb/9/92/Colombia_-_Nari%C3%B1o_-_San_Juan_de_Pasto.svg/2000px-Colombia_-_Nari%C3%B1o_-_San_Juan_de_Pasto.svg.png"/>
                    <pic:cNvPicPr>
                      <a:picLocks noChangeAspect="1" noChangeArrowheads="1"/>
                    </pic:cNvPicPr>
                  </pic:nvPicPr>
                  <pic:blipFill>
                    <a:blip r:embed="rId11" cstate="print"/>
                    <a:srcRect/>
                    <a:stretch>
                      <a:fillRect/>
                    </a:stretch>
                  </pic:blipFill>
                  <pic:spPr bwMode="auto">
                    <a:xfrm>
                      <a:off x="0" y="0"/>
                      <a:ext cx="1609725" cy="1657350"/>
                    </a:xfrm>
                    <a:prstGeom prst="rect">
                      <a:avLst/>
                    </a:prstGeom>
                    <a:noFill/>
                  </pic:spPr>
                </pic:pic>
              </a:graphicData>
            </a:graphic>
            <wp14:sizeRelH relativeFrom="margin">
              <wp14:pctWidth>0</wp14:pctWidth>
            </wp14:sizeRelH>
            <wp14:sizeRelV relativeFrom="margin">
              <wp14:pctHeight>0</wp14:pctHeight>
            </wp14:sizeRelV>
          </wp:anchor>
        </w:drawing>
      </w:r>
      <w:r w:rsidR="00C159AA" w:rsidRPr="001E2110">
        <w:rPr>
          <w:lang w:val="es-ES"/>
        </w:rPr>
        <w:t>Contexto y antecedentes del municipio de Pasto</w:t>
      </w:r>
      <w:bookmarkEnd w:id="1"/>
    </w:p>
    <w:p w14:paraId="33220AC1" w14:textId="77777777" w:rsidR="00996BC7" w:rsidRPr="001E2110" w:rsidRDefault="00996BC7" w:rsidP="009931F5">
      <w:pPr>
        <w:rPr>
          <w:rFonts w:ascii="Century Gothic" w:hAnsi="Century Gothic"/>
          <w:lang w:val="es-ES"/>
        </w:rPr>
      </w:pPr>
    </w:p>
    <w:p w14:paraId="3C0363C2" w14:textId="099E810A" w:rsidR="00852B6E" w:rsidRPr="001E2110" w:rsidRDefault="00EA5026" w:rsidP="009931F5">
      <w:pPr>
        <w:jc w:val="both"/>
        <w:rPr>
          <w:rFonts w:ascii="Century Gothic" w:hAnsi="Century Gothic" w:cs="Arial"/>
          <w:lang w:val="es-ES"/>
        </w:rPr>
      </w:pPr>
      <w:r w:rsidRPr="001E2110">
        <w:rPr>
          <w:rFonts w:ascii="Century Gothic" w:hAnsi="Century Gothic" w:cs="Arial"/>
          <w:lang w:val="es-ES"/>
        </w:rPr>
        <w:t xml:space="preserve">El municipio de Pasto está ubicado </w:t>
      </w:r>
      <w:r w:rsidR="005E0692" w:rsidRPr="001E2110">
        <w:rPr>
          <w:rFonts w:ascii="Century Gothic" w:hAnsi="Century Gothic" w:cs="Arial"/>
          <w:lang w:val="es-ES"/>
        </w:rPr>
        <w:t>a</w:t>
      </w:r>
      <w:r w:rsidRPr="001E2110">
        <w:rPr>
          <w:rFonts w:ascii="Century Gothic" w:hAnsi="Century Gothic" w:cs="Arial"/>
          <w:lang w:val="es-ES"/>
        </w:rPr>
        <w:t xml:space="preserve">l sur occidente de Colombia, </w:t>
      </w:r>
      <w:r w:rsidR="00FC7E5D" w:rsidRPr="001E2110">
        <w:rPr>
          <w:rFonts w:ascii="Century Gothic" w:hAnsi="Century Gothic" w:cs="Arial"/>
          <w:lang w:val="es-ES"/>
        </w:rPr>
        <w:t xml:space="preserve">tiene una </w:t>
      </w:r>
      <w:r w:rsidRPr="001E2110">
        <w:rPr>
          <w:rFonts w:ascii="Century Gothic" w:hAnsi="Century Gothic" w:cs="Arial"/>
          <w:lang w:val="es-ES"/>
        </w:rPr>
        <w:t>extensión total de 1.131 km², (el 3,4% del área departamental), de los cuales, 26,4 km² (2,3%) corresponden</w:t>
      </w:r>
      <w:r w:rsidR="00FC7E5D" w:rsidRPr="001E2110">
        <w:rPr>
          <w:rFonts w:ascii="Century Gothic" w:hAnsi="Century Gothic" w:cs="Arial"/>
          <w:lang w:val="es-ES"/>
        </w:rPr>
        <w:t xml:space="preserve"> al área urbana </w:t>
      </w:r>
      <w:r w:rsidRPr="001E2110">
        <w:rPr>
          <w:rFonts w:ascii="Century Gothic" w:hAnsi="Century Gothic" w:cs="Arial"/>
          <w:lang w:val="es-ES"/>
        </w:rPr>
        <w:t>y 1.104</w:t>
      </w:r>
      <w:r w:rsidR="00FC7E5D" w:rsidRPr="001E2110">
        <w:rPr>
          <w:rFonts w:ascii="Century Gothic" w:hAnsi="Century Gothic" w:cs="Arial"/>
          <w:lang w:val="es-ES"/>
        </w:rPr>
        <w:t>,6 km² (97,7%) al área rural.</w:t>
      </w:r>
    </w:p>
    <w:p w14:paraId="2BE52594" w14:textId="77777777" w:rsidR="00EA5026" w:rsidRPr="001E2110" w:rsidRDefault="009931F5" w:rsidP="009931F5">
      <w:pPr>
        <w:jc w:val="both"/>
        <w:rPr>
          <w:rFonts w:ascii="Century Gothic" w:hAnsi="Century Gothic" w:cs="Arial"/>
          <w:lang w:val="es-ES"/>
        </w:rPr>
      </w:pPr>
      <w:r w:rsidRPr="001E2110">
        <w:rPr>
          <w:rFonts w:ascii="Century Gothic" w:hAnsi="Century Gothic" w:cs="Arial"/>
          <w:noProof/>
          <w:lang w:val="es-ES" w:eastAsia="es-ES"/>
        </w:rPr>
        <w:drawing>
          <wp:anchor distT="0" distB="0" distL="114300" distR="114300" simplePos="0" relativeHeight="251689472" behindDoc="0" locked="0" layoutInCell="1" allowOverlap="1" wp14:anchorId="16EADA48" wp14:editId="14B9965A">
            <wp:simplePos x="0" y="0"/>
            <wp:positionH relativeFrom="margin">
              <wp:align>left</wp:align>
            </wp:positionH>
            <wp:positionV relativeFrom="paragraph">
              <wp:posOffset>55880</wp:posOffset>
            </wp:positionV>
            <wp:extent cx="2420620" cy="1987550"/>
            <wp:effectExtent l="0" t="0" r="0" b="0"/>
            <wp:wrapSquare wrapText="bothSides"/>
            <wp:docPr id="15" name="Imagen 4" descr="http://www.turismopasto.gov.co/images/desde_pasto/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urismopasto.gov.co/images/desde_pasto/pasto.jpg"/>
                    <pic:cNvPicPr>
                      <a:picLocks noChangeAspect="1" noChangeArrowheads="1"/>
                    </pic:cNvPicPr>
                  </pic:nvPicPr>
                  <pic:blipFill>
                    <a:blip r:embed="rId12"/>
                    <a:srcRect r="1471"/>
                    <a:stretch>
                      <a:fillRect/>
                    </a:stretch>
                  </pic:blipFill>
                  <pic:spPr bwMode="auto">
                    <a:xfrm>
                      <a:off x="0" y="0"/>
                      <a:ext cx="2420620" cy="1987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A5026" w:rsidRPr="001E2110">
        <w:rPr>
          <w:rFonts w:ascii="Century Gothic" w:hAnsi="Century Gothic" w:cs="Arial"/>
          <w:lang w:val="es-ES"/>
        </w:rPr>
        <w:t xml:space="preserve">Limita al norte con los municipios de Nariño, </w:t>
      </w:r>
      <w:proofErr w:type="spellStart"/>
      <w:r w:rsidR="00EA5026" w:rsidRPr="001E2110">
        <w:rPr>
          <w:rFonts w:ascii="Century Gothic" w:hAnsi="Century Gothic" w:cs="Arial"/>
          <w:lang w:val="es-ES"/>
        </w:rPr>
        <w:t>Chachagüí</w:t>
      </w:r>
      <w:proofErr w:type="spellEnd"/>
      <w:r w:rsidR="00EA5026" w:rsidRPr="001E2110">
        <w:rPr>
          <w:rFonts w:ascii="Century Gothic" w:hAnsi="Century Gothic" w:cs="Arial"/>
          <w:lang w:val="es-ES"/>
        </w:rPr>
        <w:t xml:space="preserve"> y Buesaco; al sur con el departamento del Putumayo y el municipio de Funes; al oriente con el municipio de Buesaco y el departamento del Putumayo; y al occidente con los municipios de Tangua y Consacá.</w:t>
      </w:r>
    </w:p>
    <w:p w14:paraId="10DF5804" w14:textId="12855C84" w:rsidR="00EA5026" w:rsidRPr="001E2110" w:rsidRDefault="00EA5026" w:rsidP="009931F5">
      <w:pPr>
        <w:jc w:val="both"/>
        <w:rPr>
          <w:rFonts w:ascii="Century Gothic" w:hAnsi="Century Gothic" w:cs="Arial"/>
          <w:lang w:val="es-ES"/>
        </w:rPr>
      </w:pPr>
      <w:r w:rsidRPr="001E2110">
        <w:rPr>
          <w:rFonts w:ascii="Century Gothic" w:hAnsi="Century Gothic" w:cs="Arial"/>
          <w:lang w:val="es-ES"/>
        </w:rPr>
        <w:t>El Municipio está dividido político</w:t>
      </w:r>
      <w:r w:rsidR="00C80688" w:rsidRPr="001E2110">
        <w:rPr>
          <w:rFonts w:ascii="Century Gothic" w:hAnsi="Century Gothic" w:cs="Arial"/>
          <w:lang w:val="es-ES"/>
        </w:rPr>
        <w:t xml:space="preserve"> – </w:t>
      </w:r>
      <w:r w:rsidRPr="001E2110">
        <w:rPr>
          <w:rFonts w:ascii="Century Gothic" w:hAnsi="Century Gothic" w:cs="Arial"/>
          <w:lang w:val="es-ES"/>
        </w:rPr>
        <w:t>administrativamente en 12 comunas (413 barrios) y 17 corregimientos (148 veredas).</w:t>
      </w:r>
    </w:p>
    <w:p w14:paraId="63403C3C" w14:textId="6F8AF5F6" w:rsidR="00EA5026" w:rsidRPr="001E2110" w:rsidRDefault="00D2637D" w:rsidP="009931F5">
      <w:pPr>
        <w:jc w:val="both"/>
        <w:rPr>
          <w:rFonts w:ascii="Century Gothic" w:hAnsi="Century Gothic" w:cs="Arial"/>
          <w:lang w:val="es-ES"/>
        </w:rPr>
      </w:pPr>
      <w:r w:rsidRPr="001E2110">
        <w:rPr>
          <w:rFonts w:ascii="Century Gothic" w:hAnsi="Century Gothic" w:cs="Arial"/>
          <w:lang w:val="es-ES"/>
        </w:rPr>
        <w:t xml:space="preserve">De acuerdo a las </w:t>
      </w:r>
      <w:r w:rsidR="00EA5026" w:rsidRPr="001E2110">
        <w:rPr>
          <w:rFonts w:ascii="Century Gothic" w:hAnsi="Century Gothic" w:cs="Arial"/>
          <w:lang w:val="es-ES"/>
        </w:rPr>
        <w:t>proyecciones del Departamento Administrativo Nacional de Estadística – DANE, para el año 201</w:t>
      </w:r>
      <w:r w:rsidRPr="001E2110">
        <w:rPr>
          <w:rFonts w:ascii="Century Gothic" w:hAnsi="Century Gothic" w:cs="Arial"/>
          <w:lang w:val="es-ES"/>
        </w:rPr>
        <w:t>8</w:t>
      </w:r>
      <w:r w:rsidR="00EA5026" w:rsidRPr="001E2110">
        <w:rPr>
          <w:rFonts w:ascii="Century Gothic" w:hAnsi="Century Gothic" w:cs="Arial"/>
          <w:lang w:val="es-ES"/>
        </w:rPr>
        <w:t xml:space="preserve">, </w:t>
      </w:r>
      <w:r w:rsidR="00BC762F" w:rsidRPr="001E2110">
        <w:rPr>
          <w:rFonts w:ascii="Century Gothic" w:hAnsi="Century Gothic" w:cs="Arial"/>
          <w:lang w:val="es-ES"/>
        </w:rPr>
        <w:t xml:space="preserve">en el </w:t>
      </w:r>
      <w:r w:rsidR="00EA5026" w:rsidRPr="001E2110">
        <w:rPr>
          <w:rFonts w:ascii="Century Gothic" w:hAnsi="Century Gothic" w:cs="Arial"/>
          <w:lang w:val="es-ES"/>
        </w:rPr>
        <w:t xml:space="preserve">municipio de Pasto </w:t>
      </w:r>
      <w:r w:rsidR="00BC762F" w:rsidRPr="001E2110">
        <w:rPr>
          <w:rFonts w:ascii="Century Gothic" w:hAnsi="Century Gothic" w:cs="Arial"/>
          <w:lang w:val="es-ES"/>
        </w:rPr>
        <w:t>habita</w:t>
      </w:r>
      <w:r w:rsidR="00FC7E5D" w:rsidRPr="001E2110">
        <w:rPr>
          <w:rFonts w:ascii="Century Gothic" w:hAnsi="Century Gothic" w:cs="Arial"/>
          <w:lang w:val="es-ES"/>
        </w:rPr>
        <w:t xml:space="preserve">n </w:t>
      </w:r>
      <w:r w:rsidRPr="001E2110">
        <w:rPr>
          <w:rFonts w:ascii="Century Gothic" w:hAnsi="Century Gothic" w:cs="Arial"/>
          <w:lang w:val="es-ES"/>
        </w:rPr>
        <w:t>455.863</w:t>
      </w:r>
      <w:r w:rsidR="00BC762F" w:rsidRPr="001E2110">
        <w:rPr>
          <w:rFonts w:ascii="Century Gothic" w:hAnsi="Century Gothic" w:cs="Arial"/>
          <w:lang w:val="es-ES"/>
        </w:rPr>
        <w:t xml:space="preserve"> personas</w:t>
      </w:r>
      <w:r w:rsidR="008D6F1C" w:rsidRPr="001E2110">
        <w:rPr>
          <w:rFonts w:ascii="Century Gothic" w:hAnsi="Century Gothic" w:cs="Arial"/>
          <w:lang w:val="es-ES"/>
        </w:rPr>
        <w:t>:</w:t>
      </w:r>
      <w:r w:rsidR="00EA5026" w:rsidRPr="001E2110">
        <w:rPr>
          <w:rFonts w:ascii="Century Gothic" w:hAnsi="Century Gothic" w:cs="Arial"/>
          <w:lang w:val="es-ES"/>
        </w:rPr>
        <w:t xml:space="preserve"> </w:t>
      </w:r>
      <w:r w:rsidRPr="001E2110">
        <w:rPr>
          <w:rFonts w:ascii="Century Gothic" w:hAnsi="Century Gothic" w:cs="Arial"/>
          <w:lang w:val="es-ES"/>
        </w:rPr>
        <w:t>381.</w:t>
      </w:r>
      <w:r w:rsidR="00541423" w:rsidRPr="001E2110">
        <w:rPr>
          <w:rFonts w:ascii="Century Gothic" w:hAnsi="Century Gothic" w:cs="Arial"/>
          <w:lang w:val="es-ES"/>
        </w:rPr>
        <w:t>494</w:t>
      </w:r>
      <w:r w:rsidR="00EA5026" w:rsidRPr="001E2110">
        <w:rPr>
          <w:rFonts w:ascii="Century Gothic" w:hAnsi="Century Gothic" w:cs="Arial"/>
          <w:lang w:val="es-ES"/>
        </w:rPr>
        <w:t xml:space="preserve"> </w:t>
      </w:r>
      <w:r w:rsidR="00541423" w:rsidRPr="001E2110">
        <w:rPr>
          <w:rFonts w:ascii="Century Gothic" w:hAnsi="Century Gothic" w:cs="Arial"/>
          <w:lang w:val="es-ES"/>
        </w:rPr>
        <w:t xml:space="preserve">(83,7%) </w:t>
      </w:r>
      <w:r w:rsidR="00EA5026" w:rsidRPr="001E2110">
        <w:rPr>
          <w:rFonts w:ascii="Century Gothic" w:hAnsi="Century Gothic" w:cs="Arial"/>
          <w:lang w:val="es-ES"/>
        </w:rPr>
        <w:t xml:space="preserve">en la zona urbana y </w:t>
      </w:r>
      <w:r w:rsidRPr="001E2110">
        <w:rPr>
          <w:rFonts w:ascii="Century Gothic" w:hAnsi="Century Gothic" w:cs="Arial"/>
          <w:lang w:val="es-ES"/>
        </w:rPr>
        <w:t>74.</w:t>
      </w:r>
      <w:r w:rsidR="00541423" w:rsidRPr="001E2110">
        <w:rPr>
          <w:rFonts w:ascii="Century Gothic" w:hAnsi="Century Gothic" w:cs="Arial"/>
          <w:lang w:val="es-ES"/>
        </w:rPr>
        <w:t>18</w:t>
      </w:r>
      <w:r w:rsidRPr="001E2110">
        <w:rPr>
          <w:rFonts w:ascii="Century Gothic" w:hAnsi="Century Gothic" w:cs="Arial"/>
          <w:lang w:val="es-ES"/>
        </w:rPr>
        <w:t>4</w:t>
      </w:r>
      <w:r w:rsidR="00EA5026" w:rsidRPr="001E2110">
        <w:rPr>
          <w:rFonts w:ascii="Century Gothic" w:hAnsi="Century Gothic" w:cs="Arial"/>
          <w:lang w:val="es-ES"/>
        </w:rPr>
        <w:t xml:space="preserve"> </w:t>
      </w:r>
      <w:r w:rsidR="00541423" w:rsidRPr="001E2110">
        <w:rPr>
          <w:rFonts w:ascii="Century Gothic" w:hAnsi="Century Gothic" w:cs="Arial"/>
          <w:lang w:val="es-ES"/>
        </w:rPr>
        <w:t xml:space="preserve">(16,3%) </w:t>
      </w:r>
      <w:r w:rsidR="00EA5026" w:rsidRPr="001E2110">
        <w:rPr>
          <w:rFonts w:ascii="Century Gothic" w:hAnsi="Century Gothic" w:cs="Arial"/>
          <w:lang w:val="es-ES"/>
        </w:rPr>
        <w:t>en la zona rural.</w:t>
      </w:r>
    </w:p>
    <w:p w14:paraId="62C77765" w14:textId="21E88177" w:rsidR="00566F77" w:rsidRPr="001E2110" w:rsidRDefault="00566F77" w:rsidP="00541423">
      <w:pPr>
        <w:pStyle w:val="Epgrafe"/>
        <w:spacing w:after="0"/>
        <w:jc w:val="center"/>
        <w:rPr>
          <w:rFonts w:ascii="Century Gothic" w:hAnsi="Century Gothic" w:cs="Arial"/>
          <w:b w:val="0"/>
          <w:color w:val="auto"/>
          <w:sz w:val="22"/>
          <w:szCs w:val="22"/>
          <w:lang w:val="es-ES"/>
        </w:rPr>
      </w:pPr>
      <w:bookmarkStart w:id="2" w:name="_Toc532566054"/>
      <w:r w:rsidRPr="001E2110">
        <w:rPr>
          <w:rFonts w:ascii="Century Gothic" w:hAnsi="Century Gothic"/>
          <w:b w:val="0"/>
          <w:color w:val="auto"/>
          <w:sz w:val="22"/>
          <w:szCs w:val="22"/>
          <w:lang w:val="es-ES"/>
        </w:rPr>
        <w:t xml:space="preserve">Gráfica </w:t>
      </w:r>
      <w:r w:rsidRPr="001E2110">
        <w:rPr>
          <w:rFonts w:ascii="Century Gothic" w:hAnsi="Century Gothic"/>
          <w:b w:val="0"/>
          <w:color w:val="auto"/>
          <w:sz w:val="22"/>
          <w:szCs w:val="22"/>
          <w:lang w:val="es-ES"/>
        </w:rPr>
        <w:fldChar w:fldCharType="begin"/>
      </w:r>
      <w:r w:rsidRPr="001E2110">
        <w:rPr>
          <w:rFonts w:ascii="Century Gothic" w:hAnsi="Century Gothic"/>
          <w:b w:val="0"/>
          <w:color w:val="auto"/>
          <w:sz w:val="22"/>
          <w:szCs w:val="22"/>
          <w:lang w:val="es-ES"/>
        </w:rPr>
        <w:instrText xml:space="preserve"> SEQ Gráfica \* ARABIC </w:instrText>
      </w:r>
      <w:r w:rsidRPr="001E2110">
        <w:rPr>
          <w:rFonts w:ascii="Century Gothic" w:hAnsi="Century Gothic"/>
          <w:b w:val="0"/>
          <w:color w:val="auto"/>
          <w:sz w:val="22"/>
          <w:szCs w:val="22"/>
          <w:lang w:val="es-ES"/>
        </w:rPr>
        <w:fldChar w:fldCharType="separate"/>
      </w:r>
      <w:r w:rsidR="004A2E30" w:rsidRPr="001E2110">
        <w:rPr>
          <w:rFonts w:ascii="Century Gothic" w:hAnsi="Century Gothic"/>
          <w:b w:val="0"/>
          <w:noProof/>
          <w:color w:val="auto"/>
          <w:sz w:val="22"/>
          <w:szCs w:val="22"/>
          <w:lang w:val="es-ES"/>
        </w:rPr>
        <w:t>1</w:t>
      </w:r>
      <w:r w:rsidRPr="001E2110">
        <w:rPr>
          <w:rFonts w:ascii="Century Gothic" w:hAnsi="Century Gothic"/>
          <w:b w:val="0"/>
          <w:color w:val="auto"/>
          <w:sz w:val="22"/>
          <w:szCs w:val="22"/>
          <w:lang w:val="es-ES"/>
        </w:rPr>
        <w:fldChar w:fldCharType="end"/>
      </w:r>
      <w:r w:rsidRPr="001E2110">
        <w:rPr>
          <w:rFonts w:ascii="Century Gothic" w:hAnsi="Century Gothic"/>
          <w:b w:val="0"/>
          <w:color w:val="auto"/>
          <w:sz w:val="22"/>
          <w:szCs w:val="22"/>
          <w:lang w:val="es-ES"/>
        </w:rPr>
        <w:t>. Pirámide poblacional</w:t>
      </w:r>
      <w:bookmarkEnd w:id="2"/>
    </w:p>
    <w:p w14:paraId="75E325DD" w14:textId="2F4ACEAF" w:rsidR="00566F77" w:rsidRPr="001E2110" w:rsidRDefault="00566F77" w:rsidP="00541423">
      <w:pPr>
        <w:spacing w:after="0"/>
        <w:jc w:val="center"/>
        <w:rPr>
          <w:rFonts w:ascii="Century Gothic" w:hAnsi="Century Gothic" w:cs="Arial"/>
          <w:lang w:val="es-ES"/>
        </w:rPr>
      </w:pPr>
      <w:r w:rsidRPr="001E2110">
        <w:rPr>
          <w:rFonts w:ascii="Century Gothic" w:hAnsi="Century Gothic"/>
          <w:noProof/>
          <w:lang w:val="es-ES" w:eastAsia="es-ES"/>
        </w:rPr>
        <w:drawing>
          <wp:inline distT="0" distB="0" distL="0" distR="0" wp14:anchorId="61ECAC9A" wp14:editId="03C9DF6A">
            <wp:extent cx="3092450" cy="226637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878" t="20125" r="51485" b="28228"/>
                    <a:stretch/>
                  </pic:blipFill>
                  <pic:spPr bwMode="auto">
                    <a:xfrm>
                      <a:off x="0" y="0"/>
                      <a:ext cx="3108647" cy="2278244"/>
                    </a:xfrm>
                    <a:prstGeom prst="rect">
                      <a:avLst/>
                    </a:prstGeom>
                    <a:ln>
                      <a:noFill/>
                    </a:ln>
                    <a:extLst>
                      <a:ext uri="{53640926-AAD7-44D8-BBD7-CCE9431645EC}">
                        <a14:shadowObscured xmlns:a14="http://schemas.microsoft.com/office/drawing/2010/main"/>
                      </a:ext>
                    </a:extLst>
                  </pic:spPr>
                </pic:pic>
              </a:graphicData>
            </a:graphic>
          </wp:inline>
        </w:drawing>
      </w:r>
    </w:p>
    <w:p w14:paraId="63E7E19E" w14:textId="7128BD40" w:rsidR="00566F77" w:rsidRPr="001E2110" w:rsidRDefault="00566F77" w:rsidP="00566F77">
      <w:pPr>
        <w:jc w:val="center"/>
        <w:rPr>
          <w:rFonts w:ascii="Century Gothic" w:hAnsi="Century Gothic" w:cs="Arial"/>
          <w:sz w:val="20"/>
          <w:lang w:val="es-ES"/>
        </w:rPr>
      </w:pPr>
      <w:r w:rsidRPr="001E2110">
        <w:rPr>
          <w:rFonts w:ascii="Century Gothic" w:hAnsi="Century Gothic" w:cs="Arial"/>
          <w:sz w:val="20"/>
          <w:lang w:val="es-ES"/>
        </w:rPr>
        <w:t xml:space="preserve">Fuente: </w:t>
      </w:r>
      <w:r w:rsidR="00541423" w:rsidRPr="001E2110">
        <w:rPr>
          <w:rFonts w:ascii="Century Gothic" w:hAnsi="Century Gothic" w:cs="Arial"/>
          <w:sz w:val="20"/>
          <w:lang w:val="es-ES"/>
        </w:rPr>
        <w:t>Departamento Administrativo Nacional de Estadística – DANE, Proyecciones de población, 2018</w:t>
      </w:r>
    </w:p>
    <w:p w14:paraId="46D7BDB8" w14:textId="6356C084" w:rsidR="00566F77" w:rsidRPr="001E2110" w:rsidRDefault="00541423" w:rsidP="009931F5">
      <w:pPr>
        <w:jc w:val="both"/>
        <w:rPr>
          <w:rFonts w:ascii="Century Gothic" w:hAnsi="Century Gothic" w:cs="Arial"/>
          <w:lang w:val="es-ES"/>
        </w:rPr>
      </w:pPr>
      <w:r w:rsidRPr="001E2110">
        <w:rPr>
          <w:rFonts w:ascii="Century Gothic" w:hAnsi="Century Gothic" w:cs="Arial"/>
          <w:lang w:val="es-ES"/>
        </w:rPr>
        <w:lastRenderedPageBreak/>
        <w:t xml:space="preserve">Del total de habitantes para el año 2018, 235.186 (51,6%) son mujeres y 220.492 son hombres (48,4%) </w:t>
      </w:r>
    </w:p>
    <w:p w14:paraId="1C67AB84" w14:textId="3F5FC2EC" w:rsidR="006C1906" w:rsidRPr="001E2110" w:rsidRDefault="006C1906" w:rsidP="009931F5">
      <w:pPr>
        <w:jc w:val="both"/>
        <w:rPr>
          <w:rFonts w:ascii="Century Gothic" w:hAnsi="Century Gothic"/>
          <w:b/>
          <w:lang w:val="es-ES"/>
        </w:rPr>
      </w:pPr>
      <w:r w:rsidRPr="001E2110">
        <w:rPr>
          <w:rFonts w:ascii="Century Gothic" w:hAnsi="Century Gothic"/>
          <w:lang w:val="es-ES"/>
        </w:rPr>
        <w:t>En cuanto a l</w:t>
      </w:r>
      <w:r w:rsidR="00FC7E5D" w:rsidRPr="001E2110">
        <w:rPr>
          <w:rFonts w:ascii="Century Gothic" w:hAnsi="Century Gothic"/>
          <w:lang w:val="es-ES"/>
        </w:rPr>
        <w:t>os indicadores de educación</w:t>
      </w:r>
      <w:r w:rsidRPr="001E2110">
        <w:rPr>
          <w:rFonts w:ascii="Century Gothic" w:hAnsi="Century Gothic"/>
          <w:lang w:val="es-ES"/>
        </w:rPr>
        <w:t xml:space="preserve">, a </w:t>
      </w:r>
      <w:r w:rsidR="00EE5A89" w:rsidRPr="001E2110">
        <w:rPr>
          <w:rFonts w:ascii="Century Gothic" w:hAnsi="Century Gothic"/>
          <w:lang w:val="es-ES"/>
        </w:rPr>
        <w:t>continuación,</w:t>
      </w:r>
      <w:r w:rsidRPr="001E2110">
        <w:rPr>
          <w:rFonts w:ascii="Century Gothic" w:hAnsi="Century Gothic"/>
          <w:lang w:val="es-ES"/>
        </w:rPr>
        <w:t xml:space="preserve"> se presenta</w:t>
      </w:r>
      <w:r w:rsidR="005835E7" w:rsidRPr="001E2110">
        <w:rPr>
          <w:rFonts w:ascii="Century Gothic" w:hAnsi="Century Gothic"/>
          <w:lang w:val="es-ES"/>
        </w:rPr>
        <w:t>n</w:t>
      </w:r>
      <w:r w:rsidRPr="001E2110">
        <w:rPr>
          <w:rFonts w:ascii="Century Gothic" w:hAnsi="Century Gothic"/>
          <w:lang w:val="es-ES"/>
        </w:rPr>
        <w:t xml:space="preserve"> los resul</w:t>
      </w:r>
      <w:r w:rsidR="00FC7E5D" w:rsidRPr="001E2110">
        <w:rPr>
          <w:rFonts w:ascii="Century Gothic" w:hAnsi="Century Gothic"/>
          <w:lang w:val="es-ES"/>
        </w:rPr>
        <w:t>tados obtenidos para el año 2017</w:t>
      </w:r>
      <w:r w:rsidRPr="001E2110">
        <w:rPr>
          <w:rFonts w:ascii="Century Gothic" w:hAnsi="Century Gothic"/>
          <w:b/>
          <w:lang w:val="es-ES"/>
        </w:rPr>
        <w:t>:</w:t>
      </w:r>
    </w:p>
    <w:p w14:paraId="502B952F" w14:textId="515FA94F" w:rsidR="00996BC7" w:rsidRPr="001E2110" w:rsidRDefault="00996BC7" w:rsidP="00F01226">
      <w:pPr>
        <w:pStyle w:val="Epgrafe"/>
        <w:spacing w:after="0" w:line="276" w:lineRule="auto"/>
        <w:jc w:val="center"/>
        <w:rPr>
          <w:rFonts w:ascii="Century Gothic" w:hAnsi="Century Gothic"/>
          <w:b w:val="0"/>
          <w:color w:val="auto"/>
          <w:sz w:val="22"/>
          <w:szCs w:val="22"/>
          <w:lang w:val="es-ES"/>
        </w:rPr>
      </w:pPr>
      <w:bookmarkStart w:id="3" w:name="_Toc532570492"/>
      <w:r w:rsidRPr="001E2110">
        <w:rPr>
          <w:rFonts w:ascii="Century Gothic" w:hAnsi="Century Gothic"/>
          <w:b w:val="0"/>
          <w:color w:val="auto"/>
          <w:sz w:val="22"/>
          <w:szCs w:val="22"/>
          <w:lang w:val="es-ES"/>
        </w:rPr>
        <w:t xml:space="preserve">Tabla </w:t>
      </w:r>
      <w:r w:rsidRPr="001E2110">
        <w:rPr>
          <w:rFonts w:ascii="Century Gothic" w:hAnsi="Century Gothic"/>
          <w:b w:val="0"/>
          <w:color w:val="auto"/>
          <w:sz w:val="22"/>
          <w:szCs w:val="22"/>
          <w:lang w:val="es-ES"/>
        </w:rPr>
        <w:fldChar w:fldCharType="begin"/>
      </w:r>
      <w:r w:rsidRPr="001E2110">
        <w:rPr>
          <w:rFonts w:ascii="Century Gothic" w:hAnsi="Century Gothic"/>
          <w:b w:val="0"/>
          <w:color w:val="auto"/>
          <w:sz w:val="22"/>
          <w:szCs w:val="22"/>
          <w:lang w:val="es-ES"/>
        </w:rPr>
        <w:instrText xml:space="preserve"> SEQ Tabla \* ARABIC </w:instrText>
      </w:r>
      <w:r w:rsidRPr="001E2110">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1</w:t>
      </w:r>
      <w:r w:rsidRPr="001E2110">
        <w:rPr>
          <w:rFonts w:ascii="Century Gothic" w:hAnsi="Century Gothic"/>
          <w:b w:val="0"/>
          <w:color w:val="auto"/>
          <w:sz w:val="22"/>
          <w:szCs w:val="22"/>
          <w:lang w:val="es-ES"/>
        </w:rPr>
        <w:fldChar w:fldCharType="end"/>
      </w:r>
      <w:r w:rsidRPr="001E2110">
        <w:rPr>
          <w:rFonts w:ascii="Century Gothic" w:hAnsi="Century Gothic"/>
          <w:b w:val="0"/>
          <w:color w:val="auto"/>
          <w:sz w:val="22"/>
          <w:szCs w:val="22"/>
          <w:lang w:val="es-ES"/>
        </w:rPr>
        <w:t xml:space="preserve">. </w:t>
      </w:r>
      <w:r w:rsidR="0074408E" w:rsidRPr="001E2110">
        <w:rPr>
          <w:rFonts w:ascii="Century Gothic" w:hAnsi="Century Gothic"/>
          <w:b w:val="0"/>
          <w:color w:val="auto"/>
          <w:sz w:val="22"/>
          <w:szCs w:val="22"/>
          <w:lang w:val="es-ES"/>
        </w:rPr>
        <w:t>Indicadores de educación</w:t>
      </w:r>
      <w:bookmarkEnd w:id="3"/>
      <w:r w:rsidR="0074408E" w:rsidRPr="001E2110">
        <w:rPr>
          <w:rFonts w:ascii="Century Gothic" w:hAnsi="Century Gothic"/>
          <w:b w:val="0"/>
          <w:color w:val="auto"/>
          <w:sz w:val="22"/>
          <w:szCs w:val="22"/>
          <w:lang w:val="es-ES"/>
        </w:rPr>
        <w:t xml:space="preserve"> </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4"/>
        <w:gridCol w:w="2643"/>
      </w:tblGrid>
      <w:tr w:rsidR="00FC7E5D" w:rsidRPr="008954F2" w14:paraId="040E8384" w14:textId="77777777" w:rsidTr="008954F2">
        <w:trPr>
          <w:trHeight w:val="20"/>
          <w:tblHeader/>
        </w:trPr>
        <w:tc>
          <w:tcPr>
            <w:tcW w:w="3482" w:type="pct"/>
            <w:shd w:val="clear" w:color="auto" w:fill="C2D69B" w:themeFill="accent3" w:themeFillTint="99"/>
            <w:tcMar>
              <w:top w:w="15" w:type="dxa"/>
              <w:left w:w="15" w:type="dxa"/>
              <w:bottom w:w="0" w:type="dxa"/>
              <w:right w:w="15" w:type="dxa"/>
            </w:tcMar>
            <w:vAlign w:val="center"/>
            <w:hideMark/>
          </w:tcPr>
          <w:p w14:paraId="4F184DBA" w14:textId="77777777" w:rsidR="00FC7E5D" w:rsidRPr="008954F2" w:rsidRDefault="00FC7E5D" w:rsidP="00DB6921">
            <w:pPr>
              <w:spacing w:after="0"/>
              <w:jc w:val="center"/>
              <w:rPr>
                <w:rFonts w:ascii="Century Gothic" w:hAnsi="Century Gothic"/>
                <w:b/>
                <w:sz w:val="20"/>
                <w:lang w:val="es-ES"/>
              </w:rPr>
            </w:pPr>
            <w:r w:rsidRPr="008954F2">
              <w:rPr>
                <w:rFonts w:ascii="Century Gothic" w:hAnsi="Century Gothic"/>
                <w:b/>
                <w:bCs/>
                <w:sz w:val="20"/>
                <w:lang w:val="es-ES"/>
              </w:rPr>
              <w:t xml:space="preserve">Indicador </w:t>
            </w:r>
          </w:p>
        </w:tc>
        <w:tc>
          <w:tcPr>
            <w:tcW w:w="1518" w:type="pct"/>
            <w:shd w:val="clear" w:color="auto" w:fill="C2D69B" w:themeFill="accent3" w:themeFillTint="99"/>
            <w:tcMar>
              <w:top w:w="15" w:type="dxa"/>
              <w:left w:w="15" w:type="dxa"/>
              <w:bottom w:w="0" w:type="dxa"/>
              <w:right w:w="15" w:type="dxa"/>
            </w:tcMar>
            <w:vAlign w:val="center"/>
            <w:hideMark/>
          </w:tcPr>
          <w:p w14:paraId="726ABE2C" w14:textId="77777777" w:rsidR="00FC7E5D" w:rsidRPr="008954F2" w:rsidRDefault="00FC7E5D" w:rsidP="00DB6921">
            <w:pPr>
              <w:spacing w:after="0"/>
              <w:jc w:val="center"/>
              <w:rPr>
                <w:rFonts w:ascii="Century Gothic" w:hAnsi="Century Gothic"/>
                <w:b/>
                <w:sz w:val="20"/>
                <w:lang w:val="es-ES"/>
              </w:rPr>
            </w:pPr>
            <w:r w:rsidRPr="008954F2">
              <w:rPr>
                <w:rFonts w:ascii="Century Gothic" w:hAnsi="Century Gothic"/>
                <w:b/>
                <w:bCs/>
                <w:sz w:val="20"/>
                <w:lang w:val="es-ES"/>
              </w:rPr>
              <w:t>Resultados Año 2017</w:t>
            </w:r>
          </w:p>
        </w:tc>
      </w:tr>
      <w:tr w:rsidR="00FC7E5D" w:rsidRPr="008954F2" w14:paraId="6BFFCF5B" w14:textId="77777777" w:rsidTr="008954F2">
        <w:trPr>
          <w:trHeight w:val="20"/>
        </w:trPr>
        <w:tc>
          <w:tcPr>
            <w:tcW w:w="5000" w:type="pct"/>
            <w:gridSpan w:val="2"/>
            <w:shd w:val="clear" w:color="auto" w:fill="D6E3BC" w:themeFill="accent3" w:themeFillTint="66"/>
            <w:vAlign w:val="center"/>
            <w:hideMark/>
          </w:tcPr>
          <w:p w14:paraId="3BD8173A" w14:textId="77777777" w:rsidR="00FC7E5D" w:rsidRPr="008954F2" w:rsidRDefault="00FC7E5D" w:rsidP="00DB6921">
            <w:pPr>
              <w:spacing w:after="0"/>
              <w:jc w:val="center"/>
              <w:rPr>
                <w:rFonts w:ascii="Century Gothic" w:hAnsi="Century Gothic"/>
                <w:b/>
                <w:bCs/>
                <w:sz w:val="20"/>
                <w:lang w:val="es-ES"/>
              </w:rPr>
            </w:pPr>
            <w:r w:rsidRPr="008954F2">
              <w:rPr>
                <w:rFonts w:ascii="Century Gothic" w:hAnsi="Century Gothic"/>
                <w:b/>
                <w:bCs/>
                <w:sz w:val="20"/>
                <w:lang w:val="es-ES"/>
              </w:rPr>
              <w:t>Cobertura escolar</w:t>
            </w:r>
          </w:p>
        </w:tc>
      </w:tr>
      <w:tr w:rsidR="00FC7E5D" w:rsidRPr="008954F2" w14:paraId="681E53FD" w14:textId="77777777" w:rsidTr="008954F2">
        <w:trPr>
          <w:trHeight w:val="20"/>
        </w:trPr>
        <w:tc>
          <w:tcPr>
            <w:tcW w:w="3482" w:type="pct"/>
            <w:shd w:val="clear" w:color="auto" w:fill="D6E3BC" w:themeFill="accent3" w:themeFillTint="66"/>
            <w:tcMar>
              <w:top w:w="15" w:type="dxa"/>
              <w:left w:w="15" w:type="dxa"/>
              <w:bottom w:w="0" w:type="dxa"/>
              <w:right w:w="15" w:type="dxa"/>
            </w:tcMar>
            <w:vAlign w:val="center"/>
            <w:hideMark/>
          </w:tcPr>
          <w:p w14:paraId="4FC2B43E"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Tasa de cobertura neta en transición</w:t>
            </w:r>
          </w:p>
        </w:tc>
        <w:tc>
          <w:tcPr>
            <w:tcW w:w="1518" w:type="pct"/>
            <w:shd w:val="clear" w:color="auto" w:fill="FFFFFF" w:themeFill="background1"/>
            <w:tcMar>
              <w:top w:w="15" w:type="dxa"/>
              <w:left w:w="15" w:type="dxa"/>
              <w:bottom w:w="0" w:type="dxa"/>
              <w:right w:w="15" w:type="dxa"/>
            </w:tcMar>
            <w:vAlign w:val="center"/>
            <w:hideMark/>
          </w:tcPr>
          <w:p w14:paraId="7B8994CC"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sz w:val="20"/>
                <w:lang w:val="es-ES"/>
              </w:rPr>
              <w:t xml:space="preserve">48,86 </w:t>
            </w:r>
          </w:p>
        </w:tc>
      </w:tr>
      <w:tr w:rsidR="00FC7E5D" w:rsidRPr="008954F2" w14:paraId="0FE5B508" w14:textId="77777777" w:rsidTr="008954F2">
        <w:trPr>
          <w:trHeight w:val="20"/>
        </w:trPr>
        <w:tc>
          <w:tcPr>
            <w:tcW w:w="3482" w:type="pct"/>
            <w:shd w:val="clear" w:color="auto" w:fill="D6E3BC" w:themeFill="accent3" w:themeFillTint="66"/>
            <w:tcMar>
              <w:top w:w="15" w:type="dxa"/>
              <w:left w:w="15" w:type="dxa"/>
              <w:bottom w:w="0" w:type="dxa"/>
              <w:right w:w="15" w:type="dxa"/>
            </w:tcMar>
            <w:vAlign w:val="center"/>
            <w:hideMark/>
          </w:tcPr>
          <w:p w14:paraId="6E88F0BE"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Tasa de cobertura neta en primaria</w:t>
            </w:r>
          </w:p>
        </w:tc>
        <w:tc>
          <w:tcPr>
            <w:tcW w:w="1518" w:type="pct"/>
            <w:shd w:val="clear" w:color="auto" w:fill="FFFFFF" w:themeFill="background1"/>
            <w:tcMar>
              <w:top w:w="15" w:type="dxa"/>
              <w:left w:w="15" w:type="dxa"/>
              <w:bottom w:w="0" w:type="dxa"/>
              <w:right w:w="15" w:type="dxa"/>
            </w:tcMar>
            <w:vAlign w:val="center"/>
            <w:hideMark/>
          </w:tcPr>
          <w:p w14:paraId="16888F14"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sz w:val="20"/>
                <w:lang w:val="es-ES"/>
              </w:rPr>
              <w:t xml:space="preserve">77,57 </w:t>
            </w:r>
          </w:p>
        </w:tc>
      </w:tr>
      <w:tr w:rsidR="00FC7E5D" w:rsidRPr="008954F2" w14:paraId="338FD1C0" w14:textId="77777777" w:rsidTr="008954F2">
        <w:trPr>
          <w:trHeight w:val="20"/>
        </w:trPr>
        <w:tc>
          <w:tcPr>
            <w:tcW w:w="3482" w:type="pct"/>
            <w:shd w:val="clear" w:color="auto" w:fill="D6E3BC" w:themeFill="accent3" w:themeFillTint="66"/>
            <w:tcMar>
              <w:top w:w="15" w:type="dxa"/>
              <w:left w:w="15" w:type="dxa"/>
              <w:bottom w:w="0" w:type="dxa"/>
              <w:right w:w="15" w:type="dxa"/>
            </w:tcMar>
            <w:vAlign w:val="center"/>
            <w:hideMark/>
          </w:tcPr>
          <w:p w14:paraId="7A5EA14F"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Tasa de cobertura neta en básica secundaria </w:t>
            </w:r>
          </w:p>
        </w:tc>
        <w:tc>
          <w:tcPr>
            <w:tcW w:w="1518" w:type="pct"/>
            <w:shd w:val="clear" w:color="auto" w:fill="FFFFFF" w:themeFill="background1"/>
            <w:tcMar>
              <w:top w:w="15" w:type="dxa"/>
              <w:left w:w="15" w:type="dxa"/>
              <w:bottom w:w="0" w:type="dxa"/>
              <w:right w:w="15" w:type="dxa"/>
            </w:tcMar>
            <w:vAlign w:val="center"/>
            <w:hideMark/>
          </w:tcPr>
          <w:p w14:paraId="1B5F56C0"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sz w:val="20"/>
                <w:lang w:val="es-ES"/>
              </w:rPr>
              <w:t xml:space="preserve">75,54 </w:t>
            </w:r>
          </w:p>
        </w:tc>
      </w:tr>
      <w:tr w:rsidR="00FC7E5D" w:rsidRPr="008954F2" w14:paraId="6B760783" w14:textId="77777777" w:rsidTr="008954F2">
        <w:trPr>
          <w:trHeight w:val="20"/>
        </w:trPr>
        <w:tc>
          <w:tcPr>
            <w:tcW w:w="3482" w:type="pct"/>
            <w:shd w:val="clear" w:color="auto" w:fill="D6E3BC" w:themeFill="accent3" w:themeFillTint="66"/>
            <w:tcMar>
              <w:top w:w="15" w:type="dxa"/>
              <w:left w:w="15" w:type="dxa"/>
              <w:bottom w:w="0" w:type="dxa"/>
              <w:right w:w="15" w:type="dxa"/>
            </w:tcMar>
            <w:vAlign w:val="center"/>
            <w:hideMark/>
          </w:tcPr>
          <w:p w14:paraId="2F6E8FF6"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Tasa de cobertura neta en media</w:t>
            </w:r>
          </w:p>
        </w:tc>
        <w:tc>
          <w:tcPr>
            <w:tcW w:w="1518" w:type="pct"/>
            <w:shd w:val="clear" w:color="auto" w:fill="FFFFFF" w:themeFill="background1"/>
            <w:tcMar>
              <w:top w:w="15" w:type="dxa"/>
              <w:left w:w="15" w:type="dxa"/>
              <w:bottom w:w="0" w:type="dxa"/>
              <w:right w:w="15" w:type="dxa"/>
            </w:tcMar>
            <w:vAlign w:val="center"/>
            <w:hideMark/>
          </w:tcPr>
          <w:p w14:paraId="3F95A8B5"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sz w:val="20"/>
                <w:lang w:val="es-ES"/>
              </w:rPr>
              <w:t xml:space="preserve">43,21 </w:t>
            </w:r>
          </w:p>
        </w:tc>
      </w:tr>
      <w:tr w:rsidR="00FC7E5D" w:rsidRPr="008954F2" w14:paraId="04CBB2A9" w14:textId="77777777" w:rsidTr="008954F2">
        <w:trPr>
          <w:trHeight w:val="20"/>
        </w:trPr>
        <w:tc>
          <w:tcPr>
            <w:tcW w:w="5000" w:type="pct"/>
            <w:gridSpan w:val="2"/>
            <w:shd w:val="clear" w:color="auto" w:fill="D6E3BC" w:themeFill="accent3" w:themeFillTint="66"/>
            <w:tcMar>
              <w:top w:w="15" w:type="dxa"/>
              <w:left w:w="15" w:type="dxa"/>
              <w:bottom w:w="0" w:type="dxa"/>
              <w:right w:w="15" w:type="dxa"/>
            </w:tcMar>
            <w:vAlign w:val="center"/>
            <w:hideMark/>
          </w:tcPr>
          <w:p w14:paraId="2A0B0BAD" w14:textId="77777777" w:rsidR="00FC7E5D" w:rsidRPr="008954F2" w:rsidRDefault="00FC7E5D" w:rsidP="00DB6921">
            <w:pPr>
              <w:spacing w:after="0"/>
              <w:jc w:val="center"/>
              <w:rPr>
                <w:rFonts w:ascii="Century Gothic" w:hAnsi="Century Gothic"/>
                <w:b/>
                <w:sz w:val="20"/>
                <w:lang w:val="es-ES"/>
              </w:rPr>
            </w:pPr>
            <w:r w:rsidRPr="008954F2">
              <w:rPr>
                <w:rFonts w:ascii="Century Gothic" w:hAnsi="Century Gothic"/>
                <w:b/>
                <w:sz w:val="20"/>
                <w:lang w:val="es-ES"/>
              </w:rPr>
              <w:t>Niveles de desempeño pruebas Saber 5</w:t>
            </w:r>
          </w:p>
        </w:tc>
      </w:tr>
      <w:tr w:rsidR="00FC7E5D" w:rsidRPr="008954F2" w14:paraId="2F1B2DE1" w14:textId="77777777" w:rsidTr="008954F2">
        <w:trPr>
          <w:trHeight w:val="20"/>
        </w:trPr>
        <w:tc>
          <w:tcPr>
            <w:tcW w:w="3482" w:type="pct"/>
            <w:vMerge w:val="restart"/>
            <w:shd w:val="clear" w:color="auto" w:fill="D6E3BC" w:themeFill="accent3" w:themeFillTint="66"/>
            <w:tcMar>
              <w:top w:w="15" w:type="dxa"/>
              <w:left w:w="15" w:type="dxa"/>
              <w:bottom w:w="0" w:type="dxa"/>
              <w:right w:w="15" w:type="dxa"/>
            </w:tcMar>
            <w:vAlign w:val="center"/>
            <w:hideMark/>
          </w:tcPr>
          <w:p w14:paraId="1591A376"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Niveles de desempeño en pruebas Saber 5 </w:t>
            </w:r>
          </w:p>
        </w:tc>
        <w:tc>
          <w:tcPr>
            <w:tcW w:w="1518" w:type="pct"/>
            <w:shd w:val="clear" w:color="auto" w:fill="FFFFFF" w:themeFill="background1"/>
            <w:tcMar>
              <w:top w:w="15" w:type="dxa"/>
              <w:left w:w="15" w:type="dxa"/>
              <w:bottom w:w="0" w:type="dxa"/>
              <w:right w:w="15" w:type="dxa"/>
            </w:tcMar>
            <w:vAlign w:val="center"/>
            <w:hideMark/>
          </w:tcPr>
          <w:p w14:paraId="0F38A3D6" w14:textId="77777777" w:rsidR="00FC7E5D" w:rsidRPr="008954F2" w:rsidRDefault="00FC7E5D" w:rsidP="00DB6921">
            <w:pPr>
              <w:spacing w:after="0"/>
              <w:rPr>
                <w:rFonts w:ascii="Century Gothic" w:hAnsi="Century Gothic"/>
                <w:sz w:val="20"/>
                <w:lang w:val="es-ES"/>
              </w:rPr>
            </w:pPr>
            <w:r w:rsidRPr="008954F2">
              <w:rPr>
                <w:rFonts w:ascii="Century Gothic" w:hAnsi="Century Gothic"/>
                <w:bCs/>
                <w:sz w:val="20"/>
                <w:u w:val="single"/>
                <w:lang w:val="es-ES"/>
              </w:rPr>
              <w:t>Lenguaje</w:t>
            </w:r>
            <w:r w:rsidRPr="008954F2">
              <w:rPr>
                <w:rFonts w:ascii="Century Gothic" w:hAnsi="Century Gothic"/>
                <w:sz w:val="20"/>
                <w:lang w:val="es-ES"/>
              </w:rPr>
              <w:t xml:space="preserve"> </w:t>
            </w:r>
          </w:p>
          <w:p w14:paraId="0AF2048A"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Avanzado: 17%</w:t>
            </w:r>
          </w:p>
          <w:p w14:paraId="01A4D3AA"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Satisfactorio: 38%</w:t>
            </w:r>
          </w:p>
          <w:p w14:paraId="2B58D6B5"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Mínimo: 37% </w:t>
            </w:r>
          </w:p>
          <w:p w14:paraId="0A31AF35"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Insuficiente: 6% </w:t>
            </w:r>
          </w:p>
        </w:tc>
      </w:tr>
      <w:tr w:rsidR="00FC7E5D" w:rsidRPr="008954F2" w14:paraId="0418DEE5" w14:textId="77777777" w:rsidTr="008954F2">
        <w:trPr>
          <w:trHeight w:val="20"/>
        </w:trPr>
        <w:tc>
          <w:tcPr>
            <w:tcW w:w="3482" w:type="pct"/>
            <w:vMerge/>
            <w:shd w:val="clear" w:color="auto" w:fill="D6E3BC" w:themeFill="accent3" w:themeFillTint="66"/>
            <w:tcMar>
              <w:top w:w="15" w:type="dxa"/>
              <w:left w:w="15" w:type="dxa"/>
              <w:bottom w:w="0" w:type="dxa"/>
              <w:right w:w="15" w:type="dxa"/>
            </w:tcMar>
            <w:vAlign w:val="center"/>
            <w:hideMark/>
          </w:tcPr>
          <w:p w14:paraId="40BBD39D" w14:textId="77777777" w:rsidR="00FC7E5D" w:rsidRPr="008954F2" w:rsidRDefault="00FC7E5D" w:rsidP="00DB6921">
            <w:pPr>
              <w:spacing w:after="0"/>
              <w:rPr>
                <w:rFonts w:ascii="Century Gothic" w:hAnsi="Century Gothic"/>
                <w:sz w:val="20"/>
                <w:lang w:val="es-ES"/>
              </w:rPr>
            </w:pPr>
          </w:p>
        </w:tc>
        <w:tc>
          <w:tcPr>
            <w:tcW w:w="1518" w:type="pct"/>
            <w:shd w:val="clear" w:color="auto" w:fill="FFFFFF" w:themeFill="background1"/>
            <w:tcMar>
              <w:top w:w="15" w:type="dxa"/>
              <w:left w:w="15" w:type="dxa"/>
              <w:bottom w:w="0" w:type="dxa"/>
              <w:right w:w="15" w:type="dxa"/>
            </w:tcMar>
            <w:vAlign w:val="center"/>
            <w:hideMark/>
          </w:tcPr>
          <w:p w14:paraId="00B1F914" w14:textId="77777777" w:rsidR="00FC7E5D" w:rsidRPr="008954F2" w:rsidRDefault="00FC7E5D" w:rsidP="00DB6921">
            <w:pPr>
              <w:spacing w:after="0"/>
              <w:rPr>
                <w:rFonts w:ascii="Century Gothic" w:hAnsi="Century Gothic"/>
                <w:sz w:val="20"/>
                <w:lang w:val="es-ES"/>
              </w:rPr>
            </w:pPr>
            <w:r w:rsidRPr="008954F2">
              <w:rPr>
                <w:rFonts w:ascii="Century Gothic" w:hAnsi="Century Gothic"/>
                <w:bCs/>
                <w:sz w:val="20"/>
                <w:u w:val="single"/>
                <w:lang w:val="es-ES"/>
              </w:rPr>
              <w:t>Matemáticas</w:t>
            </w:r>
            <w:r w:rsidRPr="008954F2">
              <w:rPr>
                <w:rFonts w:ascii="Century Gothic" w:hAnsi="Century Gothic"/>
                <w:sz w:val="20"/>
                <w:lang w:val="es-ES"/>
              </w:rPr>
              <w:t xml:space="preserve"> </w:t>
            </w:r>
          </w:p>
          <w:p w14:paraId="46AD378D"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Avanzado: 14% </w:t>
            </w:r>
          </w:p>
          <w:p w14:paraId="7E38FA68"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Satisfactorio: 21% </w:t>
            </w:r>
          </w:p>
          <w:p w14:paraId="6AEB5972"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Mínimo: 34% </w:t>
            </w:r>
          </w:p>
          <w:p w14:paraId="61D35962" w14:textId="77777777" w:rsidR="00FC7E5D" w:rsidRPr="008954F2" w:rsidRDefault="00FC7E5D" w:rsidP="00DB6921">
            <w:pPr>
              <w:spacing w:after="0"/>
              <w:rPr>
                <w:rFonts w:ascii="Century Gothic" w:hAnsi="Century Gothic"/>
                <w:bCs/>
                <w:sz w:val="20"/>
                <w:u w:val="single"/>
                <w:lang w:val="es-ES"/>
              </w:rPr>
            </w:pPr>
            <w:r w:rsidRPr="008954F2">
              <w:rPr>
                <w:rFonts w:ascii="Century Gothic" w:hAnsi="Century Gothic"/>
                <w:sz w:val="20"/>
                <w:lang w:val="es-ES"/>
              </w:rPr>
              <w:t>Insuficiente: 31%</w:t>
            </w:r>
          </w:p>
        </w:tc>
      </w:tr>
      <w:tr w:rsidR="00FC7E5D" w:rsidRPr="008954F2" w14:paraId="2A8A1BF1" w14:textId="77777777" w:rsidTr="008954F2">
        <w:trPr>
          <w:trHeight w:val="20"/>
        </w:trPr>
        <w:tc>
          <w:tcPr>
            <w:tcW w:w="5000" w:type="pct"/>
            <w:gridSpan w:val="2"/>
            <w:shd w:val="clear" w:color="auto" w:fill="D6E3BC" w:themeFill="accent3" w:themeFillTint="66"/>
            <w:tcMar>
              <w:top w:w="15" w:type="dxa"/>
              <w:left w:w="15" w:type="dxa"/>
              <w:bottom w:w="0" w:type="dxa"/>
              <w:right w:w="15" w:type="dxa"/>
            </w:tcMar>
            <w:vAlign w:val="center"/>
            <w:hideMark/>
          </w:tcPr>
          <w:p w14:paraId="492BA5F2" w14:textId="77777777" w:rsidR="00FC7E5D" w:rsidRPr="008954F2" w:rsidRDefault="00FC7E5D" w:rsidP="00DB6921">
            <w:pPr>
              <w:spacing w:after="0"/>
              <w:jc w:val="center"/>
              <w:rPr>
                <w:rFonts w:ascii="Century Gothic" w:hAnsi="Century Gothic"/>
                <w:b/>
                <w:sz w:val="20"/>
                <w:lang w:val="es-ES"/>
              </w:rPr>
            </w:pPr>
            <w:r w:rsidRPr="008954F2">
              <w:rPr>
                <w:rFonts w:ascii="Century Gothic" w:hAnsi="Century Gothic"/>
                <w:b/>
                <w:sz w:val="20"/>
                <w:lang w:val="es-ES"/>
              </w:rPr>
              <w:t>Niveles de desempeño pruebas Saber 9</w:t>
            </w:r>
          </w:p>
        </w:tc>
      </w:tr>
      <w:tr w:rsidR="00FC7E5D" w:rsidRPr="008954F2" w14:paraId="445E3EBF" w14:textId="77777777" w:rsidTr="008954F2">
        <w:trPr>
          <w:trHeight w:val="20"/>
        </w:trPr>
        <w:tc>
          <w:tcPr>
            <w:tcW w:w="3482" w:type="pct"/>
            <w:vMerge w:val="restart"/>
            <w:shd w:val="clear" w:color="auto" w:fill="D6E3BC" w:themeFill="accent3" w:themeFillTint="66"/>
            <w:tcMar>
              <w:top w:w="15" w:type="dxa"/>
              <w:left w:w="15" w:type="dxa"/>
              <w:bottom w:w="0" w:type="dxa"/>
              <w:right w:w="15" w:type="dxa"/>
            </w:tcMar>
            <w:vAlign w:val="center"/>
            <w:hideMark/>
          </w:tcPr>
          <w:p w14:paraId="0F5EBD07"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Niveles de desempeño en las pruebas Saber 9° </w:t>
            </w:r>
          </w:p>
        </w:tc>
        <w:tc>
          <w:tcPr>
            <w:tcW w:w="1518" w:type="pct"/>
            <w:shd w:val="clear" w:color="auto" w:fill="FFFFFF" w:themeFill="background1"/>
            <w:tcMar>
              <w:top w:w="15" w:type="dxa"/>
              <w:left w:w="15" w:type="dxa"/>
              <w:bottom w:w="0" w:type="dxa"/>
              <w:right w:w="15" w:type="dxa"/>
            </w:tcMar>
            <w:vAlign w:val="center"/>
            <w:hideMark/>
          </w:tcPr>
          <w:p w14:paraId="40866C2A" w14:textId="77777777" w:rsidR="00FC7E5D" w:rsidRPr="008954F2" w:rsidRDefault="00FC7E5D" w:rsidP="00DB6921">
            <w:pPr>
              <w:spacing w:after="0"/>
              <w:rPr>
                <w:rFonts w:ascii="Century Gothic" w:hAnsi="Century Gothic"/>
                <w:sz w:val="20"/>
                <w:lang w:val="es-ES"/>
              </w:rPr>
            </w:pPr>
            <w:r w:rsidRPr="008954F2">
              <w:rPr>
                <w:rFonts w:ascii="Century Gothic" w:hAnsi="Century Gothic"/>
                <w:bCs/>
                <w:sz w:val="20"/>
                <w:u w:val="single"/>
                <w:lang w:val="es-ES"/>
              </w:rPr>
              <w:t>Lenguaje:</w:t>
            </w:r>
            <w:r w:rsidRPr="008954F2">
              <w:rPr>
                <w:rFonts w:ascii="Century Gothic" w:hAnsi="Century Gothic"/>
                <w:sz w:val="20"/>
                <w:lang w:val="es-ES"/>
              </w:rPr>
              <w:t xml:space="preserve"> </w:t>
            </w:r>
          </w:p>
          <w:p w14:paraId="7FF0710E"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Avanzado: 9% </w:t>
            </w:r>
          </w:p>
          <w:p w14:paraId="462E1235"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Satisfactorio: 53% </w:t>
            </w:r>
          </w:p>
          <w:p w14:paraId="707D5949"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Mínimo: 33% </w:t>
            </w:r>
          </w:p>
          <w:p w14:paraId="13D74427"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Insuficiente: 5%</w:t>
            </w:r>
          </w:p>
        </w:tc>
      </w:tr>
      <w:tr w:rsidR="00FC7E5D" w:rsidRPr="008954F2" w14:paraId="4CB40D3B" w14:textId="77777777" w:rsidTr="008954F2">
        <w:trPr>
          <w:trHeight w:val="20"/>
        </w:trPr>
        <w:tc>
          <w:tcPr>
            <w:tcW w:w="3482" w:type="pct"/>
            <w:vMerge/>
            <w:shd w:val="clear" w:color="auto" w:fill="D6E3BC" w:themeFill="accent3" w:themeFillTint="66"/>
            <w:tcMar>
              <w:top w:w="15" w:type="dxa"/>
              <w:left w:w="15" w:type="dxa"/>
              <w:bottom w:w="0" w:type="dxa"/>
              <w:right w:w="15" w:type="dxa"/>
            </w:tcMar>
            <w:vAlign w:val="center"/>
            <w:hideMark/>
          </w:tcPr>
          <w:p w14:paraId="6E99F02A" w14:textId="77777777" w:rsidR="00FC7E5D" w:rsidRPr="008954F2" w:rsidRDefault="00FC7E5D" w:rsidP="00DB6921">
            <w:pPr>
              <w:spacing w:after="0"/>
              <w:rPr>
                <w:rFonts w:ascii="Century Gothic" w:hAnsi="Century Gothic"/>
                <w:b/>
                <w:sz w:val="20"/>
                <w:lang w:val="es-ES"/>
              </w:rPr>
            </w:pPr>
          </w:p>
        </w:tc>
        <w:tc>
          <w:tcPr>
            <w:tcW w:w="1518" w:type="pct"/>
            <w:shd w:val="clear" w:color="auto" w:fill="FFFFFF" w:themeFill="background1"/>
            <w:tcMar>
              <w:top w:w="15" w:type="dxa"/>
              <w:left w:w="15" w:type="dxa"/>
              <w:bottom w:w="0" w:type="dxa"/>
              <w:right w:w="15" w:type="dxa"/>
            </w:tcMar>
            <w:vAlign w:val="center"/>
            <w:hideMark/>
          </w:tcPr>
          <w:p w14:paraId="229F5FBD" w14:textId="77777777" w:rsidR="00FC7E5D" w:rsidRPr="008954F2" w:rsidRDefault="00FC7E5D" w:rsidP="00DB6921">
            <w:pPr>
              <w:spacing w:after="0"/>
              <w:rPr>
                <w:rFonts w:ascii="Century Gothic" w:hAnsi="Century Gothic"/>
                <w:bCs/>
                <w:sz w:val="20"/>
                <w:lang w:val="es-ES"/>
              </w:rPr>
            </w:pPr>
            <w:r w:rsidRPr="008954F2">
              <w:rPr>
                <w:rFonts w:ascii="Century Gothic" w:hAnsi="Century Gothic"/>
                <w:bCs/>
                <w:sz w:val="20"/>
                <w:u w:val="single"/>
                <w:lang w:val="es-ES"/>
              </w:rPr>
              <w:t>Matemáticas</w:t>
            </w:r>
            <w:r w:rsidRPr="008954F2">
              <w:rPr>
                <w:rFonts w:ascii="Century Gothic" w:hAnsi="Century Gothic"/>
                <w:bCs/>
                <w:sz w:val="20"/>
                <w:lang w:val="es-ES"/>
              </w:rPr>
              <w:t xml:space="preserve">: </w:t>
            </w:r>
          </w:p>
          <w:p w14:paraId="57289F77"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Avanzado: 8% </w:t>
            </w:r>
          </w:p>
          <w:p w14:paraId="4C7A6ED9"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Satisfactorio: 30%</w:t>
            </w:r>
          </w:p>
          <w:p w14:paraId="0FFB53C6"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Mínimo: 50% </w:t>
            </w:r>
          </w:p>
          <w:p w14:paraId="37C99DB5"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Insuficiente: 12%</w:t>
            </w:r>
          </w:p>
        </w:tc>
      </w:tr>
      <w:tr w:rsidR="00FC7E5D" w:rsidRPr="008954F2" w14:paraId="078B8AB2" w14:textId="77777777" w:rsidTr="008954F2">
        <w:trPr>
          <w:trHeight w:val="20"/>
        </w:trPr>
        <w:tc>
          <w:tcPr>
            <w:tcW w:w="5000" w:type="pct"/>
            <w:gridSpan w:val="2"/>
            <w:shd w:val="clear" w:color="auto" w:fill="D6E3BC" w:themeFill="accent3" w:themeFillTint="66"/>
            <w:tcMar>
              <w:top w:w="15" w:type="dxa"/>
              <w:left w:w="15" w:type="dxa"/>
              <w:bottom w:w="0" w:type="dxa"/>
              <w:right w:w="15" w:type="dxa"/>
            </w:tcMar>
            <w:vAlign w:val="center"/>
            <w:hideMark/>
          </w:tcPr>
          <w:p w14:paraId="326C8087" w14:textId="77777777" w:rsidR="00FC7E5D" w:rsidRPr="008954F2" w:rsidRDefault="00FC7E5D" w:rsidP="00DB6921">
            <w:pPr>
              <w:spacing w:after="0"/>
              <w:jc w:val="center"/>
              <w:rPr>
                <w:rFonts w:ascii="Century Gothic" w:hAnsi="Century Gothic"/>
                <w:b/>
                <w:sz w:val="20"/>
                <w:lang w:val="es-ES"/>
              </w:rPr>
            </w:pPr>
            <w:r w:rsidRPr="008954F2">
              <w:rPr>
                <w:rFonts w:ascii="Century Gothic" w:hAnsi="Century Gothic"/>
                <w:b/>
                <w:sz w:val="20"/>
                <w:lang w:val="es-ES"/>
              </w:rPr>
              <w:t>Niveles de desempeño pruebas Saber 11</w:t>
            </w:r>
          </w:p>
        </w:tc>
      </w:tr>
      <w:tr w:rsidR="00FC7E5D" w:rsidRPr="008954F2" w14:paraId="4E01447A" w14:textId="77777777" w:rsidTr="008954F2">
        <w:trPr>
          <w:trHeight w:val="20"/>
        </w:trPr>
        <w:tc>
          <w:tcPr>
            <w:tcW w:w="3482" w:type="pct"/>
            <w:shd w:val="clear" w:color="auto" w:fill="D6E3BC" w:themeFill="accent3" w:themeFillTint="66"/>
            <w:tcMar>
              <w:top w:w="15" w:type="dxa"/>
              <w:left w:w="15" w:type="dxa"/>
              <w:bottom w:w="0" w:type="dxa"/>
              <w:right w:w="15" w:type="dxa"/>
            </w:tcMar>
            <w:vAlign w:val="center"/>
            <w:hideMark/>
          </w:tcPr>
          <w:p w14:paraId="0F54855D"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Puntaje promedio en pruebas Saber 11</w:t>
            </w:r>
          </w:p>
        </w:tc>
        <w:tc>
          <w:tcPr>
            <w:tcW w:w="1518" w:type="pct"/>
            <w:shd w:val="clear" w:color="auto" w:fill="FFFFFF" w:themeFill="background1"/>
            <w:tcMar>
              <w:top w:w="15" w:type="dxa"/>
              <w:left w:w="15" w:type="dxa"/>
              <w:bottom w:w="0" w:type="dxa"/>
              <w:right w:w="15" w:type="dxa"/>
            </w:tcMar>
            <w:vAlign w:val="center"/>
            <w:hideMark/>
          </w:tcPr>
          <w:p w14:paraId="388D0B31" w14:textId="77777777" w:rsidR="00FC7E5D" w:rsidRPr="008954F2" w:rsidRDefault="00FC7E5D" w:rsidP="00DB6921">
            <w:pPr>
              <w:spacing w:after="0"/>
              <w:rPr>
                <w:rFonts w:ascii="Century Gothic" w:hAnsi="Century Gothic"/>
                <w:bCs/>
                <w:sz w:val="20"/>
                <w:lang w:val="es-ES"/>
              </w:rPr>
            </w:pPr>
            <w:r w:rsidRPr="008954F2">
              <w:rPr>
                <w:rFonts w:ascii="Century Gothic" w:hAnsi="Century Gothic"/>
                <w:bCs/>
                <w:sz w:val="20"/>
                <w:lang w:val="es-ES"/>
              </w:rPr>
              <w:t>Ciencias naturales: 57</w:t>
            </w:r>
          </w:p>
          <w:p w14:paraId="15F31871" w14:textId="77777777" w:rsidR="00FC7E5D" w:rsidRPr="008954F2" w:rsidRDefault="00FC7E5D" w:rsidP="00DB6921">
            <w:pPr>
              <w:spacing w:after="0"/>
              <w:rPr>
                <w:rFonts w:ascii="Century Gothic" w:hAnsi="Century Gothic"/>
                <w:bCs/>
                <w:sz w:val="20"/>
                <w:lang w:val="es-ES"/>
              </w:rPr>
            </w:pPr>
            <w:r w:rsidRPr="008954F2">
              <w:rPr>
                <w:rFonts w:ascii="Century Gothic" w:hAnsi="Century Gothic"/>
                <w:bCs/>
                <w:sz w:val="20"/>
                <w:lang w:val="es-ES"/>
              </w:rPr>
              <w:t>Ciencias sociales: 55</w:t>
            </w:r>
          </w:p>
          <w:p w14:paraId="29FD5F06" w14:textId="77777777" w:rsidR="00FC7E5D" w:rsidRPr="008954F2" w:rsidRDefault="00FC7E5D" w:rsidP="00DB6921">
            <w:pPr>
              <w:spacing w:after="0"/>
              <w:rPr>
                <w:rFonts w:ascii="Century Gothic" w:hAnsi="Century Gothic"/>
                <w:bCs/>
                <w:sz w:val="20"/>
                <w:lang w:val="es-ES"/>
              </w:rPr>
            </w:pPr>
            <w:r w:rsidRPr="008954F2">
              <w:rPr>
                <w:rFonts w:ascii="Century Gothic" w:hAnsi="Century Gothic"/>
                <w:bCs/>
                <w:sz w:val="20"/>
                <w:lang w:val="es-ES"/>
              </w:rPr>
              <w:t>Lectura crítica: 58</w:t>
            </w:r>
          </w:p>
          <w:p w14:paraId="783336F4" w14:textId="77777777" w:rsidR="00FC7E5D" w:rsidRPr="008954F2" w:rsidRDefault="00FC7E5D" w:rsidP="00DB6921">
            <w:pPr>
              <w:spacing w:after="0"/>
              <w:rPr>
                <w:rFonts w:ascii="Century Gothic" w:hAnsi="Century Gothic"/>
                <w:bCs/>
                <w:sz w:val="20"/>
                <w:lang w:val="es-ES"/>
              </w:rPr>
            </w:pPr>
            <w:r w:rsidRPr="008954F2">
              <w:rPr>
                <w:rFonts w:ascii="Century Gothic" w:hAnsi="Century Gothic"/>
                <w:bCs/>
                <w:sz w:val="20"/>
                <w:lang w:val="es-ES"/>
              </w:rPr>
              <w:t>Inglés: 55</w:t>
            </w:r>
          </w:p>
          <w:p w14:paraId="5FD01D4F" w14:textId="77777777" w:rsidR="00FC7E5D" w:rsidRPr="008954F2" w:rsidRDefault="00FC7E5D" w:rsidP="00DB6921">
            <w:pPr>
              <w:spacing w:after="0"/>
              <w:rPr>
                <w:rFonts w:ascii="Century Gothic" w:hAnsi="Century Gothic"/>
                <w:bCs/>
                <w:sz w:val="20"/>
                <w:u w:val="single"/>
                <w:lang w:val="es-ES"/>
              </w:rPr>
            </w:pPr>
            <w:r w:rsidRPr="008954F2">
              <w:rPr>
                <w:rFonts w:ascii="Century Gothic" w:hAnsi="Century Gothic"/>
                <w:bCs/>
                <w:sz w:val="20"/>
                <w:lang w:val="es-ES"/>
              </w:rPr>
              <w:t>Matemáticas: 56</w:t>
            </w:r>
          </w:p>
        </w:tc>
      </w:tr>
      <w:tr w:rsidR="00FC7E5D" w:rsidRPr="008954F2" w14:paraId="00640044" w14:textId="77777777" w:rsidTr="008954F2">
        <w:trPr>
          <w:trHeight w:val="20"/>
        </w:trPr>
        <w:tc>
          <w:tcPr>
            <w:tcW w:w="5000" w:type="pct"/>
            <w:gridSpan w:val="2"/>
            <w:shd w:val="clear" w:color="auto" w:fill="D6E3BC" w:themeFill="accent3" w:themeFillTint="66"/>
            <w:tcMar>
              <w:top w:w="14" w:type="dxa"/>
              <w:left w:w="14" w:type="dxa"/>
              <w:bottom w:w="0" w:type="dxa"/>
              <w:right w:w="14" w:type="dxa"/>
            </w:tcMar>
            <w:vAlign w:val="center"/>
            <w:hideMark/>
          </w:tcPr>
          <w:p w14:paraId="21ACE1ED" w14:textId="6D6F7E43" w:rsidR="00FC7E5D" w:rsidRPr="008954F2" w:rsidRDefault="00AE167C" w:rsidP="00DB6921">
            <w:pPr>
              <w:spacing w:after="0"/>
              <w:jc w:val="center"/>
              <w:rPr>
                <w:rFonts w:ascii="Century Gothic" w:hAnsi="Century Gothic"/>
                <w:b/>
                <w:sz w:val="20"/>
                <w:lang w:val="es-ES"/>
              </w:rPr>
            </w:pPr>
            <w:r w:rsidRPr="008954F2">
              <w:rPr>
                <w:rFonts w:ascii="Century Gothic" w:hAnsi="Century Gothic"/>
                <w:b/>
                <w:sz w:val="20"/>
                <w:lang w:val="es-ES"/>
              </w:rPr>
              <w:lastRenderedPageBreak/>
              <w:t xml:space="preserve">Índice sintético de </w:t>
            </w:r>
            <w:r w:rsidR="00FC7E5D" w:rsidRPr="008954F2">
              <w:rPr>
                <w:rFonts w:ascii="Century Gothic" w:hAnsi="Century Gothic"/>
                <w:b/>
                <w:sz w:val="20"/>
                <w:lang w:val="es-ES"/>
              </w:rPr>
              <w:t>calidad</w:t>
            </w:r>
          </w:p>
        </w:tc>
      </w:tr>
      <w:tr w:rsidR="00FC7E5D" w:rsidRPr="008954F2" w14:paraId="6ADDC878" w14:textId="77777777" w:rsidTr="008954F2">
        <w:trPr>
          <w:trHeight w:val="20"/>
        </w:trPr>
        <w:tc>
          <w:tcPr>
            <w:tcW w:w="3482" w:type="pct"/>
            <w:shd w:val="clear" w:color="auto" w:fill="D6E3BC" w:themeFill="accent3" w:themeFillTint="66"/>
            <w:tcMar>
              <w:top w:w="14" w:type="dxa"/>
              <w:left w:w="14" w:type="dxa"/>
              <w:bottom w:w="0" w:type="dxa"/>
              <w:right w:w="14" w:type="dxa"/>
            </w:tcMar>
            <w:vAlign w:val="center"/>
            <w:hideMark/>
          </w:tcPr>
          <w:p w14:paraId="176AE8E7"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Índice Sintético de la Calidad Educativa -ISCE primaria- </w:t>
            </w:r>
          </w:p>
        </w:tc>
        <w:tc>
          <w:tcPr>
            <w:tcW w:w="1518" w:type="pct"/>
            <w:shd w:val="clear" w:color="auto" w:fill="FFFFFF" w:themeFill="background1"/>
            <w:tcMar>
              <w:top w:w="14" w:type="dxa"/>
              <w:left w:w="14" w:type="dxa"/>
              <w:bottom w:w="0" w:type="dxa"/>
              <w:right w:w="14" w:type="dxa"/>
            </w:tcMar>
            <w:vAlign w:val="center"/>
            <w:hideMark/>
          </w:tcPr>
          <w:p w14:paraId="7B75A23C"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sz w:val="20"/>
                <w:lang w:val="es-ES"/>
              </w:rPr>
              <w:t xml:space="preserve">6,24 </w:t>
            </w:r>
          </w:p>
        </w:tc>
      </w:tr>
      <w:tr w:rsidR="00FC7E5D" w:rsidRPr="008954F2" w14:paraId="039569D1" w14:textId="77777777" w:rsidTr="008954F2">
        <w:trPr>
          <w:trHeight w:val="20"/>
        </w:trPr>
        <w:tc>
          <w:tcPr>
            <w:tcW w:w="3482" w:type="pct"/>
            <w:shd w:val="clear" w:color="auto" w:fill="D6E3BC" w:themeFill="accent3" w:themeFillTint="66"/>
            <w:tcMar>
              <w:top w:w="14" w:type="dxa"/>
              <w:left w:w="14" w:type="dxa"/>
              <w:bottom w:w="0" w:type="dxa"/>
              <w:right w:w="14" w:type="dxa"/>
            </w:tcMar>
            <w:vAlign w:val="center"/>
            <w:hideMark/>
          </w:tcPr>
          <w:p w14:paraId="59608C91"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Índice Sintético de la Calidad Educativa -ISCE secundaria- </w:t>
            </w:r>
          </w:p>
        </w:tc>
        <w:tc>
          <w:tcPr>
            <w:tcW w:w="1518" w:type="pct"/>
            <w:shd w:val="clear" w:color="auto" w:fill="FFFFFF" w:themeFill="background1"/>
            <w:tcMar>
              <w:top w:w="14" w:type="dxa"/>
              <w:left w:w="14" w:type="dxa"/>
              <w:bottom w:w="0" w:type="dxa"/>
              <w:right w:w="14" w:type="dxa"/>
            </w:tcMar>
            <w:vAlign w:val="center"/>
            <w:hideMark/>
          </w:tcPr>
          <w:p w14:paraId="67FD82F2"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bCs/>
                <w:sz w:val="20"/>
                <w:lang w:val="es-ES"/>
              </w:rPr>
              <w:t xml:space="preserve">6,68 </w:t>
            </w:r>
          </w:p>
        </w:tc>
      </w:tr>
      <w:tr w:rsidR="00FC7E5D" w:rsidRPr="008954F2" w14:paraId="0F913B3D" w14:textId="77777777" w:rsidTr="008954F2">
        <w:trPr>
          <w:trHeight w:val="20"/>
        </w:trPr>
        <w:tc>
          <w:tcPr>
            <w:tcW w:w="3482" w:type="pct"/>
            <w:shd w:val="clear" w:color="auto" w:fill="D6E3BC" w:themeFill="accent3" w:themeFillTint="66"/>
            <w:tcMar>
              <w:top w:w="14" w:type="dxa"/>
              <w:left w:w="14" w:type="dxa"/>
              <w:bottom w:w="0" w:type="dxa"/>
              <w:right w:w="14" w:type="dxa"/>
            </w:tcMar>
            <w:vAlign w:val="center"/>
            <w:hideMark/>
          </w:tcPr>
          <w:p w14:paraId="1609199F" w14:textId="77777777" w:rsidR="00FC7E5D" w:rsidRPr="008954F2" w:rsidRDefault="00FC7E5D" w:rsidP="00DB6921">
            <w:pPr>
              <w:spacing w:after="0"/>
              <w:rPr>
                <w:rFonts w:ascii="Century Gothic" w:hAnsi="Century Gothic"/>
                <w:sz w:val="20"/>
                <w:lang w:val="es-ES"/>
              </w:rPr>
            </w:pPr>
            <w:r w:rsidRPr="008954F2">
              <w:rPr>
                <w:rFonts w:ascii="Century Gothic" w:hAnsi="Century Gothic"/>
                <w:sz w:val="20"/>
                <w:lang w:val="es-ES"/>
              </w:rPr>
              <w:t xml:space="preserve">Índice Sintético de la Calidad Educativa -ISCE media- </w:t>
            </w:r>
          </w:p>
        </w:tc>
        <w:tc>
          <w:tcPr>
            <w:tcW w:w="1518" w:type="pct"/>
            <w:shd w:val="clear" w:color="auto" w:fill="FFFFFF" w:themeFill="background1"/>
            <w:tcMar>
              <w:top w:w="14" w:type="dxa"/>
              <w:left w:w="14" w:type="dxa"/>
              <w:bottom w:w="0" w:type="dxa"/>
              <w:right w:w="14" w:type="dxa"/>
            </w:tcMar>
            <w:vAlign w:val="center"/>
            <w:hideMark/>
          </w:tcPr>
          <w:p w14:paraId="7628A00E" w14:textId="77777777" w:rsidR="00FC7E5D" w:rsidRPr="008954F2" w:rsidRDefault="00FC7E5D" w:rsidP="00DB6921">
            <w:pPr>
              <w:spacing w:after="0"/>
              <w:jc w:val="right"/>
              <w:rPr>
                <w:rFonts w:ascii="Century Gothic" w:hAnsi="Century Gothic"/>
                <w:sz w:val="20"/>
                <w:lang w:val="es-ES"/>
              </w:rPr>
            </w:pPr>
            <w:r w:rsidRPr="008954F2">
              <w:rPr>
                <w:rFonts w:ascii="Century Gothic" w:hAnsi="Century Gothic"/>
                <w:bCs/>
                <w:sz w:val="20"/>
                <w:lang w:val="es-ES"/>
              </w:rPr>
              <w:t xml:space="preserve">7,12 </w:t>
            </w:r>
          </w:p>
        </w:tc>
      </w:tr>
    </w:tbl>
    <w:p w14:paraId="2154C5B8" w14:textId="6DBC58FA" w:rsidR="00661181" w:rsidRPr="001E2110" w:rsidRDefault="00996BC7" w:rsidP="009931F5">
      <w:pPr>
        <w:jc w:val="center"/>
        <w:rPr>
          <w:rFonts w:ascii="Century Gothic" w:hAnsi="Century Gothic" w:cs="Arial"/>
          <w:sz w:val="20"/>
          <w:lang w:val="es-ES"/>
        </w:rPr>
      </w:pPr>
      <w:r w:rsidRPr="001E2110">
        <w:rPr>
          <w:rFonts w:ascii="Century Gothic" w:hAnsi="Century Gothic" w:cs="Arial"/>
          <w:sz w:val="20"/>
          <w:lang w:val="es-ES"/>
        </w:rPr>
        <w:t>Fuente: Secre</w:t>
      </w:r>
      <w:r w:rsidR="00FC7E5D" w:rsidRPr="001E2110">
        <w:rPr>
          <w:rFonts w:ascii="Century Gothic" w:hAnsi="Century Gothic" w:cs="Arial"/>
          <w:sz w:val="20"/>
          <w:lang w:val="es-ES"/>
        </w:rPr>
        <w:t>taría de Educación</w:t>
      </w:r>
      <w:r w:rsidR="00354978" w:rsidRPr="001E2110">
        <w:rPr>
          <w:rFonts w:ascii="Century Gothic" w:hAnsi="Century Gothic" w:cs="Arial"/>
          <w:sz w:val="20"/>
          <w:lang w:val="es-ES"/>
        </w:rPr>
        <w:t xml:space="preserve"> Municipal</w:t>
      </w:r>
      <w:r w:rsidR="00FC7E5D" w:rsidRPr="001E2110">
        <w:rPr>
          <w:rFonts w:ascii="Century Gothic" w:hAnsi="Century Gothic" w:cs="Arial"/>
          <w:sz w:val="20"/>
          <w:lang w:val="es-ES"/>
        </w:rPr>
        <w:t>, 2018</w:t>
      </w:r>
      <w:r w:rsidRPr="001E2110">
        <w:rPr>
          <w:rFonts w:ascii="Century Gothic" w:hAnsi="Century Gothic" w:cs="Arial"/>
          <w:sz w:val="20"/>
          <w:lang w:val="es-ES"/>
        </w:rPr>
        <w:t xml:space="preserve">. </w:t>
      </w:r>
    </w:p>
    <w:p w14:paraId="4C31E0C3" w14:textId="107E5FD8" w:rsidR="006C1906" w:rsidRPr="001E2110" w:rsidRDefault="009D56F8" w:rsidP="009931F5">
      <w:pPr>
        <w:jc w:val="both"/>
        <w:rPr>
          <w:rFonts w:ascii="Century Gothic" w:hAnsi="Century Gothic" w:cs="Arial"/>
          <w:lang w:val="es-ES"/>
        </w:rPr>
      </w:pPr>
      <w:r w:rsidRPr="001E2110">
        <w:rPr>
          <w:rFonts w:ascii="Century Gothic" w:hAnsi="Century Gothic" w:cs="Arial"/>
          <w:lang w:val="es-ES"/>
        </w:rPr>
        <w:t>Respe</w:t>
      </w:r>
      <w:r w:rsidR="00496C8C" w:rsidRPr="001E2110">
        <w:rPr>
          <w:rFonts w:ascii="Century Gothic" w:hAnsi="Century Gothic" w:cs="Arial"/>
          <w:lang w:val="es-ES"/>
        </w:rPr>
        <w:t>cto a los indicadores de salud</w:t>
      </w:r>
      <w:r w:rsidR="005B0199" w:rsidRPr="001E2110">
        <w:rPr>
          <w:rFonts w:ascii="Century Gothic" w:hAnsi="Century Gothic" w:cs="Arial"/>
          <w:lang w:val="es-ES"/>
        </w:rPr>
        <w:t xml:space="preserve"> se</w:t>
      </w:r>
      <w:r w:rsidRPr="001E2110">
        <w:rPr>
          <w:rFonts w:ascii="Century Gothic" w:hAnsi="Century Gothic" w:cs="Arial"/>
          <w:lang w:val="es-ES"/>
        </w:rPr>
        <w:t xml:space="preserve"> destaca lo siguiente: </w:t>
      </w:r>
    </w:p>
    <w:p w14:paraId="615DD38C" w14:textId="53BDC9E9" w:rsidR="0074408E" w:rsidRPr="001E2110" w:rsidRDefault="0074408E" w:rsidP="00496C8C">
      <w:pPr>
        <w:pStyle w:val="Epgrafe"/>
        <w:spacing w:after="0"/>
        <w:jc w:val="center"/>
        <w:rPr>
          <w:rFonts w:ascii="Century Gothic" w:hAnsi="Century Gothic" w:cs="Arial"/>
          <w:b w:val="0"/>
          <w:color w:val="auto"/>
          <w:sz w:val="22"/>
          <w:szCs w:val="22"/>
          <w:lang w:val="es-ES"/>
        </w:rPr>
      </w:pPr>
      <w:bookmarkStart w:id="4" w:name="_Toc532570493"/>
      <w:r w:rsidRPr="001E2110">
        <w:rPr>
          <w:rFonts w:ascii="Century Gothic" w:hAnsi="Century Gothic"/>
          <w:b w:val="0"/>
          <w:color w:val="auto"/>
          <w:sz w:val="22"/>
          <w:szCs w:val="22"/>
          <w:lang w:val="es-ES"/>
        </w:rPr>
        <w:t xml:space="preserve">Tabla </w:t>
      </w:r>
      <w:r w:rsidRPr="001E2110">
        <w:rPr>
          <w:rFonts w:ascii="Century Gothic" w:hAnsi="Century Gothic"/>
          <w:b w:val="0"/>
          <w:color w:val="auto"/>
          <w:sz w:val="22"/>
          <w:szCs w:val="22"/>
          <w:lang w:val="es-ES"/>
        </w:rPr>
        <w:fldChar w:fldCharType="begin"/>
      </w:r>
      <w:r w:rsidRPr="001E2110">
        <w:rPr>
          <w:rFonts w:ascii="Century Gothic" w:hAnsi="Century Gothic"/>
          <w:b w:val="0"/>
          <w:color w:val="auto"/>
          <w:sz w:val="22"/>
          <w:szCs w:val="22"/>
          <w:lang w:val="es-ES"/>
        </w:rPr>
        <w:instrText xml:space="preserve"> SEQ Tabla \* ARABIC </w:instrText>
      </w:r>
      <w:r w:rsidRPr="001E2110">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2</w:t>
      </w:r>
      <w:r w:rsidRPr="001E2110">
        <w:rPr>
          <w:rFonts w:ascii="Century Gothic" w:hAnsi="Century Gothic"/>
          <w:b w:val="0"/>
          <w:color w:val="auto"/>
          <w:sz w:val="22"/>
          <w:szCs w:val="22"/>
          <w:lang w:val="es-ES"/>
        </w:rPr>
        <w:fldChar w:fldCharType="end"/>
      </w:r>
      <w:r w:rsidRPr="001E2110">
        <w:rPr>
          <w:rFonts w:ascii="Century Gothic" w:hAnsi="Century Gothic"/>
          <w:b w:val="0"/>
          <w:color w:val="auto"/>
          <w:sz w:val="22"/>
          <w:szCs w:val="22"/>
          <w:lang w:val="es-ES"/>
        </w:rPr>
        <w:t>. Indicadores de salud</w:t>
      </w:r>
      <w:bookmarkEnd w:id="4"/>
    </w:p>
    <w:tbl>
      <w:tblPr>
        <w:tblStyle w:val="Tablaconcuadrcula"/>
        <w:tblW w:w="0" w:type="auto"/>
        <w:jc w:val="center"/>
        <w:tblLook w:val="04A0" w:firstRow="1" w:lastRow="0" w:firstColumn="1" w:lastColumn="0" w:noHBand="0" w:noVBand="1"/>
      </w:tblPr>
      <w:tblGrid>
        <w:gridCol w:w="6799"/>
        <w:gridCol w:w="851"/>
        <w:gridCol w:w="850"/>
      </w:tblGrid>
      <w:tr w:rsidR="00B25BD7" w:rsidRPr="008954F2" w14:paraId="6FA5B904" w14:textId="77777777" w:rsidTr="00DA2F08">
        <w:trPr>
          <w:tblHeader/>
          <w:jc w:val="center"/>
        </w:trPr>
        <w:tc>
          <w:tcPr>
            <w:tcW w:w="6799" w:type="dxa"/>
            <w:vMerge w:val="restart"/>
            <w:shd w:val="clear" w:color="auto" w:fill="C2D69B" w:themeFill="accent3" w:themeFillTint="99"/>
            <w:vAlign w:val="center"/>
          </w:tcPr>
          <w:p w14:paraId="5507303B" w14:textId="0FCEA971" w:rsidR="00B25BD7" w:rsidRPr="008954F2" w:rsidRDefault="00B25BD7" w:rsidP="00B25BD7">
            <w:pPr>
              <w:jc w:val="center"/>
              <w:rPr>
                <w:rFonts w:ascii="Century Gothic" w:hAnsi="Century Gothic" w:cs="Arial"/>
                <w:b/>
                <w:sz w:val="20"/>
                <w:szCs w:val="22"/>
                <w:lang w:val="es-ES"/>
              </w:rPr>
            </w:pPr>
            <w:r w:rsidRPr="008954F2">
              <w:rPr>
                <w:rFonts w:ascii="Century Gothic" w:hAnsi="Century Gothic" w:cs="Arial"/>
                <w:b/>
                <w:sz w:val="20"/>
                <w:szCs w:val="22"/>
                <w:lang w:val="es-ES"/>
              </w:rPr>
              <w:t>Indicador</w:t>
            </w:r>
          </w:p>
        </w:tc>
        <w:tc>
          <w:tcPr>
            <w:tcW w:w="1701" w:type="dxa"/>
            <w:gridSpan w:val="2"/>
            <w:shd w:val="clear" w:color="auto" w:fill="C2D69B" w:themeFill="accent3" w:themeFillTint="99"/>
            <w:vAlign w:val="center"/>
          </w:tcPr>
          <w:p w14:paraId="0E97C679" w14:textId="0647043C" w:rsidR="00B25BD7" w:rsidRPr="008954F2" w:rsidRDefault="00B25BD7" w:rsidP="00B25BD7">
            <w:pPr>
              <w:jc w:val="center"/>
              <w:rPr>
                <w:rFonts w:ascii="Century Gothic" w:hAnsi="Century Gothic" w:cs="Arial"/>
                <w:b/>
                <w:sz w:val="20"/>
                <w:szCs w:val="22"/>
                <w:lang w:val="es-ES"/>
              </w:rPr>
            </w:pPr>
            <w:r w:rsidRPr="008954F2">
              <w:rPr>
                <w:rFonts w:ascii="Century Gothic" w:hAnsi="Century Gothic" w:cs="Arial"/>
                <w:b/>
                <w:sz w:val="20"/>
                <w:szCs w:val="22"/>
                <w:lang w:val="es-ES"/>
              </w:rPr>
              <w:t>Meta</w:t>
            </w:r>
          </w:p>
        </w:tc>
      </w:tr>
      <w:tr w:rsidR="00B25BD7" w:rsidRPr="008954F2" w14:paraId="5A9BFF11" w14:textId="77777777" w:rsidTr="00DA2F08">
        <w:trPr>
          <w:tblHeader/>
          <w:jc w:val="center"/>
        </w:trPr>
        <w:tc>
          <w:tcPr>
            <w:tcW w:w="6799" w:type="dxa"/>
            <w:vMerge/>
            <w:shd w:val="clear" w:color="auto" w:fill="C2D69B" w:themeFill="accent3" w:themeFillTint="99"/>
            <w:vAlign w:val="center"/>
          </w:tcPr>
          <w:p w14:paraId="43B7BCF9" w14:textId="77777777" w:rsidR="00B25BD7" w:rsidRPr="008954F2" w:rsidRDefault="00B25BD7" w:rsidP="00B25BD7">
            <w:pPr>
              <w:jc w:val="center"/>
              <w:rPr>
                <w:rFonts w:ascii="Century Gothic" w:hAnsi="Century Gothic" w:cs="Arial"/>
                <w:b/>
                <w:sz w:val="20"/>
                <w:szCs w:val="22"/>
                <w:lang w:val="es-ES"/>
              </w:rPr>
            </w:pPr>
          </w:p>
        </w:tc>
        <w:tc>
          <w:tcPr>
            <w:tcW w:w="851" w:type="dxa"/>
            <w:shd w:val="clear" w:color="auto" w:fill="D6E3BC" w:themeFill="accent3" w:themeFillTint="66"/>
            <w:vAlign w:val="center"/>
          </w:tcPr>
          <w:p w14:paraId="7AD9734C" w14:textId="20F55A31" w:rsidR="00B25BD7" w:rsidRPr="008954F2" w:rsidRDefault="00B25BD7" w:rsidP="00B25BD7">
            <w:pPr>
              <w:jc w:val="center"/>
              <w:rPr>
                <w:rFonts w:ascii="Century Gothic" w:hAnsi="Century Gothic" w:cs="Arial"/>
                <w:b/>
                <w:sz w:val="20"/>
                <w:szCs w:val="22"/>
                <w:lang w:val="es-ES"/>
              </w:rPr>
            </w:pPr>
            <w:r w:rsidRPr="008954F2">
              <w:rPr>
                <w:rFonts w:ascii="Century Gothic" w:hAnsi="Century Gothic" w:cs="Arial"/>
                <w:b/>
                <w:sz w:val="20"/>
                <w:szCs w:val="22"/>
                <w:lang w:val="es-ES"/>
              </w:rPr>
              <w:t>2016</w:t>
            </w:r>
          </w:p>
        </w:tc>
        <w:tc>
          <w:tcPr>
            <w:tcW w:w="850" w:type="dxa"/>
            <w:shd w:val="clear" w:color="auto" w:fill="D6E3BC" w:themeFill="accent3" w:themeFillTint="66"/>
            <w:vAlign w:val="center"/>
          </w:tcPr>
          <w:p w14:paraId="03291875" w14:textId="7D51A78A" w:rsidR="00B25BD7" w:rsidRPr="008954F2" w:rsidRDefault="00B25BD7" w:rsidP="00B25BD7">
            <w:pPr>
              <w:jc w:val="center"/>
              <w:rPr>
                <w:rFonts w:ascii="Century Gothic" w:hAnsi="Century Gothic" w:cs="Arial"/>
                <w:b/>
                <w:sz w:val="20"/>
                <w:szCs w:val="22"/>
                <w:lang w:val="es-ES"/>
              </w:rPr>
            </w:pPr>
            <w:r w:rsidRPr="008954F2">
              <w:rPr>
                <w:rFonts w:ascii="Century Gothic" w:hAnsi="Century Gothic" w:cs="Arial"/>
                <w:b/>
                <w:sz w:val="20"/>
                <w:szCs w:val="22"/>
                <w:lang w:val="es-ES"/>
              </w:rPr>
              <w:t>2017</w:t>
            </w:r>
          </w:p>
        </w:tc>
      </w:tr>
      <w:tr w:rsidR="00B25BD7" w:rsidRPr="008954F2" w14:paraId="711DFAA8" w14:textId="77777777" w:rsidTr="00DA2F08">
        <w:trPr>
          <w:jc w:val="center"/>
        </w:trPr>
        <w:tc>
          <w:tcPr>
            <w:tcW w:w="6799" w:type="dxa"/>
            <w:shd w:val="clear" w:color="auto" w:fill="D6E3BC" w:themeFill="accent3" w:themeFillTint="66"/>
          </w:tcPr>
          <w:p w14:paraId="2D9522B8" w14:textId="109A3614" w:rsidR="00B25BD7" w:rsidRPr="008954F2" w:rsidRDefault="00B25BD7" w:rsidP="009931F5">
            <w:pPr>
              <w:jc w:val="both"/>
              <w:rPr>
                <w:rFonts w:ascii="Century Gothic" w:hAnsi="Century Gothic" w:cs="Arial"/>
                <w:sz w:val="20"/>
                <w:szCs w:val="22"/>
                <w:lang w:val="es-ES"/>
              </w:rPr>
            </w:pPr>
            <w:r w:rsidRPr="008954F2">
              <w:rPr>
                <w:rFonts w:ascii="Century Gothic" w:hAnsi="Century Gothic" w:cs="Arial"/>
                <w:sz w:val="20"/>
                <w:szCs w:val="22"/>
                <w:lang w:val="es-ES"/>
              </w:rPr>
              <w:t>Cobertura del régimen subsidiado</w:t>
            </w:r>
          </w:p>
        </w:tc>
        <w:tc>
          <w:tcPr>
            <w:tcW w:w="851" w:type="dxa"/>
            <w:vAlign w:val="center"/>
          </w:tcPr>
          <w:p w14:paraId="4D61BAC5" w14:textId="74C54E61"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98,3%</w:t>
            </w:r>
          </w:p>
        </w:tc>
        <w:tc>
          <w:tcPr>
            <w:tcW w:w="850" w:type="dxa"/>
            <w:vAlign w:val="center"/>
          </w:tcPr>
          <w:p w14:paraId="3946EDCF" w14:textId="160CBC3B"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98,9%</w:t>
            </w:r>
          </w:p>
        </w:tc>
      </w:tr>
      <w:tr w:rsidR="00B25BD7" w:rsidRPr="008954F2" w14:paraId="551BB0AB" w14:textId="77777777" w:rsidTr="00DA2F08">
        <w:trPr>
          <w:jc w:val="center"/>
        </w:trPr>
        <w:tc>
          <w:tcPr>
            <w:tcW w:w="6799" w:type="dxa"/>
            <w:shd w:val="clear" w:color="auto" w:fill="D6E3BC" w:themeFill="accent3" w:themeFillTint="66"/>
          </w:tcPr>
          <w:p w14:paraId="262604C8" w14:textId="74C70586" w:rsidR="00B25BD7" w:rsidRPr="008954F2" w:rsidRDefault="00B25BD7" w:rsidP="00195B59">
            <w:pPr>
              <w:jc w:val="both"/>
              <w:rPr>
                <w:rFonts w:ascii="Century Gothic" w:hAnsi="Century Gothic" w:cs="Arial"/>
                <w:sz w:val="20"/>
                <w:szCs w:val="22"/>
                <w:lang w:val="es-ES"/>
              </w:rPr>
            </w:pPr>
            <w:r w:rsidRPr="008954F2">
              <w:rPr>
                <w:rFonts w:ascii="Century Gothic" w:hAnsi="Century Gothic" w:cs="Arial"/>
                <w:sz w:val="20"/>
                <w:szCs w:val="22"/>
                <w:lang w:val="es-ES"/>
              </w:rPr>
              <w:t xml:space="preserve">Tasa de mortalidad </w:t>
            </w:r>
            <w:r w:rsidR="00195B59" w:rsidRPr="008954F2">
              <w:rPr>
                <w:rFonts w:ascii="Century Gothic" w:hAnsi="Century Gothic" w:cs="Arial"/>
                <w:sz w:val="20"/>
                <w:szCs w:val="22"/>
                <w:lang w:val="es-ES"/>
              </w:rPr>
              <w:t>i</w:t>
            </w:r>
            <w:r w:rsidRPr="008954F2">
              <w:rPr>
                <w:rFonts w:ascii="Century Gothic" w:hAnsi="Century Gothic" w:cs="Arial"/>
                <w:sz w:val="20"/>
                <w:szCs w:val="22"/>
                <w:lang w:val="es-ES"/>
              </w:rPr>
              <w:t>nfantil x 1.000 nacidos vivos</w:t>
            </w:r>
          </w:p>
        </w:tc>
        <w:tc>
          <w:tcPr>
            <w:tcW w:w="851" w:type="dxa"/>
            <w:vAlign w:val="center"/>
          </w:tcPr>
          <w:p w14:paraId="1B9228FA" w14:textId="45784A30"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8,8</w:t>
            </w:r>
          </w:p>
        </w:tc>
        <w:tc>
          <w:tcPr>
            <w:tcW w:w="850" w:type="dxa"/>
            <w:vAlign w:val="center"/>
          </w:tcPr>
          <w:p w14:paraId="513ABAC3" w14:textId="53CEECAD"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6,2</w:t>
            </w:r>
          </w:p>
        </w:tc>
      </w:tr>
      <w:tr w:rsidR="00B25BD7" w:rsidRPr="008954F2" w14:paraId="1C6E5DCB" w14:textId="77777777" w:rsidTr="00DA2F08">
        <w:trPr>
          <w:jc w:val="center"/>
        </w:trPr>
        <w:tc>
          <w:tcPr>
            <w:tcW w:w="6799" w:type="dxa"/>
            <w:shd w:val="clear" w:color="auto" w:fill="D6E3BC" w:themeFill="accent3" w:themeFillTint="66"/>
          </w:tcPr>
          <w:p w14:paraId="22556431" w14:textId="38428820" w:rsidR="00B25BD7" w:rsidRPr="008954F2" w:rsidRDefault="00B25BD7" w:rsidP="009931F5">
            <w:pPr>
              <w:jc w:val="both"/>
              <w:rPr>
                <w:rFonts w:ascii="Century Gothic" w:hAnsi="Century Gothic" w:cs="Arial"/>
                <w:sz w:val="20"/>
                <w:szCs w:val="22"/>
                <w:lang w:val="es-ES"/>
              </w:rPr>
            </w:pPr>
            <w:r w:rsidRPr="008954F2">
              <w:rPr>
                <w:rFonts w:ascii="Century Gothic" w:hAnsi="Century Gothic" w:cs="Arial"/>
                <w:sz w:val="20"/>
                <w:szCs w:val="22"/>
                <w:lang w:val="es-ES"/>
              </w:rPr>
              <w:t>Tasa de mortalidad de niños menores de cinco años x 100.000</w:t>
            </w:r>
          </w:p>
        </w:tc>
        <w:tc>
          <w:tcPr>
            <w:tcW w:w="851" w:type="dxa"/>
            <w:vAlign w:val="center"/>
          </w:tcPr>
          <w:p w14:paraId="40F17DFF" w14:textId="1AD1B0C7"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180,4</w:t>
            </w:r>
          </w:p>
        </w:tc>
        <w:tc>
          <w:tcPr>
            <w:tcW w:w="850" w:type="dxa"/>
            <w:vAlign w:val="center"/>
          </w:tcPr>
          <w:p w14:paraId="0B7B8372" w14:textId="414B87A6"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119,8</w:t>
            </w:r>
          </w:p>
        </w:tc>
      </w:tr>
      <w:tr w:rsidR="00B25BD7" w:rsidRPr="008954F2" w14:paraId="230EADE5" w14:textId="77777777" w:rsidTr="00DA2F08">
        <w:trPr>
          <w:jc w:val="center"/>
        </w:trPr>
        <w:tc>
          <w:tcPr>
            <w:tcW w:w="6799" w:type="dxa"/>
            <w:shd w:val="clear" w:color="auto" w:fill="D6E3BC" w:themeFill="accent3" w:themeFillTint="66"/>
          </w:tcPr>
          <w:p w14:paraId="3F3B8C1F" w14:textId="2A1BBA12" w:rsidR="00B25BD7" w:rsidRPr="008954F2" w:rsidRDefault="00B25BD7" w:rsidP="009931F5">
            <w:pPr>
              <w:jc w:val="both"/>
              <w:rPr>
                <w:rFonts w:ascii="Century Gothic" w:hAnsi="Century Gothic" w:cs="Arial"/>
                <w:sz w:val="20"/>
                <w:szCs w:val="22"/>
                <w:lang w:val="es-ES"/>
              </w:rPr>
            </w:pPr>
            <w:r w:rsidRPr="008954F2">
              <w:rPr>
                <w:rFonts w:ascii="Century Gothic" w:hAnsi="Century Gothic" w:cs="Arial"/>
                <w:sz w:val="20"/>
                <w:szCs w:val="22"/>
                <w:lang w:val="es-ES"/>
              </w:rPr>
              <w:t>Tasa de mortalidad por Infección Respiratoria Aguda – IRA en menores de cinco años x 100.000</w:t>
            </w:r>
          </w:p>
        </w:tc>
        <w:tc>
          <w:tcPr>
            <w:tcW w:w="851" w:type="dxa"/>
            <w:vAlign w:val="center"/>
          </w:tcPr>
          <w:p w14:paraId="6A7B4F09" w14:textId="2B49CB87" w:rsidR="00B25BD7" w:rsidRPr="008954F2" w:rsidRDefault="00195B59" w:rsidP="00B25BD7">
            <w:pPr>
              <w:jc w:val="right"/>
              <w:rPr>
                <w:rFonts w:ascii="Century Gothic" w:hAnsi="Century Gothic" w:cs="Arial"/>
                <w:sz w:val="20"/>
                <w:szCs w:val="22"/>
                <w:lang w:val="es-ES"/>
              </w:rPr>
            </w:pPr>
            <w:r w:rsidRPr="008954F2">
              <w:rPr>
                <w:rFonts w:ascii="Century Gothic" w:hAnsi="Century Gothic" w:cs="Arial"/>
                <w:sz w:val="20"/>
                <w:szCs w:val="22"/>
                <w:lang w:val="es-ES"/>
              </w:rPr>
              <w:t>0</w:t>
            </w:r>
          </w:p>
        </w:tc>
        <w:tc>
          <w:tcPr>
            <w:tcW w:w="850" w:type="dxa"/>
            <w:vAlign w:val="center"/>
          </w:tcPr>
          <w:p w14:paraId="1793FAF1" w14:textId="2D5ACF9B" w:rsidR="00B25BD7" w:rsidRPr="008954F2" w:rsidRDefault="00195B59" w:rsidP="00B25BD7">
            <w:pPr>
              <w:jc w:val="right"/>
              <w:rPr>
                <w:rFonts w:ascii="Century Gothic" w:hAnsi="Century Gothic" w:cs="Arial"/>
                <w:sz w:val="20"/>
                <w:szCs w:val="22"/>
                <w:lang w:val="es-ES"/>
              </w:rPr>
            </w:pPr>
            <w:r w:rsidRPr="008954F2">
              <w:rPr>
                <w:rFonts w:ascii="Century Gothic" w:hAnsi="Century Gothic" w:cs="Arial"/>
                <w:sz w:val="20"/>
                <w:szCs w:val="22"/>
                <w:lang w:val="es-ES"/>
              </w:rPr>
              <w:t>0</w:t>
            </w:r>
          </w:p>
        </w:tc>
      </w:tr>
      <w:tr w:rsidR="00B25BD7" w:rsidRPr="008954F2" w14:paraId="63E510E4" w14:textId="77777777" w:rsidTr="00DA2F08">
        <w:trPr>
          <w:jc w:val="center"/>
        </w:trPr>
        <w:tc>
          <w:tcPr>
            <w:tcW w:w="6799" w:type="dxa"/>
            <w:shd w:val="clear" w:color="auto" w:fill="D6E3BC" w:themeFill="accent3" w:themeFillTint="66"/>
          </w:tcPr>
          <w:p w14:paraId="7AD6A975" w14:textId="3F9B7BB5" w:rsidR="00B25BD7" w:rsidRPr="008954F2" w:rsidRDefault="00B25BD7" w:rsidP="009931F5">
            <w:pPr>
              <w:jc w:val="both"/>
              <w:rPr>
                <w:rFonts w:ascii="Century Gothic" w:hAnsi="Century Gothic" w:cs="Arial"/>
                <w:sz w:val="20"/>
                <w:szCs w:val="22"/>
                <w:lang w:val="es-ES"/>
              </w:rPr>
            </w:pPr>
            <w:r w:rsidRPr="008954F2">
              <w:rPr>
                <w:rFonts w:ascii="Century Gothic" w:hAnsi="Century Gothic" w:cs="Arial"/>
                <w:sz w:val="20"/>
                <w:szCs w:val="22"/>
                <w:lang w:val="es-ES"/>
              </w:rPr>
              <w:t>Tasa de mortalidad por Enfermedad Diarreica Aguda – EDA en menores de cinco años x 100.000</w:t>
            </w:r>
          </w:p>
        </w:tc>
        <w:tc>
          <w:tcPr>
            <w:tcW w:w="851" w:type="dxa"/>
            <w:vAlign w:val="center"/>
          </w:tcPr>
          <w:p w14:paraId="182FE17F" w14:textId="69388634" w:rsidR="00B25BD7" w:rsidRPr="008954F2" w:rsidRDefault="00195B59" w:rsidP="00B25BD7">
            <w:pPr>
              <w:jc w:val="right"/>
              <w:rPr>
                <w:rFonts w:ascii="Century Gothic" w:hAnsi="Century Gothic" w:cs="Arial"/>
                <w:sz w:val="20"/>
                <w:szCs w:val="22"/>
                <w:lang w:val="es-ES"/>
              </w:rPr>
            </w:pPr>
            <w:r w:rsidRPr="008954F2">
              <w:rPr>
                <w:rFonts w:ascii="Century Gothic" w:hAnsi="Century Gothic" w:cs="Arial"/>
                <w:sz w:val="20"/>
                <w:szCs w:val="22"/>
                <w:lang w:val="es-ES"/>
              </w:rPr>
              <w:t>6,4</w:t>
            </w:r>
          </w:p>
        </w:tc>
        <w:tc>
          <w:tcPr>
            <w:tcW w:w="850" w:type="dxa"/>
            <w:vAlign w:val="center"/>
          </w:tcPr>
          <w:p w14:paraId="7FEA8B0B" w14:textId="225674AF" w:rsidR="00B25BD7" w:rsidRPr="008954F2" w:rsidRDefault="00195B59" w:rsidP="00B25BD7">
            <w:pPr>
              <w:jc w:val="right"/>
              <w:rPr>
                <w:rFonts w:ascii="Century Gothic" w:hAnsi="Century Gothic" w:cs="Arial"/>
                <w:sz w:val="20"/>
                <w:szCs w:val="22"/>
                <w:lang w:val="es-ES"/>
              </w:rPr>
            </w:pPr>
            <w:r w:rsidRPr="008954F2">
              <w:rPr>
                <w:rFonts w:ascii="Century Gothic" w:hAnsi="Century Gothic" w:cs="Arial"/>
                <w:sz w:val="20"/>
                <w:szCs w:val="22"/>
                <w:lang w:val="es-ES"/>
              </w:rPr>
              <w:t>0</w:t>
            </w:r>
          </w:p>
        </w:tc>
      </w:tr>
      <w:tr w:rsidR="00B25BD7" w:rsidRPr="008954F2" w14:paraId="53EDC581" w14:textId="77777777" w:rsidTr="00DA2F08">
        <w:trPr>
          <w:jc w:val="center"/>
        </w:trPr>
        <w:tc>
          <w:tcPr>
            <w:tcW w:w="6799" w:type="dxa"/>
            <w:shd w:val="clear" w:color="auto" w:fill="D6E3BC" w:themeFill="accent3" w:themeFillTint="66"/>
          </w:tcPr>
          <w:p w14:paraId="5111031F" w14:textId="62752E88" w:rsidR="00B25BD7" w:rsidRPr="008954F2" w:rsidRDefault="00195B59" w:rsidP="00195B59">
            <w:pPr>
              <w:jc w:val="both"/>
              <w:rPr>
                <w:rFonts w:ascii="Century Gothic" w:hAnsi="Century Gothic" w:cs="Arial"/>
                <w:sz w:val="20"/>
                <w:szCs w:val="22"/>
                <w:lang w:val="es-ES"/>
              </w:rPr>
            </w:pPr>
            <w:r w:rsidRPr="008954F2">
              <w:rPr>
                <w:rFonts w:ascii="Century Gothic" w:hAnsi="Century Gothic" w:cs="Arial"/>
                <w:sz w:val="20"/>
                <w:szCs w:val="22"/>
                <w:lang w:val="es-ES"/>
              </w:rPr>
              <w:t>Tasa de m</w:t>
            </w:r>
            <w:r w:rsidR="00B25BD7" w:rsidRPr="008954F2">
              <w:rPr>
                <w:rFonts w:ascii="Century Gothic" w:hAnsi="Century Gothic" w:cs="Arial"/>
                <w:sz w:val="20"/>
                <w:szCs w:val="22"/>
                <w:lang w:val="es-ES"/>
              </w:rPr>
              <w:t>ortalidad materna evitable x 100.000 nacidos vivos</w:t>
            </w:r>
          </w:p>
        </w:tc>
        <w:tc>
          <w:tcPr>
            <w:tcW w:w="851" w:type="dxa"/>
            <w:vAlign w:val="center"/>
          </w:tcPr>
          <w:p w14:paraId="14B195F4" w14:textId="2B9CABAB" w:rsidR="00B25BD7" w:rsidRPr="008954F2" w:rsidRDefault="00B25BD7" w:rsidP="00195B59">
            <w:pPr>
              <w:jc w:val="right"/>
              <w:rPr>
                <w:rFonts w:ascii="Century Gothic" w:hAnsi="Century Gothic" w:cs="Arial"/>
                <w:sz w:val="20"/>
                <w:szCs w:val="22"/>
                <w:lang w:val="es-ES"/>
              </w:rPr>
            </w:pPr>
            <w:r w:rsidRPr="008954F2">
              <w:rPr>
                <w:rFonts w:ascii="Century Gothic" w:hAnsi="Century Gothic" w:cs="Arial"/>
                <w:sz w:val="20"/>
                <w:szCs w:val="22"/>
                <w:lang w:val="es-ES"/>
              </w:rPr>
              <w:t>38,6</w:t>
            </w:r>
          </w:p>
        </w:tc>
        <w:tc>
          <w:tcPr>
            <w:tcW w:w="850" w:type="dxa"/>
            <w:vAlign w:val="center"/>
          </w:tcPr>
          <w:p w14:paraId="7BD2755F" w14:textId="43BC942D" w:rsidR="00B25BD7" w:rsidRPr="008954F2" w:rsidRDefault="00B25BD7" w:rsidP="00B25BD7">
            <w:pPr>
              <w:jc w:val="right"/>
              <w:rPr>
                <w:rFonts w:ascii="Century Gothic" w:hAnsi="Century Gothic" w:cs="Arial"/>
                <w:sz w:val="20"/>
                <w:szCs w:val="22"/>
                <w:lang w:val="es-ES"/>
              </w:rPr>
            </w:pPr>
            <w:r w:rsidRPr="008954F2">
              <w:rPr>
                <w:rFonts w:ascii="Century Gothic" w:hAnsi="Century Gothic" w:cs="Arial"/>
                <w:sz w:val="20"/>
                <w:szCs w:val="22"/>
                <w:lang w:val="es-ES"/>
              </w:rPr>
              <w:t>24</w:t>
            </w:r>
          </w:p>
        </w:tc>
      </w:tr>
    </w:tbl>
    <w:p w14:paraId="5895FE38" w14:textId="4ACF6969" w:rsidR="00496C8C" w:rsidRPr="001E2110" w:rsidRDefault="00496C8C" w:rsidP="00496C8C">
      <w:pPr>
        <w:jc w:val="center"/>
        <w:rPr>
          <w:rFonts w:ascii="Century Gothic" w:hAnsi="Century Gothic" w:cs="Arial"/>
          <w:sz w:val="20"/>
          <w:lang w:val="es-ES"/>
        </w:rPr>
      </w:pPr>
      <w:r w:rsidRPr="001E2110">
        <w:rPr>
          <w:rFonts w:ascii="Century Gothic" w:hAnsi="Century Gothic" w:cs="Arial"/>
          <w:sz w:val="20"/>
          <w:lang w:val="es-ES"/>
        </w:rPr>
        <w:t>Fuente: Secretaría de Salud</w:t>
      </w:r>
      <w:r w:rsidR="00354978" w:rsidRPr="001E2110">
        <w:rPr>
          <w:rFonts w:ascii="Century Gothic" w:hAnsi="Century Gothic" w:cs="Arial"/>
          <w:sz w:val="20"/>
          <w:lang w:val="es-ES"/>
        </w:rPr>
        <w:t xml:space="preserve"> Municipal</w:t>
      </w:r>
      <w:r w:rsidRPr="001E2110">
        <w:rPr>
          <w:rFonts w:ascii="Century Gothic" w:hAnsi="Century Gothic" w:cs="Arial"/>
          <w:sz w:val="20"/>
          <w:lang w:val="es-ES"/>
        </w:rPr>
        <w:t xml:space="preserve">, 2018. </w:t>
      </w:r>
    </w:p>
    <w:p w14:paraId="65D44104" w14:textId="4D2C5489" w:rsidR="00F01E79" w:rsidRPr="001E2110" w:rsidRDefault="00B24451" w:rsidP="000E2932">
      <w:pPr>
        <w:jc w:val="both"/>
        <w:rPr>
          <w:rFonts w:ascii="Century Gothic" w:hAnsi="Century Gothic" w:cs="Arial"/>
          <w:lang w:val="es-ES"/>
        </w:rPr>
      </w:pPr>
      <w:r>
        <w:rPr>
          <w:rFonts w:ascii="Century Gothic" w:hAnsi="Century Gothic" w:cs="Arial"/>
          <w:lang w:val="es-ES"/>
        </w:rPr>
        <w:t>S</w:t>
      </w:r>
      <w:r w:rsidR="00496C8C" w:rsidRPr="001E2110">
        <w:rPr>
          <w:rFonts w:ascii="Century Gothic" w:hAnsi="Century Gothic" w:cs="Arial"/>
          <w:lang w:val="es-ES"/>
        </w:rPr>
        <w:t>e observa un comportamiento positivo de los indicadores de salud, la cobertura del régimen subsidiado increment</w:t>
      </w:r>
      <w:r w:rsidR="0027711B" w:rsidRPr="001E2110">
        <w:rPr>
          <w:rFonts w:ascii="Century Gothic" w:hAnsi="Century Gothic" w:cs="Arial"/>
          <w:lang w:val="es-ES"/>
        </w:rPr>
        <w:t>ó</w:t>
      </w:r>
      <w:r w:rsidR="00496C8C" w:rsidRPr="001E2110">
        <w:rPr>
          <w:rFonts w:ascii="Century Gothic" w:hAnsi="Century Gothic" w:cs="Arial"/>
          <w:lang w:val="es-ES"/>
        </w:rPr>
        <w:t xml:space="preserve"> en 0,6 por ciento, pese a que este indicador</w:t>
      </w:r>
      <w:r w:rsidR="00C944A7" w:rsidRPr="001E2110">
        <w:rPr>
          <w:rFonts w:ascii="Century Gothic" w:hAnsi="Century Gothic" w:cs="Arial"/>
          <w:lang w:val="es-ES"/>
        </w:rPr>
        <w:t xml:space="preserve"> varí</w:t>
      </w:r>
      <w:r w:rsidR="00496C8C" w:rsidRPr="001E2110">
        <w:rPr>
          <w:rFonts w:ascii="Century Gothic" w:hAnsi="Century Gothic" w:cs="Arial"/>
          <w:lang w:val="es-ES"/>
        </w:rPr>
        <w:t>a diari</w:t>
      </w:r>
      <w:r w:rsidR="0027711B" w:rsidRPr="001E2110">
        <w:rPr>
          <w:rFonts w:ascii="Century Gothic" w:hAnsi="Century Gothic" w:cs="Arial"/>
          <w:lang w:val="es-ES"/>
        </w:rPr>
        <w:t xml:space="preserve">amente </w:t>
      </w:r>
      <w:r w:rsidR="00496C8C" w:rsidRPr="001E2110">
        <w:rPr>
          <w:rFonts w:ascii="Century Gothic" w:hAnsi="Century Gothic" w:cs="Arial"/>
          <w:lang w:val="es-ES"/>
        </w:rPr>
        <w:t xml:space="preserve">de acuerdo al reporte de fallecimientos y de nacidos vivos. </w:t>
      </w:r>
      <w:r w:rsidR="0027711B" w:rsidRPr="001E2110">
        <w:rPr>
          <w:rFonts w:ascii="Century Gothic" w:hAnsi="Century Gothic" w:cs="Arial"/>
          <w:lang w:val="es-ES"/>
        </w:rPr>
        <w:t xml:space="preserve">En cuanto a la tasa de </w:t>
      </w:r>
      <w:r w:rsidR="00F01E79" w:rsidRPr="001E2110">
        <w:rPr>
          <w:rFonts w:ascii="Century Gothic" w:hAnsi="Century Gothic" w:cs="Arial"/>
          <w:lang w:val="es-ES"/>
        </w:rPr>
        <w:t>mortalidad infantil</w:t>
      </w:r>
      <w:r w:rsidR="008D6F1C" w:rsidRPr="001E2110">
        <w:rPr>
          <w:rFonts w:ascii="Century Gothic" w:hAnsi="Century Gothic" w:cs="Arial"/>
          <w:lang w:val="es-ES"/>
        </w:rPr>
        <w:t>,</w:t>
      </w:r>
      <w:r w:rsidR="00F01E79" w:rsidRPr="001E2110">
        <w:rPr>
          <w:rFonts w:ascii="Century Gothic" w:hAnsi="Century Gothic" w:cs="Arial"/>
          <w:lang w:val="es-ES"/>
        </w:rPr>
        <w:t xml:space="preserve"> </w:t>
      </w:r>
      <w:r w:rsidR="00AE167C" w:rsidRPr="001E2110">
        <w:rPr>
          <w:rFonts w:ascii="Century Gothic" w:hAnsi="Century Gothic" w:cs="Arial"/>
          <w:lang w:val="es-ES"/>
        </w:rPr>
        <w:t xml:space="preserve">el 6,2 por ciento </w:t>
      </w:r>
      <w:r w:rsidR="0027711B" w:rsidRPr="001E2110">
        <w:rPr>
          <w:rFonts w:ascii="Century Gothic" w:hAnsi="Century Gothic" w:cs="Arial"/>
          <w:lang w:val="es-ES"/>
        </w:rPr>
        <w:t xml:space="preserve">corresponde a 30 casos, </w:t>
      </w:r>
      <w:r w:rsidR="009438FE" w:rsidRPr="001E2110">
        <w:rPr>
          <w:rFonts w:ascii="Century Gothic" w:hAnsi="Century Gothic" w:cs="Arial"/>
          <w:lang w:val="es-ES"/>
        </w:rPr>
        <w:t xml:space="preserve">ya que </w:t>
      </w:r>
      <w:r w:rsidR="0027711B" w:rsidRPr="001E2110">
        <w:rPr>
          <w:rFonts w:ascii="Century Gothic" w:hAnsi="Century Gothic" w:cs="Arial"/>
          <w:lang w:val="es-ES"/>
        </w:rPr>
        <w:t>por lugar de residencia nacieron 4.873 niños y niñas y por lugar de re</w:t>
      </w:r>
      <w:r w:rsidR="009438FE" w:rsidRPr="001E2110">
        <w:rPr>
          <w:rFonts w:ascii="Century Gothic" w:hAnsi="Century Gothic" w:cs="Arial"/>
          <w:lang w:val="es-ES"/>
        </w:rPr>
        <w:t>sidencia de la madre murieron 3</w:t>
      </w:r>
      <w:r w:rsidR="0027711B" w:rsidRPr="001E2110">
        <w:rPr>
          <w:rFonts w:ascii="Century Gothic" w:hAnsi="Century Gothic" w:cs="Arial"/>
          <w:lang w:val="es-ES"/>
        </w:rPr>
        <w:t>0.</w:t>
      </w:r>
      <w:r w:rsidR="009438FE" w:rsidRPr="001E2110">
        <w:rPr>
          <w:rFonts w:ascii="Century Gothic" w:hAnsi="Century Gothic" w:cs="Arial"/>
          <w:lang w:val="es-ES"/>
        </w:rPr>
        <w:t xml:space="preserve"> Respecto </w:t>
      </w:r>
      <w:r w:rsidR="000E2932" w:rsidRPr="001E2110">
        <w:rPr>
          <w:rFonts w:ascii="Century Gothic" w:hAnsi="Century Gothic" w:cs="Arial"/>
          <w:lang w:val="es-ES"/>
        </w:rPr>
        <w:t xml:space="preserve">a la mortalidad de niños menores de cinco años, se registraron 37 casos de defunciones </w:t>
      </w:r>
      <w:r w:rsidR="008D6F1C" w:rsidRPr="001E2110">
        <w:rPr>
          <w:rFonts w:ascii="Century Gothic" w:hAnsi="Century Gothic" w:cs="Arial"/>
          <w:lang w:val="es-ES"/>
        </w:rPr>
        <w:t xml:space="preserve">en una población de </w:t>
      </w:r>
      <w:r w:rsidR="000E2932" w:rsidRPr="001E2110">
        <w:rPr>
          <w:rFonts w:ascii="Century Gothic" w:hAnsi="Century Gothic" w:cs="Arial"/>
          <w:lang w:val="es-ES"/>
        </w:rPr>
        <w:t xml:space="preserve">30.893 niños y niñas menores de 5 años. </w:t>
      </w:r>
    </w:p>
    <w:p w14:paraId="5118EBD2" w14:textId="394D5371" w:rsidR="0074408E" w:rsidRPr="001E2110" w:rsidRDefault="0074408E" w:rsidP="0074408E">
      <w:pPr>
        <w:jc w:val="both"/>
        <w:rPr>
          <w:rFonts w:ascii="Century Gothic" w:hAnsi="Century Gothic" w:cs="Arial"/>
          <w:lang w:val="es-ES"/>
        </w:rPr>
      </w:pPr>
      <w:r w:rsidRPr="001E2110">
        <w:rPr>
          <w:rFonts w:ascii="Century Gothic" w:hAnsi="Century Gothic" w:cs="Arial"/>
          <w:lang w:val="es-ES"/>
        </w:rPr>
        <w:t xml:space="preserve">En el tema de seguridad, el Observatorio del Delito reporta que, durante el primer semestre del año 2018, se continuó apoyando a la Policía Metropolitana de Pasto, con la donación de motocicletas y con recursos económicos destinados a cubrir gastos de logística. De igual manera, se fortalecieron 65 Comités de Paz y Convivencia “CODEPAZ”, que buscan promover estrategias de corresponsabilidad y trabajo organizado para aportar seguridad integral. Así mismo, se entregaron 62 alarmas en diferentes sectores del municipio.  </w:t>
      </w:r>
    </w:p>
    <w:p w14:paraId="441BAB0F" w14:textId="77777777" w:rsidR="0074408E" w:rsidRPr="001E2110" w:rsidRDefault="0074408E" w:rsidP="0074408E">
      <w:pPr>
        <w:jc w:val="both"/>
        <w:rPr>
          <w:rFonts w:ascii="Century Gothic" w:hAnsi="Century Gothic" w:cs="Arial"/>
          <w:lang w:val="es-ES"/>
        </w:rPr>
      </w:pPr>
      <w:r w:rsidRPr="001E2110">
        <w:rPr>
          <w:rFonts w:ascii="Century Gothic" w:hAnsi="Century Gothic" w:cs="Arial"/>
          <w:lang w:val="es-ES"/>
        </w:rPr>
        <w:t xml:space="preserve">Al comparar el primer semestre del año 2017, con el mismo periodo del año 2018, se evidencia un incremento del 36 por ciento en la tasa de homicidios y del 13 por ciento en hurto a motocicletas, mientras que lesiones comunes tuvo un incremento del 6 por ciento. </w:t>
      </w:r>
    </w:p>
    <w:p w14:paraId="747E3B22" w14:textId="3E5BA10E" w:rsidR="0074408E" w:rsidRPr="001E2110" w:rsidRDefault="0074408E" w:rsidP="0074408E">
      <w:pPr>
        <w:jc w:val="both"/>
        <w:rPr>
          <w:rFonts w:ascii="Century Gothic" w:hAnsi="Century Gothic" w:cs="Arial"/>
          <w:lang w:val="es-ES"/>
        </w:rPr>
      </w:pPr>
      <w:r w:rsidRPr="001E2110">
        <w:rPr>
          <w:rFonts w:ascii="Century Gothic" w:hAnsi="Century Gothic" w:cs="Arial"/>
          <w:lang w:val="es-ES"/>
        </w:rPr>
        <w:lastRenderedPageBreak/>
        <w:t>Los demás indicadores muestran un comporta</w:t>
      </w:r>
      <w:r w:rsidR="00AE167C" w:rsidRPr="001E2110">
        <w:rPr>
          <w:rFonts w:ascii="Century Gothic" w:hAnsi="Century Gothic" w:cs="Arial"/>
          <w:lang w:val="es-ES"/>
        </w:rPr>
        <w:t>miento positivo, al evidenciar</w:t>
      </w:r>
      <w:r w:rsidRPr="001E2110">
        <w:rPr>
          <w:rFonts w:ascii="Century Gothic" w:hAnsi="Century Gothic" w:cs="Arial"/>
          <w:lang w:val="es-ES"/>
        </w:rPr>
        <w:t xml:space="preserve"> la reducción de los mismos, sobretodo en hurto a co</w:t>
      </w:r>
      <w:r w:rsidR="00AE167C" w:rsidRPr="001E2110">
        <w:rPr>
          <w:rFonts w:ascii="Century Gothic" w:hAnsi="Century Gothic" w:cs="Arial"/>
          <w:lang w:val="es-ES"/>
        </w:rPr>
        <w:t>mercio y a residencias (-34% y -2</w:t>
      </w:r>
      <w:r w:rsidRPr="001E2110">
        <w:rPr>
          <w:rFonts w:ascii="Century Gothic" w:hAnsi="Century Gothic" w:cs="Arial"/>
          <w:lang w:val="es-ES"/>
        </w:rPr>
        <w:t>9% respectivamente).</w:t>
      </w:r>
    </w:p>
    <w:p w14:paraId="29AF7BA4" w14:textId="61C09348" w:rsidR="0074408E" w:rsidRPr="001E2110" w:rsidRDefault="0074408E" w:rsidP="0074408E">
      <w:pPr>
        <w:spacing w:after="0"/>
        <w:jc w:val="center"/>
        <w:rPr>
          <w:rFonts w:ascii="Century Gothic" w:hAnsi="Century Gothic" w:cs="Arial"/>
          <w:lang w:val="es-ES"/>
        </w:rPr>
      </w:pPr>
      <w:bookmarkStart w:id="5" w:name="_Toc532570494"/>
      <w:r w:rsidRPr="001E2110">
        <w:rPr>
          <w:rFonts w:ascii="Century Gothic" w:hAnsi="Century Gothic" w:cs="Arial"/>
          <w:color w:val="000000" w:themeColor="text1"/>
          <w:lang w:val="es-ES"/>
        </w:rPr>
        <w:t xml:space="preserve">Tabla </w:t>
      </w:r>
      <w:r w:rsidRPr="001E2110">
        <w:rPr>
          <w:rFonts w:ascii="Century Gothic" w:hAnsi="Century Gothic" w:cs="Arial"/>
          <w:color w:val="000000" w:themeColor="text1"/>
          <w:lang w:val="es-ES"/>
        </w:rPr>
        <w:fldChar w:fldCharType="begin"/>
      </w:r>
      <w:r w:rsidRPr="001E2110">
        <w:rPr>
          <w:rFonts w:ascii="Century Gothic" w:hAnsi="Century Gothic" w:cs="Arial"/>
          <w:color w:val="000000" w:themeColor="text1"/>
          <w:lang w:val="es-ES"/>
        </w:rPr>
        <w:instrText xml:space="preserve"> SEQ TABLA \* ARABIC </w:instrText>
      </w:r>
      <w:r w:rsidRPr="001E2110">
        <w:rPr>
          <w:rFonts w:ascii="Century Gothic" w:hAnsi="Century Gothic" w:cs="Arial"/>
          <w:color w:val="000000" w:themeColor="text1"/>
          <w:lang w:val="es-ES"/>
        </w:rPr>
        <w:fldChar w:fldCharType="separate"/>
      </w:r>
      <w:r w:rsidR="00934BA3">
        <w:rPr>
          <w:rFonts w:ascii="Century Gothic" w:hAnsi="Century Gothic" w:cs="Arial"/>
          <w:noProof/>
          <w:color w:val="000000" w:themeColor="text1"/>
          <w:lang w:val="es-ES"/>
        </w:rPr>
        <w:t>3</w:t>
      </w:r>
      <w:r w:rsidRPr="001E2110">
        <w:rPr>
          <w:rFonts w:ascii="Century Gothic" w:hAnsi="Century Gothic" w:cs="Arial"/>
          <w:color w:val="000000" w:themeColor="text1"/>
          <w:lang w:val="es-ES"/>
        </w:rPr>
        <w:fldChar w:fldCharType="end"/>
      </w:r>
      <w:r w:rsidRPr="001E2110">
        <w:rPr>
          <w:rFonts w:ascii="Century Gothic" w:hAnsi="Century Gothic" w:cs="Arial"/>
          <w:color w:val="000000" w:themeColor="text1"/>
          <w:lang w:val="es-ES"/>
        </w:rPr>
        <w:t>. I</w:t>
      </w:r>
      <w:r w:rsidRPr="001E2110">
        <w:rPr>
          <w:rFonts w:ascii="Century Gothic" w:hAnsi="Century Gothic" w:cs="Arial"/>
          <w:bCs/>
          <w:lang w:val="es-ES"/>
        </w:rPr>
        <w:t>ndicadores de seguridad</w:t>
      </w:r>
      <w:bookmarkEnd w:id="5"/>
      <w:r w:rsidRPr="001E2110">
        <w:rPr>
          <w:rFonts w:ascii="Century Gothic" w:hAnsi="Century Gothic" w:cs="Arial"/>
          <w:bCs/>
          <w:lang w:val="es-ES"/>
        </w:rPr>
        <w:t xml:space="preserve"> </w:t>
      </w:r>
    </w:p>
    <w:tbl>
      <w:tblPr>
        <w:tblW w:w="3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46"/>
        <w:gridCol w:w="865"/>
        <w:gridCol w:w="864"/>
        <w:gridCol w:w="1154"/>
        <w:gridCol w:w="1442"/>
      </w:tblGrid>
      <w:tr w:rsidR="0074408E" w:rsidRPr="008954F2" w14:paraId="330657F5" w14:textId="77777777" w:rsidTr="008954F2">
        <w:trPr>
          <w:trHeight w:val="20"/>
          <w:tblHeader/>
          <w:jc w:val="center"/>
        </w:trPr>
        <w:tc>
          <w:tcPr>
            <w:tcW w:w="1806"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2718D2" w14:textId="77777777" w:rsidR="0074408E" w:rsidRPr="008954F2" w:rsidRDefault="0074408E" w:rsidP="0074408E">
            <w:pPr>
              <w:spacing w:after="0"/>
              <w:jc w:val="center"/>
              <w:rPr>
                <w:rFonts w:ascii="Century Gothic" w:eastAsia="Times New Roman" w:hAnsi="Century Gothic" w:cs="Arial"/>
                <w:b/>
                <w:bCs/>
                <w:sz w:val="20"/>
                <w:szCs w:val="20"/>
                <w:lang w:val="es-ES"/>
              </w:rPr>
            </w:pPr>
            <w:r w:rsidRPr="008954F2">
              <w:rPr>
                <w:rFonts w:ascii="Century Gothic" w:eastAsia="Times New Roman" w:hAnsi="Century Gothic" w:cs="Arial"/>
                <w:b/>
                <w:bCs/>
                <w:sz w:val="20"/>
                <w:szCs w:val="20"/>
                <w:lang w:val="es-ES"/>
              </w:rPr>
              <w:t xml:space="preserve">Evento </w:t>
            </w:r>
          </w:p>
        </w:tc>
        <w:tc>
          <w:tcPr>
            <w:tcW w:w="1277"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2F00CC1" w14:textId="77777777" w:rsidR="0074408E" w:rsidRPr="008954F2" w:rsidRDefault="0074408E" w:rsidP="0074408E">
            <w:pPr>
              <w:spacing w:after="0"/>
              <w:jc w:val="center"/>
              <w:rPr>
                <w:rFonts w:ascii="Century Gothic" w:hAnsi="Century Gothic" w:cs="Calibri"/>
                <w:b/>
                <w:sz w:val="20"/>
                <w:szCs w:val="20"/>
                <w:lang w:val="es-ES"/>
              </w:rPr>
            </w:pPr>
            <w:r w:rsidRPr="008954F2">
              <w:rPr>
                <w:rFonts w:ascii="Century Gothic" w:hAnsi="Century Gothic" w:cs="Calibri"/>
                <w:b/>
                <w:sz w:val="20"/>
                <w:szCs w:val="20"/>
                <w:lang w:val="es-ES"/>
              </w:rPr>
              <w:t xml:space="preserve">Enero a junio </w:t>
            </w:r>
          </w:p>
        </w:tc>
        <w:tc>
          <w:tcPr>
            <w:tcW w:w="1917"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E260123" w14:textId="77777777" w:rsidR="0074408E" w:rsidRPr="008954F2" w:rsidRDefault="0074408E" w:rsidP="0074408E">
            <w:pPr>
              <w:spacing w:after="0"/>
              <w:jc w:val="center"/>
              <w:rPr>
                <w:rFonts w:ascii="Century Gothic" w:hAnsi="Century Gothic" w:cs="Calibri"/>
                <w:b/>
                <w:sz w:val="20"/>
                <w:szCs w:val="20"/>
                <w:lang w:val="es-ES"/>
              </w:rPr>
            </w:pPr>
            <w:r w:rsidRPr="008954F2">
              <w:rPr>
                <w:rFonts w:ascii="Century Gothic" w:hAnsi="Century Gothic" w:cs="Calibri"/>
                <w:b/>
                <w:sz w:val="20"/>
                <w:szCs w:val="20"/>
                <w:lang w:val="es-ES"/>
              </w:rPr>
              <w:t xml:space="preserve">Valor </w:t>
            </w:r>
          </w:p>
        </w:tc>
      </w:tr>
      <w:tr w:rsidR="0074408E" w:rsidRPr="008954F2" w14:paraId="26FFCFFF" w14:textId="77777777" w:rsidTr="008954F2">
        <w:trPr>
          <w:trHeight w:val="20"/>
          <w:tblHeader/>
          <w:jc w:val="center"/>
        </w:trPr>
        <w:tc>
          <w:tcPr>
            <w:tcW w:w="1806"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5692D58" w14:textId="77777777" w:rsidR="0074408E" w:rsidRPr="008954F2" w:rsidRDefault="0074408E" w:rsidP="0074408E">
            <w:pPr>
              <w:spacing w:after="0"/>
              <w:jc w:val="center"/>
              <w:rPr>
                <w:rFonts w:ascii="Century Gothic" w:eastAsia="Times New Roman" w:hAnsi="Century Gothic" w:cs="Arial"/>
                <w:b/>
                <w:bCs/>
                <w:sz w:val="20"/>
                <w:szCs w:val="20"/>
                <w:lang w:val="es-ES"/>
              </w:rPr>
            </w:pPr>
          </w:p>
        </w:tc>
        <w:tc>
          <w:tcPr>
            <w:tcW w:w="639"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FD4C8D" w14:textId="77777777" w:rsidR="0074408E" w:rsidRPr="008954F2" w:rsidRDefault="0074408E" w:rsidP="0074408E">
            <w:pPr>
              <w:spacing w:after="0"/>
              <w:jc w:val="center"/>
              <w:rPr>
                <w:rFonts w:ascii="Century Gothic" w:hAnsi="Century Gothic" w:cs="Calibri"/>
                <w:b/>
                <w:sz w:val="20"/>
                <w:szCs w:val="20"/>
                <w:lang w:val="es-ES"/>
              </w:rPr>
            </w:pPr>
            <w:r w:rsidRPr="008954F2">
              <w:rPr>
                <w:rFonts w:ascii="Century Gothic" w:hAnsi="Century Gothic" w:cs="Calibri"/>
                <w:b/>
                <w:sz w:val="20"/>
                <w:szCs w:val="20"/>
                <w:lang w:val="es-ES"/>
              </w:rPr>
              <w:t>2017</w:t>
            </w:r>
          </w:p>
        </w:tc>
        <w:tc>
          <w:tcPr>
            <w:tcW w:w="6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66EB748" w14:textId="77777777" w:rsidR="0074408E" w:rsidRPr="008954F2" w:rsidRDefault="0074408E" w:rsidP="0074408E">
            <w:pPr>
              <w:spacing w:after="0"/>
              <w:jc w:val="center"/>
              <w:rPr>
                <w:rFonts w:ascii="Century Gothic" w:hAnsi="Century Gothic" w:cs="Calibri"/>
                <w:b/>
                <w:sz w:val="20"/>
                <w:szCs w:val="20"/>
                <w:lang w:val="es-ES"/>
              </w:rPr>
            </w:pPr>
            <w:r w:rsidRPr="008954F2">
              <w:rPr>
                <w:rFonts w:ascii="Century Gothic" w:hAnsi="Century Gothic" w:cs="Calibri"/>
                <w:b/>
                <w:sz w:val="20"/>
                <w:szCs w:val="20"/>
                <w:lang w:val="es-ES"/>
              </w:rPr>
              <w:t>2018</w:t>
            </w:r>
          </w:p>
        </w:tc>
        <w:tc>
          <w:tcPr>
            <w:tcW w:w="8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07A1AF2" w14:textId="77777777" w:rsidR="0074408E" w:rsidRPr="008954F2" w:rsidRDefault="0074408E" w:rsidP="0074408E">
            <w:pPr>
              <w:spacing w:after="0"/>
              <w:jc w:val="center"/>
              <w:rPr>
                <w:rFonts w:ascii="Century Gothic" w:eastAsia="Times New Roman" w:hAnsi="Century Gothic" w:cs="Arial"/>
                <w:b/>
                <w:bCs/>
                <w:sz w:val="20"/>
                <w:szCs w:val="20"/>
                <w:lang w:val="es-ES"/>
              </w:rPr>
            </w:pPr>
            <w:r w:rsidRPr="008954F2">
              <w:rPr>
                <w:rFonts w:ascii="Century Gothic" w:eastAsia="Times New Roman" w:hAnsi="Century Gothic" w:cs="Arial"/>
                <w:b/>
                <w:bCs/>
                <w:sz w:val="20"/>
                <w:szCs w:val="20"/>
                <w:lang w:val="es-ES"/>
              </w:rPr>
              <w:t>Absoluto</w:t>
            </w:r>
          </w:p>
        </w:tc>
        <w:tc>
          <w:tcPr>
            <w:tcW w:w="106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768B54C" w14:textId="77777777" w:rsidR="0074408E" w:rsidRPr="008954F2" w:rsidRDefault="0074408E" w:rsidP="0074408E">
            <w:pPr>
              <w:spacing w:after="0"/>
              <w:jc w:val="center"/>
              <w:rPr>
                <w:rFonts w:ascii="Century Gothic" w:eastAsia="Times New Roman" w:hAnsi="Century Gothic" w:cs="Arial"/>
                <w:b/>
                <w:bCs/>
                <w:sz w:val="20"/>
                <w:szCs w:val="20"/>
                <w:lang w:val="es-ES"/>
              </w:rPr>
            </w:pPr>
            <w:r w:rsidRPr="008954F2">
              <w:rPr>
                <w:rFonts w:ascii="Century Gothic" w:eastAsia="Times New Roman" w:hAnsi="Century Gothic" w:cs="Arial"/>
                <w:b/>
                <w:bCs/>
                <w:sz w:val="20"/>
                <w:szCs w:val="20"/>
                <w:lang w:val="es-ES"/>
              </w:rPr>
              <w:t>Porcentaje</w:t>
            </w:r>
          </w:p>
        </w:tc>
      </w:tr>
      <w:tr w:rsidR="0074408E" w:rsidRPr="008954F2" w14:paraId="390DF1B7"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EDB23A2"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Homicidio</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7F2C7F4"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22</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7EDCE22"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30</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3909B6CF"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8</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4B6EF7A"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36</w:t>
            </w:r>
          </w:p>
        </w:tc>
      </w:tr>
      <w:tr w:rsidR="0074408E" w:rsidRPr="008954F2" w14:paraId="01F3C226"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6FEBD83"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Hurto a personas</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5B94818"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2.476</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00FA413"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2.115</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33164133"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-361</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7D00243"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-15</w:t>
            </w:r>
          </w:p>
        </w:tc>
      </w:tr>
      <w:tr w:rsidR="0074408E" w:rsidRPr="008954F2" w14:paraId="2A27E63D"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F6BDE61"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Hurto a residencias</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83F2061"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309</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8CA24CB"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218</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5DF26DBD"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-91</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868DE60"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-29</w:t>
            </w:r>
          </w:p>
        </w:tc>
      </w:tr>
      <w:tr w:rsidR="0074408E" w:rsidRPr="008954F2" w14:paraId="67CF2360"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7B87213"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Hurto a comercio</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9FD1A6B"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328</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DEB5AB4"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218</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29039172"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-110</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8EF8507"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-34</w:t>
            </w:r>
          </w:p>
        </w:tc>
      </w:tr>
      <w:tr w:rsidR="0074408E" w:rsidRPr="008954F2" w14:paraId="2B54A794"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08CFECE"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Hurto a automotores</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C17F204"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36</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DAC3A61"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28</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23485430"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-8</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28D26AB7"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-22</w:t>
            </w:r>
          </w:p>
        </w:tc>
      </w:tr>
      <w:tr w:rsidR="0074408E" w:rsidRPr="008954F2" w14:paraId="1A0B34C2"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9AD9BF9"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Hurto a motocicletas</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4459D09"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276</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DA64C98"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312</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2FD53365"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36</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21216ACE"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13</w:t>
            </w:r>
          </w:p>
        </w:tc>
      </w:tr>
      <w:tr w:rsidR="0074408E" w:rsidRPr="008954F2" w14:paraId="331206F0"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AF3BABD"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Abigeato</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34FAA58"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30</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246C8F7"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22</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40985AC9"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-8</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2FDFAD8F"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-27</w:t>
            </w:r>
          </w:p>
        </w:tc>
      </w:tr>
      <w:tr w:rsidR="0074408E" w:rsidRPr="008954F2" w14:paraId="053766B0" w14:textId="77777777" w:rsidTr="008954F2">
        <w:trPr>
          <w:trHeight w:val="20"/>
          <w:jc w:val="center"/>
        </w:trPr>
        <w:tc>
          <w:tcPr>
            <w:tcW w:w="18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5A103AC" w14:textId="77777777" w:rsidR="0074408E" w:rsidRPr="008954F2" w:rsidRDefault="0074408E" w:rsidP="0074408E">
            <w:pPr>
              <w:spacing w:after="0"/>
              <w:rPr>
                <w:rFonts w:ascii="Century Gothic" w:hAnsi="Century Gothic" w:cs="Calibri"/>
                <w:b/>
                <w:sz w:val="20"/>
                <w:szCs w:val="20"/>
                <w:lang w:val="es-ES"/>
              </w:rPr>
            </w:pPr>
            <w:r w:rsidRPr="008954F2">
              <w:rPr>
                <w:rFonts w:ascii="Century Gothic" w:hAnsi="Century Gothic" w:cs="Arial"/>
                <w:b/>
                <w:sz w:val="20"/>
                <w:szCs w:val="20"/>
                <w:lang w:val="es-ES"/>
              </w:rPr>
              <w:t>Lesiones comunes</w:t>
            </w:r>
          </w:p>
        </w:tc>
        <w:tc>
          <w:tcPr>
            <w:tcW w:w="6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D16B933"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1.198</w:t>
            </w:r>
          </w:p>
        </w:tc>
        <w:tc>
          <w:tcPr>
            <w:tcW w:w="6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BCB9998"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sz w:val="20"/>
                <w:szCs w:val="20"/>
                <w:lang w:val="es-ES"/>
              </w:rPr>
              <w:t>1.270</w:t>
            </w:r>
          </w:p>
        </w:tc>
        <w:tc>
          <w:tcPr>
            <w:tcW w:w="852" w:type="pct"/>
            <w:tcBorders>
              <w:top w:val="single" w:sz="4" w:space="0" w:color="auto"/>
              <w:left w:val="single" w:sz="4" w:space="0" w:color="auto"/>
              <w:bottom w:val="single" w:sz="4" w:space="0" w:color="auto"/>
              <w:right w:val="single" w:sz="4" w:space="0" w:color="auto"/>
            </w:tcBorders>
            <w:shd w:val="clear" w:color="auto" w:fill="FFFFFF"/>
            <w:vAlign w:val="center"/>
          </w:tcPr>
          <w:p w14:paraId="1CD01B50"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72</w:t>
            </w:r>
          </w:p>
        </w:tc>
        <w:tc>
          <w:tcPr>
            <w:tcW w:w="106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6B47D4A" w14:textId="77777777" w:rsidR="0074408E" w:rsidRPr="008954F2" w:rsidRDefault="0074408E" w:rsidP="0074408E">
            <w:pPr>
              <w:spacing w:after="0"/>
              <w:jc w:val="right"/>
              <w:rPr>
                <w:rFonts w:ascii="Century Gothic" w:hAnsi="Century Gothic" w:cs="Calibri"/>
                <w:sz w:val="20"/>
                <w:szCs w:val="20"/>
                <w:lang w:val="es-ES"/>
              </w:rPr>
            </w:pPr>
            <w:r w:rsidRPr="008954F2">
              <w:rPr>
                <w:rFonts w:ascii="Century Gothic" w:hAnsi="Century Gothic" w:cs="Arial"/>
                <w:bCs/>
                <w:sz w:val="20"/>
                <w:szCs w:val="20"/>
                <w:lang w:val="es-ES"/>
              </w:rPr>
              <w:t>6</w:t>
            </w:r>
          </w:p>
        </w:tc>
      </w:tr>
    </w:tbl>
    <w:p w14:paraId="0BDF0EB6" w14:textId="396B2982" w:rsidR="005B0199" w:rsidRPr="001E2110" w:rsidRDefault="0074408E" w:rsidP="00354978">
      <w:pPr>
        <w:jc w:val="center"/>
        <w:rPr>
          <w:rFonts w:ascii="Century Gothic" w:hAnsi="Century Gothic" w:cs="Arial"/>
          <w:lang w:val="es-ES"/>
        </w:rPr>
      </w:pPr>
      <w:r w:rsidRPr="001E2110">
        <w:rPr>
          <w:rFonts w:ascii="Century Gothic" w:hAnsi="Century Gothic" w:cs="Arial"/>
          <w:color w:val="000000" w:themeColor="text1"/>
          <w:sz w:val="20"/>
          <w:lang w:val="es-ES"/>
        </w:rPr>
        <w:t>Fuente: Observatorio del Delito, 2018</w:t>
      </w:r>
    </w:p>
    <w:p w14:paraId="5BDAA565" w14:textId="31386AC2" w:rsidR="00354978" w:rsidRPr="001E2110" w:rsidRDefault="00AE167C" w:rsidP="00354978">
      <w:pPr>
        <w:jc w:val="both"/>
        <w:rPr>
          <w:rFonts w:ascii="Century Gothic" w:hAnsi="Century Gothic" w:cs="Arial"/>
          <w:lang w:val="es-ES"/>
        </w:rPr>
      </w:pPr>
      <w:r w:rsidRPr="001E2110">
        <w:rPr>
          <w:rFonts w:ascii="Century Gothic" w:hAnsi="Century Gothic" w:cs="Arial"/>
          <w:lang w:val="es-ES"/>
        </w:rPr>
        <w:t xml:space="preserve">A </w:t>
      </w:r>
      <w:r w:rsidR="00A65614" w:rsidRPr="001E2110">
        <w:rPr>
          <w:rFonts w:ascii="Century Gothic" w:hAnsi="Century Gothic" w:cs="Arial"/>
          <w:lang w:val="es-ES"/>
        </w:rPr>
        <w:t>continuación,</w:t>
      </w:r>
      <w:r w:rsidRPr="001E2110">
        <w:rPr>
          <w:rFonts w:ascii="Century Gothic" w:hAnsi="Century Gothic" w:cs="Arial"/>
          <w:lang w:val="es-ES"/>
        </w:rPr>
        <w:t xml:space="preserve"> se</w:t>
      </w:r>
      <w:r w:rsidR="00354978" w:rsidRPr="001E2110">
        <w:rPr>
          <w:rFonts w:ascii="Century Gothic" w:hAnsi="Century Gothic" w:cs="Arial"/>
          <w:lang w:val="es-ES"/>
        </w:rPr>
        <w:t xml:space="preserve"> </w:t>
      </w:r>
      <w:r w:rsidRPr="001E2110">
        <w:rPr>
          <w:rFonts w:ascii="Century Gothic" w:hAnsi="Century Gothic" w:cs="Arial"/>
          <w:lang w:val="es-ES"/>
        </w:rPr>
        <w:t xml:space="preserve">presenta </w:t>
      </w:r>
      <w:r w:rsidR="00354978" w:rsidRPr="001E2110">
        <w:rPr>
          <w:rFonts w:ascii="Century Gothic" w:hAnsi="Century Gothic" w:cs="Arial"/>
          <w:lang w:val="es-ES"/>
        </w:rPr>
        <w:t>el comportamiento</w:t>
      </w:r>
      <w:r w:rsidRPr="001E2110">
        <w:rPr>
          <w:rFonts w:ascii="Century Gothic" w:hAnsi="Century Gothic" w:cs="Arial"/>
          <w:lang w:val="es-ES"/>
        </w:rPr>
        <w:t xml:space="preserve"> de algunos indicadores que contribuyen al mejoramiento de las condiciones de vida</w:t>
      </w:r>
      <w:r w:rsidR="00354978" w:rsidRPr="001E2110">
        <w:rPr>
          <w:rFonts w:ascii="Century Gothic" w:hAnsi="Century Gothic" w:cs="Arial"/>
          <w:lang w:val="es-ES"/>
        </w:rPr>
        <w:t xml:space="preserve">: </w:t>
      </w:r>
    </w:p>
    <w:p w14:paraId="6E0803EE"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Iluminarias instaladas en el sector rural: 6.231</w:t>
      </w:r>
      <w:r w:rsidRPr="001E2110">
        <w:rPr>
          <w:rStyle w:val="Refdenotaalpie"/>
          <w:lang w:val="es-ES"/>
        </w:rPr>
        <w:footnoteReference w:id="1"/>
      </w:r>
    </w:p>
    <w:p w14:paraId="448BC569"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Iluminarias instaladas en el sector urbano: 22.705</w:t>
      </w:r>
      <w:r w:rsidRPr="001E2110">
        <w:rPr>
          <w:rStyle w:val="Refdenotaalpie"/>
          <w:lang w:val="es-ES"/>
        </w:rPr>
        <w:footnoteReference w:id="2"/>
      </w:r>
    </w:p>
    <w:p w14:paraId="4121220A"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Cobertura de acueducto y alcantarillado en el sector urbano: 100%</w:t>
      </w:r>
      <w:r w:rsidRPr="001E2110">
        <w:rPr>
          <w:rStyle w:val="Refdenotaalpie"/>
          <w:lang w:val="es-ES"/>
        </w:rPr>
        <w:footnoteReference w:id="3"/>
      </w:r>
      <w:r w:rsidRPr="001E2110">
        <w:rPr>
          <w:lang w:val="es-ES"/>
        </w:rPr>
        <w:t xml:space="preserve"> </w:t>
      </w:r>
    </w:p>
    <w:p w14:paraId="2F23ABC1"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Cobertura de acueducto en el sector rural: 92,5%</w:t>
      </w:r>
      <w:r w:rsidRPr="001E2110">
        <w:rPr>
          <w:rStyle w:val="Refdenotaalpie"/>
          <w:lang w:val="es-ES"/>
        </w:rPr>
        <w:footnoteReference w:id="4"/>
      </w:r>
    </w:p>
    <w:p w14:paraId="0680E7F4"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Cobertura de alcantarillado en el sector rural: 20%</w:t>
      </w:r>
      <w:r w:rsidRPr="001E2110">
        <w:rPr>
          <w:rStyle w:val="Refdenotaalpie"/>
          <w:lang w:val="es-ES"/>
        </w:rPr>
        <w:footnoteReference w:id="5"/>
      </w:r>
    </w:p>
    <w:p w14:paraId="1A4F3124"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Cobertura de aseo en el sector urbano: 100%</w:t>
      </w:r>
      <w:r w:rsidRPr="001E2110">
        <w:rPr>
          <w:rStyle w:val="Refdenotaalpie"/>
          <w:lang w:val="es-ES"/>
        </w:rPr>
        <w:footnoteReference w:id="6"/>
      </w:r>
    </w:p>
    <w:p w14:paraId="6B1D0014" w14:textId="77777777" w:rsidR="00354978" w:rsidRPr="001E2110" w:rsidRDefault="00354978" w:rsidP="00354978">
      <w:pPr>
        <w:pStyle w:val="Prrafodelista"/>
        <w:widowControl/>
        <w:numPr>
          <w:ilvl w:val="0"/>
          <w:numId w:val="17"/>
        </w:numPr>
        <w:spacing w:after="200" w:line="276" w:lineRule="auto"/>
        <w:contextualSpacing/>
        <w:jc w:val="left"/>
        <w:rPr>
          <w:lang w:val="es-ES"/>
        </w:rPr>
      </w:pPr>
      <w:r w:rsidRPr="001E2110">
        <w:rPr>
          <w:lang w:val="es-ES"/>
        </w:rPr>
        <w:t>Cobertura de aseo en el sector rural: 20%</w:t>
      </w:r>
      <w:r w:rsidRPr="001E2110">
        <w:rPr>
          <w:rStyle w:val="Refdenotaalpie"/>
          <w:lang w:val="es-ES"/>
        </w:rPr>
        <w:footnoteReference w:id="7"/>
      </w:r>
    </w:p>
    <w:p w14:paraId="56AD0F85" w14:textId="0BF15D11" w:rsidR="006C1CD3" w:rsidRPr="001E2110" w:rsidRDefault="005B0199" w:rsidP="009931F5">
      <w:pPr>
        <w:jc w:val="both"/>
        <w:rPr>
          <w:rFonts w:ascii="Century Gothic" w:hAnsi="Century Gothic" w:cs="Arial"/>
          <w:lang w:val="es-ES"/>
        </w:rPr>
      </w:pPr>
      <w:r w:rsidRPr="001E2110">
        <w:rPr>
          <w:rFonts w:ascii="Century Gothic" w:hAnsi="Century Gothic" w:cs="Arial"/>
          <w:lang w:val="es-ES"/>
        </w:rPr>
        <w:t>Así mismo, s</w:t>
      </w:r>
      <w:r w:rsidR="009F598A" w:rsidRPr="001E2110">
        <w:rPr>
          <w:rFonts w:ascii="Century Gothic" w:hAnsi="Century Gothic" w:cs="Arial"/>
          <w:lang w:val="es-ES"/>
        </w:rPr>
        <w:t xml:space="preserve">e pondera favorablemente </w:t>
      </w:r>
      <w:r w:rsidR="006C1CD3" w:rsidRPr="001E2110">
        <w:rPr>
          <w:rFonts w:ascii="Century Gothic" w:hAnsi="Century Gothic" w:cs="Arial"/>
          <w:lang w:val="es-ES"/>
        </w:rPr>
        <w:t xml:space="preserve">la </w:t>
      </w:r>
      <w:r w:rsidR="00346EA3" w:rsidRPr="001E2110">
        <w:rPr>
          <w:rFonts w:ascii="Century Gothic" w:hAnsi="Century Gothic" w:cs="Arial"/>
          <w:lang w:val="es-ES"/>
        </w:rPr>
        <w:t xml:space="preserve">disminución de la incidencia de la </w:t>
      </w:r>
      <w:r w:rsidR="006C1CD3" w:rsidRPr="001E2110">
        <w:rPr>
          <w:rFonts w:ascii="Century Gothic" w:hAnsi="Century Gothic" w:cs="Arial"/>
          <w:lang w:val="es-ES"/>
        </w:rPr>
        <w:t xml:space="preserve">pobreza monetaria, con una </w:t>
      </w:r>
      <w:r w:rsidR="00346EA3" w:rsidRPr="001E2110">
        <w:rPr>
          <w:rFonts w:ascii="Century Gothic" w:hAnsi="Century Gothic" w:cs="Arial"/>
          <w:lang w:val="es-ES"/>
        </w:rPr>
        <w:t xml:space="preserve">reducción </w:t>
      </w:r>
      <w:r w:rsidR="006C1CD3" w:rsidRPr="001E2110">
        <w:rPr>
          <w:rFonts w:ascii="Century Gothic" w:hAnsi="Century Gothic" w:cs="Arial"/>
          <w:lang w:val="es-ES"/>
        </w:rPr>
        <w:t>de</w:t>
      </w:r>
      <w:r w:rsidR="00346EA3" w:rsidRPr="001E2110">
        <w:rPr>
          <w:rFonts w:ascii="Century Gothic" w:hAnsi="Century Gothic" w:cs="Arial"/>
          <w:lang w:val="es-ES"/>
        </w:rPr>
        <w:t>l</w:t>
      </w:r>
      <w:r w:rsidR="006C1CD3" w:rsidRPr="001E2110">
        <w:rPr>
          <w:rFonts w:ascii="Century Gothic" w:hAnsi="Century Gothic" w:cs="Arial"/>
          <w:lang w:val="es-ES"/>
        </w:rPr>
        <w:t xml:space="preserve"> 2,8 por ciento, en comparación al año 2016, ubicándose </w:t>
      </w:r>
      <w:r w:rsidR="003D7CA0" w:rsidRPr="001E2110">
        <w:rPr>
          <w:rFonts w:ascii="Century Gothic" w:hAnsi="Century Gothic" w:cs="Arial"/>
          <w:lang w:val="es-ES"/>
        </w:rPr>
        <w:t xml:space="preserve">en un </w:t>
      </w:r>
      <w:r w:rsidR="00346EA3" w:rsidRPr="001E2110">
        <w:rPr>
          <w:rFonts w:ascii="Century Gothic" w:hAnsi="Century Gothic" w:cs="Arial"/>
          <w:lang w:val="es-ES"/>
        </w:rPr>
        <w:t>6,7</w:t>
      </w:r>
      <w:r w:rsidR="003D7CA0" w:rsidRPr="001E2110">
        <w:rPr>
          <w:rFonts w:ascii="Century Gothic" w:hAnsi="Century Gothic" w:cs="Arial"/>
          <w:lang w:val="es-ES"/>
        </w:rPr>
        <w:t xml:space="preserve"> por ciento </w:t>
      </w:r>
      <w:r w:rsidR="006C1CD3" w:rsidRPr="001E2110">
        <w:rPr>
          <w:rFonts w:ascii="Century Gothic" w:hAnsi="Century Gothic" w:cs="Arial"/>
          <w:lang w:val="es-ES"/>
        </w:rPr>
        <w:t xml:space="preserve">por debajo del total nacional. </w:t>
      </w:r>
    </w:p>
    <w:p w14:paraId="752CC2B1" w14:textId="6E275567" w:rsidR="006C1CD3" w:rsidRPr="001E2110" w:rsidRDefault="006C1CD3" w:rsidP="006554EE">
      <w:pPr>
        <w:pStyle w:val="Epgrafe"/>
        <w:spacing w:after="0"/>
        <w:jc w:val="center"/>
        <w:rPr>
          <w:rFonts w:ascii="Century Gothic" w:hAnsi="Century Gothic" w:cs="Arial"/>
          <w:b w:val="0"/>
          <w:color w:val="auto"/>
          <w:sz w:val="22"/>
          <w:szCs w:val="22"/>
          <w:lang w:val="es-ES"/>
        </w:rPr>
      </w:pPr>
      <w:bookmarkStart w:id="6" w:name="_Toc532570495"/>
      <w:r w:rsidRPr="001E2110">
        <w:rPr>
          <w:rFonts w:ascii="Century Gothic" w:hAnsi="Century Gothic"/>
          <w:b w:val="0"/>
          <w:color w:val="auto"/>
          <w:sz w:val="22"/>
          <w:szCs w:val="22"/>
          <w:lang w:val="es-ES"/>
        </w:rPr>
        <w:lastRenderedPageBreak/>
        <w:t xml:space="preserve">Tabla </w:t>
      </w:r>
      <w:r w:rsidRPr="001E2110">
        <w:rPr>
          <w:rFonts w:ascii="Century Gothic" w:hAnsi="Century Gothic"/>
          <w:b w:val="0"/>
          <w:color w:val="auto"/>
          <w:sz w:val="22"/>
          <w:szCs w:val="22"/>
          <w:lang w:val="es-ES"/>
        </w:rPr>
        <w:fldChar w:fldCharType="begin"/>
      </w:r>
      <w:r w:rsidRPr="001E2110">
        <w:rPr>
          <w:rFonts w:ascii="Century Gothic" w:hAnsi="Century Gothic"/>
          <w:b w:val="0"/>
          <w:color w:val="auto"/>
          <w:sz w:val="22"/>
          <w:szCs w:val="22"/>
          <w:lang w:val="es-ES"/>
        </w:rPr>
        <w:instrText xml:space="preserve"> SEQ Tabla \* ARABIC </w:instrText>
      </w:r>
      <w:r w:rsidRPr="001E2110">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4</w:t>
      </w:r>
      <w:r w:rsidRPr="001E2110">
        <w:rPr>
          <w:rFonts w:ascii="Century Gothic" w:hAnsi="Century Gothic"/>
          <w:b w:val="0"/>
          <w:color w:val="auto"/>
          <w:sz w:val="22"/>
          <w:szCs w:val="22"/>
          <w:lang w:val="es-ES"/>
        </w:rPr>
        <w:fldChar w:fldCharType="end"/>
      </w:r>
      <w:r w:rsidRPr="001E2110">
        <w:rPr>
          <w:rFonts w:ascii="Century Gothic" w:hAnsi="Century Gothic"/>
          <w:b w:val="0"/>
          <w:color w:val="auto"/>
          <w:sz w:val="22"/>
          <w:szCs w:val="22"/>
          <w:lang w:val="es-ES"/>
        </w:rPr>
        <w:t xml:space="preserve">. Incidencia de la </w:t>
      </w:r>
      <w:r w:rsidR="003D7CA0" w:rsidRPr="001E2110">
        <w:rPr>
          <w:rFonts w:ascii="Century Gothic" w:hAnsi="Century Gothic"/>
          <w:b w:val="0"/>
          <w:color w:val="auto"/>
          <w:sz w:val="22"/>
          <w:szCs w:val="22"/>
          <w:lang w:val="es-ES"/>
        </w:rPr>
        <w:t>p</w:t>
      </w:r>
      <w:r w:rsidRPr="001E2110">
        <w:rPr>
          <w:rFonts w:ascii="Century Gothic" w:hAnsi="Century Gothic"/>
          <w:b w:val="0"/>
          <w:color w:val="auto"/>
          <w:sz w:val="22"/>
          <w:szCs w:val="22"/>
          <w:lang w:val="es-ES"/>
        </w:rPr>
        <w:t>obreza</w:t>
      </w:r>
      <w:r w:rsidR="003D7CA0" w:rsidRPr="001E2110">
        <w:rPr>
          <w:rFonts w:ascii="Century Gothic" w:hAnsi="Century Gothic"/>
          <w:b w:val="0"/>
          <w:color w:val="auto"/>
          <w:sz w:val="22"/>
          <w:szCs w:val="22"/>
          <w:lang w:val="es-ES"/>
        </w:rPr>
        <w:t xml:space="preserve"> monetaria</w:t>
      </w:r>
      <w:bookmarkEnd w:id="6"/>
      <w:r w:rsidR="003D7CA0" w:rsidRPr="001E2110">
        <w:rPr>
          <w:rFonts w:ascii="Century Gothic" w:hAnsi="Century Gothic"/>
          <w:b w:val="0"/>
          <w:color w:val="auto"/>
          <w:sz w:val="22"/>
          <w:szCs w:val="22"/>
          <w:lang w:val="es-ES"/>
        </w:rPr>
        <w:t xml:space="preserve"> </w:t>
      </w:r>
    </w:p>
    <w:tbl>
      <w:tblPr>
        <w:tblStyle w:val="Tablaconcuadrcula"/>
        <w:tblW w:w="0" w:type="auto"/>
        <w:jc w:val="center"/>
        <w:tblLook w:val="04A0" w:firstRow="1" w:lastRow="0" w:firstColumn="1" w:lastColumn="0" w:noHBand="0" w:noVBand="1"/>
      </w:tblPr>
      <w:tblGrid>
        <w:gridCol w:w="1872"/>
        <w:gridCol w:w="850"/>
        <w:gridCol w:w="851"/>
        <w:gridCol w:w="1276"/>
      </w:tblGrid>
      <w:tr w:rsidR="006554EE" w:rsidRPr="008954F2" w14:paraId="63E49EEE" w14:textId="77777777" w:rsidTr="00DA2F08">
        <w:trPr>
          <w:jc w:val="center"/>
        </w:trPr>
        <w:tc>
          <w:tcPr>
            <w:tcW w:w="1872" w:type="dxa"/>
            <w:vMerge w:val="restart"/>
            <w:shd w:val="clear" w:color="auto" w:fill="C2D69B" w:themeFill="accent3" w:themeFillTint="99"/>
            <w:vAlign w:val="center"/>
          </w:tcPr>
          <w:p w14:paraId="5BE596CC" w14:textId="77ECFBFE" w:rsidR="006554EE" w:rsidRPr="008954F2" w:rsidRDefault="006554EE" w:rsidP="006554EE">
            <w:pPr>
              <w:jc w:val="center"/>
              <w:rPr>
                <w:rFonts w:ascii="Century Gothic" w:hAnsi="Century Gothic" w:cs="Arial"/>
                <w:b/>
                <w:sz w:val="20"/>
                <w:szCs w:val="20"/>
                <w:lang w:val="es-ES"/>
              </w:rPr>
            </w:pPr>
            <w:r w:rsidRPr="008954F2">
              <w:rPr>
                <w:rFonts w:ascii="Century Gothic" w:hAnsi="Century Gothic" w:cs="Arial"/>
                <w:b/>
                <w:sz w:val="20"/>
                <w:szCs w:val="20"/>
                <w:lang w:val="es-ES"/>
              </w:rPr>
              <w:t>Ciudad</w:t>
            </w:r>
          </w:p>
        </w:tc>
        <w:tc>
          <w:tcPr>
            <w:tcW w:w="2977" w:type="dxa"/>
            <w:gridSpan w:val="3"/>
            <w:shd w:val="clear" w:color="auto" w:fill="C2D69B" w:themeFill="accent3" w:themeFillTint="99"/>
          </w:tcPr>
          <w:p w14:paraId="04CA672B" w14:textId="68902871" w:rsidR="006554EE" w:rsidRPr="008954F2" w:rsidRDefault="006554EE" w:rsidP="006554EE">
            <w:pPr>
              <w:jc w:val="center"/>
              <w:rPr>
                <w:rFonts w:ascii="Century Gothic" w:hAnsi="Century Gothic" w:cs="Arial"/>
                <w:b/>
                <w:sz w:val="20"/>
                <w:szCs w:val="20"/>
                <w:lang w:val="es-ES"/>
              </w:rPr>
            </w:pPr>
            <w:r w:rsidRPr="008954F2">
              <w:rPr>
                <w:rFonts w:ascii="Century Gothic" w:hAnsi="Century Gothic" w:cs="Arial"/>
                <w:b/>
                <w:sz w:val="20"/>
                <w:szCs w:val="20"/>
                <w:lang w:val="es-ES"/>
              </w:rPr>
              <w:t>Pobreza</w:t>
            </w:r>
          </w:p>
        </w:tc>
      </w:tr>
      <w:tr w:rsidR="006554EE" w:rsidRPr="008954F2" w14:paraId="69D53961" w14:textId="77777777" w:rsidTr="00DA2F08">
        <w:trPr>
          <w:jc w:val="center"/>
        </w:trPr>
        <w:tc>
          <w:tcPr>
            <w:tcW w:w="1872" w:type="dxa"/>
            <w:vMerge/>
            <w:shd w:val="clear" w:color="auto" w:fill="C2D69B" w:themeFill="accent3" w:themeFillTint="99"/>
          </w:tcPr>
          <w:p w14:paraId="5B4BF746" w14:textId="77777777" w:rsidR="006554EE" w:rsidRPr="008954F2" w:rsidRDefault="006554EE" w:rsidP="009931F5">
            <w:pPr>
              <w:jc w:val="both"/>
              <w:rPr>
                <w:rFonts w:ascii="Century Gothic" w:hAnsi="Century Gothic" w:cs="Arial"/>
                <w:b/>
                <w:sz w:val="20"/>
                <w:szCs w:val="20"/>
                <w:lang w:val="es-ES"/>
              </w:rPr>
            </w:pPr>
          </w:p>
        </w:tc>
        <w:tc>
          <w:tcPr>
            <w:tcW w:w="850" w:type="dxa"/>
            <w:shd w:val="clear" w:color="auto" w:fill="D6E3BC" w:themeFill="accent3" w:themeFillTint="66"/>
          </w:tcPr>
          <w:p w14:paraId="0C5A1C03" w14:textId="66A5CF77" w:rsidR="006554EE" w:rsidRPr="008954F2" w:rsidRDefault="006554EE" w:rsidP="006554EE">
            <w:pPr>
              <w:jc w:val="center"/>
              <w:rPr>
                <w:rFonts w:ascii="Century Gothic" w:hAnsi="Century Gothic" w:cs="Arial"/>
                <w:b/>
                <w:sz w:val="20"/>
                <w:szCs w:val="20"/>
                <w:lang w:val="es-ES"/>
              </w:rPr>
            </w:pPr>
            <w:r w:rsidRPr="008954F2">
              <w:rPr>
                <w:rFonts w:ascii="Century Gothic" w:hAnsi="Century Gothic" w:cs="Arial"/>
                <w:b/>
                <w:sz w:val="20"/>
                <w:szCs w:val="20"/>
                <w:lang w:val="es-ES"/>
              </w:rPr>
              <w:t>2016</w:t>
            </w:r>
          </w:p>
        </w:tc>
        <w:tc>
          <w:tcPr>
            <w:tcW w:w="851" w:type="dxa"/>
            <w:shd w:val="clear" w:color="auto" w:fill="D6E3BC" w:themeFill="accent3" w:themeFillTint="66"/>
          </w:tcPr>
          <w:p w14:paraId="77F161EC" w14:textId="53FE5DF2" w:rsidR="006554EE" w:rsidRPr="008954F2" w:rsidRDefault="006554EE" w:rsidP="006554EE">
            <w:pPr>
              <w:jc w:val="center"/>
              <w:rPr>
                <w:rFonts w:ascii="Century Gothic" w:hAnsi="Century Gothic" w:cs="Arial"/>
                <w:b/>
                <w:sz w:val="20"/>
                <w:szCs w:val="20"/>
                <w:lang w:val="es-ES"/>
              </w:rPr>
            </w:pPr>
            <w:r w:rsidRPr="008954F2">
              <w:rPr>
                <w:rFonts w:ascii="Century Gothic" w:hAnsi="Century Gothic" w:cs="Arial"/>
                <w:b/>
                <w:sz w:val="20"/>
                <w:szCs w:val="20"/>
                <w:lang w:val="es-ES"/>
              </w:rPr>
              <w:t>2017</w:t>
            </w:r>
          </w:p>
        </w:tc>
        <w:tc>
          <w:tcPr>
            <w:tcW w:w="1276" w:type="dxa"/>
            <w:shd w:val="clear" w:color="auto" w:fill="D6E3BC" w:themeFill="accent3" w:themeFillTint="66"/>
          </w:tcPr>
          <w:p w14:paraId="02469BD7" w14:textId="2C19BDFA" w:rsidR="006554EE" w:rsidRPr="008954F2" w:rsidRDefault="006554EE" w:rsidP="006554EE">
            <w:pPr>
              <w:jc w:val="center"/>
              <w:rPr>
                <w:rFonts w:ascii="Century Gothic" w:hAnsi="Century Gothic" w:cs="Arial"/>
                <w:b/>
                <w:sz w:val="20"/>
                <w:szCs w:val="20"/>
                <w:lang w:val="es-ES"/>
              </w:rPr>
            </w:pPr>
            <w:r w:rsidRPr="008954F2">
              <w:rPr>
                <w:rFonts w:ascii="Century Gothic" w:hAnsi="Century Gothic" w:cs="Arial"/>
                <w:b/>
                <w:sz w:val="20"/>
                <w:szCs w:val="20"/>
                <w:lang w:val="es-ES"/>
              </w:rPr>
              <w:t>Diferencia</w:t>
            </w:r>
          </w:p>
        </w:tc>
      </w:tr>
      <w:tr w:rsidR="006554EE" w:rsidRPr="008954F2" w14:paraId="7ADD779F" w14:textId="77777777" w:rsidTr="00DA2F08">
        <w:trPr>
          <w:jc w:val="center"/>
        </w:trPr>
        <w:tc>
          <w:tcPr>
            <w:tcW w:w="1872" w:type="dxa"/>
            <w:shd w:val="clear" w:color="auto" w:fill="D6E3BC" w:themeFill="accent3" w:themeFillTint="66"/>
          </w:tcPr>
          <w:p w14:paraId="54B20725" w14:textId="7ED19CA0" w:rsidR="006554EE" w:rsidRPr="008954F2" w:rsidRDefault="006554EE" w:rsidP="009931F5">
            <w:pPr>
              <w:jc w:val="both"/>
              <w:rPr>
                <w:rFonts w:ascii="Century Gothic" w:hAnsi="Century Gothic" w:cs="Arial"/>
                <w:sz w:val="20"/>
                <w:szCs w:val="20"/>
                <w:lang w:val="es-ES"/>
              </w:rPr>
            </w:pPr>
            <w:r w:rsidRPr="008954F2">
              <w:rPr>
                <w:rFonts w:ascii="Century Gothic" w:hAnsi="Century Gothic" w:cs="Arial"/>
                <w:sz w:val="20"/>
                <w:szCs w:val="20"/>
                <w:lang w:val="es-ES"/>
              </w:rPr>
              <w:t>Pasto</w:t>
            </w:r>
          </w:p>
        </w:tc>
        <w:tc>
          <w:tcPr>
            <w:tcW w:w="850" w:type="dxa"/>
          </w:tcPr>
          <w:p w14:paraId="4CC90BDB" w14:textId="2C1292AC" w:rsidR="006554EE" w:rsidRPr="008954F2" w:rsidRDefault="006554EE" w:rsidP="006554EE">
            <w:pPr>
              <w:jc w:val="right"/>
              <w:rPr>
                <w:rFonts w:ascii="Century Gothic" w:hAnsi="Century Gothic" w:cs="Arial"/>
                <w:sz w:val="20"/>
                <w:szCs w:val="20"/>
                <w:lang w:val="es-ES"/>
              </w:rPr>
            </w:pPr>
            <w:r w:rsidRPr="008954F2">
              <w:rPr>
                <w:rFonts w:ascii="Century Gothic" w:hAnsi="Century Gothic" w:cs="Arial"/>
                <w:sz w:val="20"/>
                <w:szCs w:val="20"/>
                <w:lang w:val="es-ES"/>
              </w:rPr>
              <w:t>23,0</w:t>
            </w:r>
          </w:p>
        </w:tc>
        <w:tc>
          <w:tcPr>
            <w:tcW w:w="851" w:type="dxa"/>
          </w:tcPr>
          <w:p w14:paraId="57D89C3C" w14:textId="4E61A588" w:rsidR="006554EE" w:rsidRPr="008954F2" w:rsidRDefault="006554EE" w:rsidP="006554EE">
            <w:pPr>
              <w:jc w:val="right"/>
              <w:rPr>
                <w:rFonts w:ascii="Century Gothic" w:hAnsi="Century Gothic" w:cs="Arial"/>
                <w:sz w:val="20"/>
                <w:szCs w:val="20"/>
                <w:lang w:val="es-ES"/>
              </w:rPr>
            </w:pPr>
            <w:r w:rsidRPr="008954F2">
              <w:rPr>
                <w:rFonts w:ascii="Century Gothic" w:hAnsi="Century Gothic" w:cs="Arial"/>
                <w:sz w:val="20"/>
                <w:szCs w:val="20"/>
                <w:lang w:val="es-ES"/>
              </w:rPr>
              <w:t>20,2</w:t>
            </w:r>
          </w:p>
        </w:tc>
        <w:tc>
          <w:tcPr>
            <w:tcW w:w="1276" w:type="dxa"/>
          </w:tcPr>
          <w:p w14:paraId="2BEE952C" w14:textId="502199EC" w:rsidR="006554EE" w:rsidRPr="008954F2" w:rsidRDefault="006554EE" w:rsidP="00E769EA">
            <w:pPr>
              <w:jc w:val="right"/>
              <w:rPr>
                <w:rFonts w:ascii="Century Gothic" w:hAnsi="Century Gothic" w:cs="Arial"/>
                <w:sz w:val="20"/>
                <w:szCs w:val="20"/>
                <w:lang w:val="es-ES"/>
              </w:rPr>
            </w:pPr>
            <w:r w:rsidRPr="008954F2">
              <w:rPr>
                <w:rFonts w:ascii="Century Gothic" w:hAnsi="Century Gothic" w:cs="Arial"/>
                <w:sz w:val="20"/>
                <w:szCs w:val="20"/>
                <w:lang w:val="es-ES"/>
              </w:rPr>
              <w:t>(2,8)</w:t>
            </w:r>
          </w:p>
        </w:tc>
      </w:tr>
      <w:tr w:rsidR="006554EE" w:rsidRPr="008954F2" w14:paraId="0D054783" w14:textId="77777777" w:rsidTr="00DA2F08">
        <w:trPr>
          <w:jc w:val="center"/>
        </w:trPr>
        <w:tc>
          <w:tcPr>
            <w:tcW w:w="1872" w:type="dxa"/>
            <w:shd w:val="clear" w:color="auto" w:fill="D6E3BC" w:themeFill="accent3" w:themeFillTint="66"/>
          </w:tcPr>
          <w:p w14:paraId="1D430946" w14:textId="2E5871F4" w:rsidR="006554EE" w:rsidRPr="008954F2" w:rsidRDefault="006554EE" w:rsidP="009931F5">
            <w:pPr>
              <w:jc w:val="both"/>
              <w:rPr>
                <w:rFonts w:ascii="Century Gothic" w:hAnsi="Century Gothic" w:cs="Arial"/>
                <w:sz w:val="20"/>
                <w:szCs w:val="20"/>
                <w:lang w:val="es-ES"/>
              </w:rPr>
            </w:pPr>
            <w:r w:rsidRPr="008954F2">
              <w:rPr>
                <w:rFonts w:ascii="Century Gothic" w:hAnsi="Century Gothic" w:cs="Arial"/>
                <w:sz w:val="20"/>
                <w:szCs w:val="20"/>
                <w:lang w:val="es-ES"/>
              </w:rPr>
              <w:t>Total Nacional</w:t>
            </w:r>
          </w:p>
        </w:tc>
        <w:tc>
          <w:tcPr>
            <w:tcW w:w="850" w:type="dxa"/>
          </w:tcPr>
          <w:p w14:paraId="2FC7754F" w14:textId="6FEB57E6" w:rsidR="006554EE" w:rsidRPr="008954F2" w:rsidRDefault="006554EE" w:rsidP="006554EE">
            <w:pPr>
              <w:jc w:val="right"/>
              <w:rPr>
                <w:rFonts w:ascii="Century Gothic" w:hAnsi="Century Gothic" w:cs="Arial"/>
                <w:sz w:val="20"/>
                <w:szCs w:val="20"/>
                <w:lang w:val="es-ES"/>
              </w:rPr>
            </w:pPr>
            <w:r w:rsidRPr="008954F2">
              <w:rPr>
                <w:rFonts w:ascii="Century Gothic" w:hAnsi="Century Gothic" w:cs="Arial"/>
                <w:sz w:val="20"/>
                <w:szCs w:val="20"/>
                <w:lang w:val="es-ES"/>
              </w:rPr>
              <w:t>28,0</w:t>
            </w:r>
          </w:p>
        </w:tc>
        <w:tc>
          <w:tcPr>
            <w:tcW w:w="851" w:type="dxa"/>
          </w:tcPr>
          <w:p w14:paraId="11EC17FE" w14:textId="2107CEE5" w:rsidR="006554EE" w:rsidRPr="008954F2" w:rsidRDefault="006554EE" w:rsidP="006554EE">
            <w:pPr>
              <w:jc w:val="right"/>
              <w:rPr>
                <w:rFonts w:ascii="Century Gothic" w:hAnsi="Century Gothic" w:cs="Arial"/>
                <w:sz w:val="20"/>
                <w:szCs w:val="20"/>
                <w:lang w:val="es-ES"/>
              </w:rPr>
            </w:pPr>
            <w:r w:rsidRPr="008954F2">
              <w:rPr>
                <w:rFonts w:ascii="Century Gothic" w:hAnsi="Century Gothic" w:cs="Arial"/>
                <w:sz w:val="20"/>
                <w:szCs w:val="20"/>
                <w:lang w:val="es-ES"/>
              </w:rPr>
              <w:t>26,9</w:t>
            </w:r>
          </w:p>
        </w:tc>
        <w:tc>
          <w:tcPr>
            <w:tcW w:w="1276" w:type="dxa"/>
          </w:tcPr>
          <w:p w14:paraId="296118E8" w14:textId="013F864B" w:rsidR="006554EE" w:rsidRPr="008954F2" w:rsidRDefault="00E769EA" w:rsidP="006554EE">
            <w:pPr>
              <w:jc w:val="right"/>
              <w:rPr>
                <w:rFonts w:ascii="Century Gothic" w:hAnsi="Century Gothic" w:cs="Arial"/>
                <w:sz w:val="20"/>
                <w:szCs w:val="20"/>
                <w:lang w:val="es-ES"/>
              </w:rPr>
            </w:pPr>
            <w:r w:rsidRPr="008954F2">
              <w:rPr>
                <w:rFonts w:ascii="Century Gothic" w:hAnsi="Century Gothic" w:cs="Arial"/>
                <w:sz w:val="20"/>
                <w:szCs w:val="20"/>
                <w:lang w:val="es-ES"/>
              </w:rPr>
              <w:t>(1,1)</w:t>
            </w:r>
          </w:p>
        </w:tc>
      </w:tr>
    </w:tbl>
    <w:p w14:paraId="7B0597B9" w14:textId="6AE7E049" w:rsidR="006554EE" w:rsidRPr="001E2110" w:rsidRDefault="006554EE" w:rsidP="00E769EA">
      <w:pPr>
        <w:jc w:val="center"/>
        <w:rPr>
          <w:rFonts w:ascii="Century Gothic" w:hAnsi="Century Gothic" w:cs="Arial"/>
          <w:sz w:val="20"/>
          <w:szCs w:val="20"/>
          <w:lang w:val="es-ES"/>
        </w:rPr>
      </w:pPr>
      <w:r w:rsidRPr="001E2110">
        <w:rPr>
          <w:rFonts w:ascii="Century Gothic" w:hAnsi="Century Gothic" w:cs="Arial"/>
          <w:sz w:val="20"/>
          <w:szCs w:val="20"/>
          <w:lang w:val="es-ES"/>
        </w:rPr>
        <w:t xml:space="preserve">Fuente: </w:t>
      </w:r>
      <w:r w:rsidR="00E769EA" w:rsidRPr="001E2110">
        <w:rPr>
          <w:rFonts w:ascii="Century Gothic" w:hAnsi="Century Gothic" w:cs="Arial"/>
          <w:sz w:val="20"/>
          <w:szCs w:val="20"/>
          <w:lang w:val="es-ES"/>
        </w:rPr>
        <w:t>DANE, cálculos con base en GEIH, tomado del Boletín Técnico de pobreza monetaria y multidimensional en Colombia, 2017.</w:t>
      </w:r>
    </w:p>
    <w:p w14:paraId="0A7DC5A7" w14:textId="7130426A" w:rsidR="006554EE" w:rsidRPr="001E2110" w:rsidRDefault="00732338" w:rsidP="00732338">
      <w:pPr>
        <w:jc w:val="both"/>
        <w:rPr>
          <w:rFonts w:ascii="Century Gothic" w:hAnsi="Century Gothic" w:cs="Arial"/>
          <w:lang w:val="es-ES"/>
        </w:rPr>
      </w:pPr>
      <w:r w:rsidRPr="001E2110">
        <w:rPr>
          <w:rFonts w:ascii="Century Gothic" w:hAnsi="Century Gothic" w:cs="Arial"/>
          <w:lang w:val="es-ES"/>
        </w:rPr>
        <w:t>De igual manera, se observa una disminución del 0,3 por ciento en la incidencia de la pobreza monetaria extrema, al pasar de 3,2 por ciento en el año 2016 a 2,9 por ciento en el año 2017</w:t>
      </w:r>
      <w:r w:rsidR="003D7CA0" w:rsidRPr="001E2110">
        <w:rPr>
          <w:rFonts w:ascii="Century Gothic" w:hAnsi="Century Gothic" w:cs="Arial"/>
          <w:lang w:val="es-ES"/>
        </w:rPr>
        <w:t xml:space="preserve"> y registrando </w:t>
      </w:r>
      <w:r w:rsidR="00346EA3" w:rsidRPr="001E2110">
        <w:rPr>
          <w:rFonts w:ascii="Century Gothic" w:hAnsi="Century Gothic" w:cs="Arial"/>
          <w:lang w:val="es-ES"/>
        </w:rPr>
        <w:t>4,</w:t>
      </w:r>
      <w:r w:rsidR="003D7CA0" w:rsidRPr="001E2110">
        <w:rPr>
          <w:rFonts w:ascii="Century Gothic" w:hAnsi="Century Gothic" w:cs="Arial"/>
          <w:lang w:val="es-ES"/>
        </w:rPr>
        <w:t>5 por ciento menos que el total nacional.</w:t>
      </w:r>
    </w:p>
    <w:p w14:paraId="34A36318" w14:textId="70C6C071" w:rsidR="003D7CA0" w:rsidRPr="001E2110" w:rsidRDefault="003D7CA0" w:rsidP="003D7CA0">
      <w:pPr>
        <w:pStyle w:val="Epgrafe"/>
        <w:spacing w:after="0"/>
        <w:jc w:val="center"/>
        <w:rPr>
          <w:rFonts w:ascii="Century Gothic" w:hAnsi="Century Gothic" w:cs="Arial"/>
          <w:b w:val="0"/>
          <w:color w:val="auto"/>
          <w:sz w:val="22"/>
          <w:szCs w:val="22"/>
          <w:lang w:val="es-ES"/>
        </w:rPr>
      </w:pPr>
      <w:bookmarkStart w:id="7" w:name="_Toc532570496"/>
      <w:r w:rsidRPr="001E2110">
        <w:rPr>
          <w:rFonts w:ascii="Century Gothic" w:hAnsi="Century Gothic"/>
          <w:b w:val="0"/>
          <w:color w:val="auto"/>
          <w:sz w:val="22"/>
          <w:szCs w:val="22"/>
          <w:lang w:val="es-ES"/>
        </w:rPr>
        <w:t xml:space="preserve">Tabla </w:t>
      </w:r>
      <w:r w:rsidRPr="001E2110">
        <w:rPr>
          <w:rFonts w:ascii="Century Gothic" w:hAnsi="Century Gothic"/>
          <w:b w:val="0"/>
          <w:color w:val="auto"/>
          <w:sz w:val="22"/>
          <w:szCs w:val="22"/>
          <w:lang w:val="es-ES"/>
        </w:rPr>
        <w:fldChar w:fldCharType="begin"/>
      </w:r>
      <w:r w:rsidRPr="001E2110">
        <w:rPr>
          <w:rFonts w:ascii="Century Gothic" w:hAnsi="Century Gothic"/>
          <w:b w:val="0"/>
          <w:color w:val="auto"/>
          <w:sz w:val="22"/>
          <w:szCs w:val="22"/>
          <w:lang w:val="es-ES"/>
        </w:rPr>
        <w:instrText xml:space="preserve"> SEQ Tabla \* ARABIC </w:instrText>
      </w:r>
      <w:r w:rsidRPr="001E2110">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5</w:t>
      </w:r>
      <w:r w:rsidRPr="001E2110">
        <w:rPr>
          <w:rFonts w:ascii="Century Gothic" w:hAnsi="Century Gothic"/>
          <w:b w:val="0"/>
          <w:color w:val="auto"/>
          <w:sz w:val="22"/>
          <w:szCs w:val="22"/>
          <w:lang w:val="es-ES"/>
        </w:rPr>
        <w:fldChar w:fldCharType="end"/>
      </w:r>
      <w:r w:rsidRPr="001E2110">
        <w:rPr>
          <w:rFonts w:ascii="Century Gothic" w:hAnsi="Century Gothic"/>
          <w:b w:val="0"/>
          <w:color w:val="auto"/>
          <w:sz w:val="22"/>
          <w:szCs w:val="22"/>
          <w:lang w:val="es-ES"/>
        </w:rPr>
        <w:t>. Incidencia de la pobreza monetaria extrema</w:t>
      </w:r>
      <w:bookmarkEnd w:id="7"/>
    </w:p>
    <w:tbl>
      <w:tblPr>
        <w:tblStyle w:val="Tablaconcuadrcula"/>
        <w:tblW w:w="0" w:type="auto"/>
        <w:jc w:val="center"/>
        <w:tblLook w:val="04A0" w:firstRow="1" w:lastRow="0" w:firstColumn="1" w:lastColumn="0" w:noHBand="0" w:noVBand="1"/>
      </w:tblPr>
      <w:tblGrid>
        <w:gridCol w:w="1872"/>
        <w:gridCol w:w="850"/>
        <w:gridCol w:w="851"/>
        <w:gridCol w:w="1417"/>
      </w:tblGrid>
      <w:tr w:rsidR="003D7CA0" w:rsidRPr="008954F2" w14:paraId="286F13FB" w14:textId="77777777" w:rsidTr="00DA2F08">
        <w:trPr>
          <w:jc w:val="center"/>
        </w:trPr>
        <w:tc>
          <w:tcPr>
            <w:tcW w:w="1872" w:type="dxa"/>
            <w:vMerge w:val="restart"/>
            <w:shd w:val="clear" w:color="auto" w:fill="C2D69B" w:themeFill="accent3" w:themeFillTint="99"/>
            <w:vAlign w:val="center"/>
          </w:tcPr>
          <w:p w14:paraId="7B1D5746" w14:textId="77777777" w:rsidR="003D7CA0" w:rsidRPr="008954F2" w:rsidRDefault="003D7CA0" w:rsidP="000256CC">
            <w:pPr>
              <w:jc w:val="center"/>
              <w:rPr>
                <w:rFonts w:ascii="Century Gothic" w:hAnsi="Century Gothic" w:cs="Arial"/>
                <w:b/>
                <w:sz w:val="20"/>
                <w:szCs w:val="20"/>
                <w:lang w:val="es-ES"/>
              </w:rPr>
            </w:pPr>
            <w:r w:rsidRPr="008954F2">
              <w:rPr>
                <w:rFonts w:ascii="Century Gothic" w:hAnsi="Century Gothic" w:cs="Arial"/>
                <w:b/>
                <w:sz w:val="20"/>
                <w:szCs w:val="20"/>
                <w:lang w:val="es-ES"/>
              </w:rPr>
              <w:t>Ciudad</w:t>
            </w:r>
          </w:p>
        </w:tc>
        <w:tc>
          <w:tcPr>
            <w:tcW w:w="3118" w:type="dxa"/>
            <w:gridSpan w:val="3"/>
            <w:shd w:val="clear" w:color="auto" w:fill="C2D69B" w:themeFill="accent3" w:themeFillTint="99"/>
          </w:tcPr>
          <w:p w14:paraId="2FAA042E" w14:textId="77777777" w:rsidR="003D7CA0" w:rsidRPr="008954F2" w:rsidRDefault="003D7CA0" w:rsidP="000256CC">
            <w:pPr>
              <w:jc w:val="center"/>
              <w:rPr>
                <w:rFonts w:ascii="Century Gothic" w:hAnsi="Century Gothic" w:cs="Arial"/>
                <w:b/>
                <w:sz w:val="20"/>
                <w:szCs w:val="20"/>
                <w:lang w:val="es-ES"/>
              </w:rPr>
            </w:pPr>
            <w:r w:rsidRPr="008954F2">
              <w:rPr>
                <w:rFonts w:ascii="Century Gothic" w:hAnsi="Century Gothic" w:cs="Arial"/>
                <w:b/>
                <w:sz w:val="20"/>
                <w:szCs w:val="20"/>
                <w:lang w:val="es-ES"/>
              </w:rPr>
              <w:t>Pobreza</w:t>
            </w:r>
          </w:p>
        </w:tc>
      </w:tr>
      <w:tr w:rsidR="003D7CA0" w:rsidRPr="008954F2" w14:paraId="3B48ABB6" w14:textId="77777777" w:rsidTr="00DA2F08">
        <w:trPr>
          <w:jc w:val="center"/>
        </w:trPr>
        <w:tc>
          <w:tcPr>
            <w:tcW w:w="1872" w:type="dxa"/>
            <w:vMerge/>
            <w:shd w:val="clear" w:color="auto" w:fill="365F91" w:themeFill="accent1" w:themeFillShade="BF"/>
          </w:tcPr>
          <w:p w14:paraId="485E51A9" w14:textId="77777777" w:rsidR="003D7CA0" w:rsidRPr="008954F2" w:rsidRDefault="003D7CA0" w:rsidP="000256CC">
            <w:pPr>
              <w:jc w:val="both"/>
              <w:rPr>
                <w:rFonts w:ascii="Century Gothic" w:hAnsi="Century Gothic" w:cs="Arial"/>
                <w:b/>
                <w:sz w:val="20"/>
                <w:szCs w:val="20"/>
                <w:lang w:val="es-ES"/>
              </w:rPr>
            </w:pPr>
          </w:p>
        </w:tc>
        <w:tc>
          <w:tcPr>
            <w:tcW w:w="850" w:type="dxa"/>
            <w:shd w:val="clear" w:color="auto" w:fill="D6E3BC" w:themeFill="accent3" w:themeFillTint="66"/>
          </w:tcPr>
          <w:p w14:paraId="656F9330" w14:textId="77777777" w:rsidR="003D7CA0" w:rsidRPr="008954F2" w:rsidRDefault="003D7CA0" w:rsidP="000256CC">
            <w:pPr>
              <w:jc w:val="center"/>
              <w:rPr>
                <w:rFonts w:ascii="Century Gothic" w:hAnsi="Century Gothic" w:cs="Arial"/>
                <w:b/>
                <w:sz w:val="20"/>
                <w:szCs w:val="20"/>
                <w:lang w:val="es-ES"/>
              </w:rPr>
            </w:pPr>
            <w:r w:rsidRPr="008954F2">
              <w:rPr>
                <w:rFonts w:ascii="Century Gothic" w:hAnsi="Century Gothic" w:cs="Arial"/>
                <w:b/>
                <w:sz w:val="20"/>
                <w:szCs w:val="20"/>
                <w:lang w:val="es-ES"/>
              </w:rPr>
              <w:t>2016</w:t>
            </w:r>
          </w:p>
        </w:tc>
        <w:tc>
          <w:tcPr>
            <w:tcW w:w="851" w:type="dxa"/>
            <w:shd w:val="clear" w:color="auto" w:fill="D6E3BC" w:themeFill="accent3" w:themeFillTint="66"/>
          </w:tcPr>
          <w:p w14:paraId="046E8DA1" w14:textId="77777777" w:rsidR="003D7CA0" w:rsidRPr="008954F2" w:rsidRDefault="003D7CA0" w:rsidP="000256CC">
            <w:pPr>
              <w:jc w:val="center"/>
              <w:rPr>
                <w:rFonts w:ascii="Century Gothic" w:hAnsi="Century Gothic" w:cs="Arial"/>
                <w:b/>
                <w:sz w:val="20"/>
                <w:szCs w:val="20"/>
                <w:lang w:val="es-ES"/>
              </w:rPr>
            </w:pPr>
            <w:r w:rsidRPr="008954F2">
              <w:rPr>
                <w:rFonts w:ascii="Century Gothic" w:hAnsi="Century Gothic" w:cs="Arial"/>
                <w:b/>
                <w:sz w:val="20"/>
                <w:szCs w:val="20"/>
                <w:lang w:val="es-ES"/>
              </w:rPr>
              <w:t>2017</w:t>
            </w:r>
          </w:p>
        </w:tc>
        <w:tc>
          <w:tcPr>
            <w:tcW w:w="1417" w:type="dxa"/>
            <w:shd w:val="clear" w:color="auto" w:fill="D6E3BC" w:themeFill="accent3" w:themeFillTint="66"/>
          </w:tcPr>
          <w:p w14:paraId="203C1043" w14:textId="77777777" w:rsidR="003D7CA0" w:rsidRPr="008954F2" w:rsidRDefault="003D7CA0" w:rsidP="000256CC">
            <w:pPr>
              <w:jc w:val="center"/>
              <w:rPr>
                <w:rFonts w:ascii="Century Gothic" w:hAnsi="Century Gothic" w:cs="Arial"/>
                <w:b/>
                <w:sz w:val="20"/>
                <w:szCs w:val="20"/>
                <w:lang w:val="es-ES"/>
              </w:rPr>
            </w:pPr>
            <w:r w:rsidRPr="008954F2">
              <w:rPr>
                <w:rFonts w:ascii="Century Gothic" w:hAnsi="Century Gothic" w:cs="Arial"/>
                <w:b/>
                <w:sz w:val="20"/>
                <w:szCs w:val="20"/>
                <w:lang w:val="es-ES"/>
              </w:rPr>
              <w:t>Diferencia</w:t>
            </w:r>
          </w:p>
        </w:tc>
      </w:tr>
      <w:tr w:rsidR="003D7CA0" w:rsidRPr="008954F2" w14:paraId="541D032A" w14:textId="77777777" w:rsidTr="00DA2F08">
        <w:trPr>
          <w:jc w:val="center"/>
        </w:trPr>
        <w:tc>
          <w:tcPr>
            <w:tcW w:w="1872" w:type="dxa"/>
            <w:shd w:val="clear" w:color="auto" w:fill="D6E3BC" w:themeFill="accent3" w:themeFillTint="66"/>
          </w:tcPr>
          <w:p w14:paraId="6DF048FE" w14:textId="77777777" w:rsidR="003D7CA0" w:rsidRPr="008954F2" w:rsidRDefault="003D7CA0" w:rsidP="000256CC">
            <w:pPr>
              <w:jc w:val="both"/>
              <w:rPr>
                <w:rFonts w:ascii="Century Gothic" w:hAnsi="Century Gothic" w:cs="Arial"/>
                <w:sz w:val="20"/>
                <w:szCs w:val="20"/>
                <w:lang w:val="es-ES"/>
              </w:rPr>
            </w:pPr>
            <w:r w:rsidRPr="008954F2">
              <w:rPr>
                <w:rFonts w:ascii="Century Gothic" w:hAnsi="Century Gothic" w:cs="Arial"/>
                <w:sz w:val="20"/>
                <w:szCs w:val="20"/>
                <w:lang w:val="es-ES"/>
              </w:rPr>
              <w:t>Pasto</w:t>
            </w:r>
          </w:p>
        </w:tc>
        <w:tc>
          <w:tcPr>
            <w:tcW w:w="850" w:type="dxa"/>
          </w:tcPr>
          <w:p w14:paraId="362D3D59" w14:textId="79222BF1" w:rsidR="003D7CA0" w:rsidRPr="008954F2" w:rsidRDefault="003D7CA0" w:rsidP="003D7CA0">
            <w:pPr>
              <w:jc w:val="right"/>
              <w:rPr>
                <w:rFonts w:ascii="Century Gothic" w:hAnsi="Century Gothic" w:cs="Arial"/>
                <w:sz w:val="20"/>
                <w:szCs w:val="20"/>
                <w:lang w:val="es-ES"/>
              </w:rPr>
            </w:pPr>
            <w:r w:rsidRPr="008954F2">
              <w:rPr>
                <w:rFonts w:ascii="Century Gothic" w:hAnsi="Century Gothic" w:cs="Arial"/>
                <w:sz w:val="20"/>
                <w:szCs w:val="20"/>
                <w:lang w:val="es-ES"/>
              </w:rPr>
              <w:t>3,2</w:t>
            </w:r>
          </w:p>
        </w:tc>
        <w:tc>
          <w:tcPr>
            <w:tcW w:w="851" w:type="dxa"/>
          </w:tcPr>
          <w:p w14:paraId="00974997" w14:textId="5EDEF354" w:rsidR="003D7CA0" w:rsidRPr="008954F2" w:rsidRDefault="003D7CA0" w:rsidP="003D7CA0">
            <w:pPr>
              <w:jc w:val="right"/>
              <w:rPr>
                <w:rFonts w:ascii="Century Gothic" w:hAnsi="Century Gothic" w:cs="Arial"/>
                <w:sz w:val="20"/>
                <w:szCs w:val="20"/>
                <w:lang w:val="es-ES"/>
              </w:rPr>
            </w:pPr>
            <w:r w:rsidRPr="008954F2">
              <w:rPr>
                <w:rFonts w:ascii="Century Gothic" w:hAnsi="Century Gothic" w:cs="Arial"/>
                <w:sz w:val="20"/>
                <w:szCs w:val="20"/>
                <w:lang w:val="es-ES"/>
              </w:rPr>
              <w:t>2,9</w:t>
            </w:r>
          </w:p>
        </w:tc>
        <w:tc>
          <w:tcPr>
            <w:tcW w:w="1417" w:type="dxa"/>
          </w:tcPr>
          <w:p w14:paraId="46EED98E" w14:textId="2777AFA3" w:rsidR="003D7CA0" w:rsidRPr="008954F2" w:rsidRDefault="003D7CA0" w:rsidP="003D7CA0">
            <w:pPr>
              <w:jc w:val="right"/>
              <w:rPr>
                <w:rFonts w:ascii="Century Gothic" w:hAnsi="Century Gothic" w:cs="Arial"/>
                <w:sz w:val="20"/>
                <w:szCs w:val="20"/>
                <w:lang w:val="es-ES"/>
              </w:rPr>
            </w:pPr>
            <w:r w:rsidRPr="008954F2">
              <w:rPr>
                <w:rFonts w:ascii="Century Gothic" w:hAnsi="Century Gothic" w:cs="Arial"/>
                <w:sz w:val="20"/>
                <w:szCs w:val="20"/>
                <w:lang w:val="es-ES"/>
              </w:rPr>
              <w:t>(0,3</w:t>
            </w:r>
            <w:r w:rsidR="00E769EA" w:rsidRPr="008954F2">
              <w:rPr>
                <w:rFonts w:ascii="Century Gothic" w:hAnsi="Century Gothic" w:cs="Arial"/>
                <w:sz w:val="20"/>
                <w:szCs w:val="20"/>
                <w:lang w:val="es-ES"/>
              </w:rPr>
              <w:t>)</w:t>
            </w:r>
          </w:p>
        </w:tc>
      </w:tr>
      <w:tr w:rsidR="003D7CA0" w:rsidRPr="008954F2" w14:paraId="3646296A" w14:textId="77777777" w:rsidTr="00DA2F08">
        <w:trPr>
          <w:jc w:val="center"/>
        </w:trPr>
        <w:tc>
          <w:tcPr>
            <w:tcW w:w="1872" w:type="dxa"/>
            <w:shd w:val="clear" w:color="auto" w:fill="D6E3BC" w:themeFill="accent3" w:themeFillTint="66"/>
          </w:tcPr>
          <w:p w14:paraId="780F3ABF" w14:textId="77777777" w:rsidR="003D7CA0" w:rsidRPr="008954F2" w:rsidRDefault="003D7CA0" w:rsidP="000256CC">
            <w:pPr>
              <w:jc w:val="both"/>
              <w:rPr>
                <w:rFonts w:ascii="Century Gothic" w:hAnsi="Century Gothic" w:cs="Arial"/>
                <w:sz w:val="20"/>
                <w:szCs w:val="20"/>
                <w:lang w:val="es-ES"/>
              </w:rPr>
            </w:pPr>
            <w:r w:rsidRPr="008954F2">
              <w:rPr>
                <w:rFonts w:ascii="Century Gothic" w:hAnsi="Century Gothic" w:cs="Arial"/>
                <w:sz w:val="20"/>
                <w:szCs w:val="20"/>
                <w:lang w:val="es-ES"/>
              </w:rPr>
              <w:t>Total Nacional</w:t>
            </w:r>
          </w:p>
        </w:tc>
        <w:tc>
          <w:tcPr>
            <w:tcW w:w="850" w:type="dxa"/>
          </w:tcPr>
          <w:p w14:paraId="7B4D9F14" w14:textId="06326A93" w:rsidR="003D7CA0" w:rsidRPr="008954F2" w:rsidRDefault="003D7CA0" w:rsidP="003D7CA0">
            <w:pPr>
              <w:jc w:val="right"/>
              <w:rPr>
                <w:rFonts w:ascii="Century Gothic" w:hAnsi="Century Gothic" w:cs="Arial"/>
                <w:sz w:val="20"/>
                <w:szCs w:val="20"/>
                <w:lang w:val="es-ES"/>
              </w:rPr>
            </w:pPr>
            <w:r w:rsidRPr="008954F2">
              <w:rPr>
                <w:rFonts w:ascii="Century Gothic" w:hAnsi="Century Gothic" w:cs="Arial"/>
                <w:sz w:val="20"/>
                <w:szCs w:val="20"/>
                <w:lang w:val="es-ES"/>
              </w:rPr>
              <w:t>8,5</w:t>
            </w:r>
          </w:p>
        </w:tc>
        <w:tc>
          <w:tcPr>
            <w:tcW w:w="851" w:type="dxa"/>
          </w:tcPr>
          <w:p w14:paraId="6BDCBF78" w14:textId="6670B761" w:rsidR="003D7CA0" w:rsidRPr="008954F2" w:rsidRDefault="003D7CA0" w:rsidP="003D7CA0">
            <w:pPr>
              <w:jc w:val="right"/>
              <w:rPr>
                <w:rFonts w:ascii="Century Gothic" w:hAnsi="Century Gothic" w:cs="Arial"/>
                <w:sz w:val="20"/>
                <w:szCs w:val="20"/>
                <w:lang w:val="es-ES"/>
              </w:rPr>
            </w:pPr>
            <w:r w:rsidRPr="008954F2">
              <w:rPr>
                <w:rFonts w:ascii="Century Gothic" w:hAnsi="Century Gothic" w:cs="Arial"/>
                <w:sz w:val="20"/>
                <w:szCs w:val="20"/>
                <w:lang w:val="es-ES"/>
              </w:rPr>
              <w:t>7,4</w:t>
            </w:r>
          </w:p>
        </w:tc>
        <w:tc>
          <w:tcPr>
            <w:tcW w:w="1417" w:type="dxa"/>
          </w:tcPr>
          <w:p w14:paraId="0EAA4C84" w14:textId="32352299" w:rsidR="003D7CA0" w:rsidRPr="008954F2" w:rsidRDefault="00E769EA" w:rsidP="000256CC">
            <w:pPr>
              <w:jc w:val="right"/>
              <w:rPr>
                <w:rFonts w:ascii="Century Gothic" w:hAnsi="Century Gothic" w:cs="Arial"/>
                <w:sz w:val="20"/>
                <w:szCs w:val="20"/>
                <w:lang w:val="es-ES"/>
              </w:rPr>
            </w:pPr>
            <w:r w:rsidRPr="008954F2">
              <w:rPr>
                <w:rFonts w:ascii="Century Gothic" w:hAnsi="Century Gothic" w:cs="Arial"/>
                <w:sz w:val="20"/>
                <w:szCs w:val="20"/>
                <w:lang w:val="es-ES"/>
              </w:rPr>
              <w:t>(1,1)</w:t>
            </w:r>
          </w:p>
        </w:tc>
      </w:tr>
    </w:tbl>
    <w:p w14:paraId="3CAF8998" w14:textId="0159F4F5" w:rsidR="003D7CA0" w:rsidRPr="001E2110" w:rsidRDefault="003D7CA0" w:rsidP="003D3EFA">
      <w:pPr>
        <w:jc w:val="center"/>
        <w:rPr>
          <w:rFonts w:ascii="Century Gothic" w:hAnsi="Century Gothic" w:cs="Arial"/>
          <w:sz w:val="20"/>
          <w:szCs w:val="20"/>
          <w:lang w:val="es-ES"/>
        </w:rPr>
      </w:pPr>
      <w:r w:rsidRPr="001E2110">
        <w:rPr>
          <w:rFonts w:ascii="Century Gothic" w:hAnsi="Century Gothic" w:cs="Arial"/>
          <w:sz w:val="20"/>
          <w:szCs w:val="20"/>
          <w:lang w:val="es-ES"/>
        </w:rPr>
        <w:t xml:space="preserve">Fuente: </w:t>
      </w:r>
      <w:r w:rsidR="00E769EA" w:rsidRPr="001E2110">
        <w:rPr>
          <w:rFonts w:ascii="Century Gothic" w:hAnsi="Century Gothic" w:cs="Arial"/>
          <w:sz w:val="20"/>
          <w:szCs w:val="20"/>
          <w:lang w:val="es-ES"/>
        </w:rPr>
        <w:t>DANE, cálculos con base en GEIH, tomado del Boletín Técnico de pobreza monetaria y multidimensional en Colombia, 2017.</w:t>
      </w:r>
    </w:p>
    <w:p w14:paraId="6370CC39" w14:textId="67EE0A6B" w:rsidR="00346EA3" w:rsidRPr="001E2110" w:rsidRDefault="00346EA3" w:rsidP="009931F5">
      <w:pPr>
        <w:jc w:val="both"/>
        <w:rPr>
          <w:rFonts w:ascii="Century Gothic" w:hAnsi="Century Gothic" w:cs="Arial"/>
          <w:lang w:val="es-ES"/>
        </w:rPr>
      </w:pPr>
      <w:r w:rsidRPr="001E2110">
        <w:rPr>
          <w:rFonts w:ascii="Century Gothic" w:hAnsi="Century Gothic" w:cs="Arial"/>
          <w:lang w:val="es-ES"/>
        </w:rPr>
        <w:t>En la siguiente tabla, se evidencia que el valor agregado municipal por grandes ramas de actividad económica se concentra principalmente en actividades de servicios sociales y personales y en actividades de comercio, reparación, restaurantes y hoteles, con 28,35 y 28,31 por ciento respectivamente, Por el contrario, las ramas de actividad que presentan una menor participación es la explotación de minas y canteras (0,51%)</w:t>
      </w:r>
      <w:r w:rsidRPr="001E2110">
        <w:rPr>
          <w:rStyle w:val="Refdenotaalpie"/>
          <w:rFonts w:ascii="Century Gothic" w:hAnsi="Century Gothic" w:cs="Arial"/>
          <w:lang w:val="es-ES"/>
        </w:rPr>
        <w:footnoteReference w:id="8"/>
      </w:r>
      <w:r w:rsidRPr="001E2110">
        <w:rPr>
          <w:rFonts w:ascii="Century Gothic" w:hAnsi="Century Gothic" w:cs="Arial"/>
          <w:lang w:val="es-ES"/>
        </w:rPr>
        <w:t>.</w:t>
      </w:r>
    </w:p>
    <w:p w14:paraId="3EC8E1D9" w14:textId="464C7C1E" w:rsidR="001E14F9" w:rsidRPr="001E2110" w:rsidRDefault="00A63FB0" w:rsidP="00F01226">
      <w:pPr>
        <w:pStyle w:val="Epgrafe"/>
        <w:spacing w:after="0"/>
        <w:jc w:val="center"/>
        <w:rPr>
          <w:rFonts w:ascii="Century Gothic" w:hAnsi="Century Gothic" w:cs="Arial"/>
          <w:b w:val="0"/>
          <w:color w:val="auto"/>
          <w:sz w:val="22"/>
          <w:szCs w:val="22"/>
          <w:lang w:val="es-ES"/>
        </w:rPr>
      </w:pPr>
      <w:bookmarkStart w:id="8" w:name="_Toc532570497"/>
      <w:r w:rsidRPr="001E2110">
        <w:rPr>
          <w:rFonts w:ascii="Century Gothic" w:hAnsi="Century Gothic"/>
          <w:b w:val="0"/>
          <w:color w:val="auto"/>
          <w:sz w:val="22"/>
          <w:szCs w:val="22"/>
          <w:lang w:val="es-ES"/>
        </w:rPr>
        <w:t xml:space="preserve">Tabla </w:t>
      </w:r>
      <w:r w:rsidRPr="001E2110">
        <w:rPr>
          <w:rFonts w:ascii="Century Gothic" w:hAnsi="Century Gothic"/>
          <w:b w:val="0"/>
          <w:color w:val="auto"/>
          <w:sz w:val="22"/>
          <w:szCs w:val="22"/>
          <w:lang w:val="es-ES"/>
        </w:rPr>
        <w:fldChar w:fldCharType="begin"/>
      </w:r>
      <w:r w:rsidRPr="001E2110">
        <w:rPr>
          <w:rFonts w:ascii="Century Gothic" w:hAnsi="Century Gothic"/>
          <w:b w:val="0"/>
          <w:color w:val="auto"/>
          <w:sz w:val="22"/>
          <w:szCs w:val="22"/>
          <w:lang w:val="es-ES"/>
        </w:rPr>
        <w:instrText xml:space="preserve"> SEQ Tabla \* ARABIC </w:instrText>
      </w:r>
      <w:r w:rsidRPr="001E2110">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6</w:t>
      </w:r>
      <w:r w:rsidRPr="001E2110">
        <w:rPr>
          <w:rFonts w:ascii="Century Gothic" w:hAnsi="Century Gothic"/>
          <w:b w:val="0"/>
          <w:color w:val="auto"/>
          <w:sz w:val="22"/>
          <w:szCs w:val="22"/>
          <w:lang w:val="es-ES"/>
        </w:rPr>
        <w:fldChar w:fldCharType="end"/>
      </w:r>
      <w:r w:rsidRPr="001E2110">
        <w:rPr>
          <w:rFonts w:ascii="Century Gothic" w:hAnsi="Century Gothic"/>
          <w:b w:val="0"/>
          <w:color w:val="auto"/>
          <w:sz w:val="22"/>
          <w:szCs w:val="22"/>
          <w:lang w:val="es-ES"/>
        </w:rPr>
        <w:t xml:space="preserve">. </w:t>
      </w:r>
      <w:r w:rsidR="001E14F9" w:rsidRPr="001E2110">
        <w:rPr>
          <w:rFonts w:ascii="Century Gothic" w:hAnsi="Century Gothic" w:cs="Arial"/>
          <w:b w:val="0"/>
          <w:color w:val="auto"/>
          <w:sz w:val="22"/>
          <w:szCs w:val="22"/>
          <w:lang w:val="es-ES"/>
        </w:rPr>
        <w:t>Población ocupada según ramas de actividad, 2016</w:t>
      </w:r>
      <w:bookmarkEnd w:id="8"/>
    </w:p>
    <w:tbl>
      <w:tblPr>
        <w:tblStyle w:val="Tablaconcuadrcula"/>
        <w:tblW w:w="0" w:type="auto"/>
        <w:jc w:val="center"/>
        <w:tblLook w:val="04A0" w:firstRow="1" w:lastRow="0" w:firstColumn="1" w:lastColumn="0" w:noHBand="0" w:noVBand="1"/>
      </w:tblPr>
      <w:tblGrid>
        <w:gridCol w:w="5949"/>
        <w:gridCol w:w="850"/>
      </w:tblGrid>
      <w:tr w:rsidR="00C6596F" w:rsidRPr="008954F2" w14:paraId="4665C806" w14:textId="77777777" w:rsidTr="008954F2">
        <w:trPr>
          <w:trHeight w:val="20"/>
          <w:jc w:val="center"/>
        </w:trPr>
        <w:tc>
          <w:tcPr>
            <w:tcW w:w="5949" w:type="dxa"/>
            <w:shd w:val="clear" w:color="auto" w:fill="C2D69B" w:themeFill="accent3" w:themeFillTint="99"/>
            <w:vAlign w:val="center"/>
          </w:tcPr>
          <w:p w14:paraId="3B8D2842" w14:textId="77777777" w:rsidR="00C6596F" w:rsidRPr="008954F2" w:rsidRDefault="00C6596F" w:rsidP="00A63FB0">
            <w:pPr>
              <w:spacing w:line="276" w:lineRule="auto"/>
              <w:jc w:val="center"/>
              <w:rPr>
                <w:rFonts w:ascii="Century Gothic" w:hAnsi="Century Gothic" w:cs="Arial"/>
                <w:b/>
                <w:sz w:val="20"/>
                <w:szCs w:val="22"/>
                <w:lang w:val="es-ES"/>
              </w:rPr>
            </w:pPr>
            <w:r w:rsidRPr="008954F2">
              <w:rPr>
                <w:rFonts w:ascii="Century Gothic" w:hAnsi="Century Gothic" w:cs="Arial"/>
                <w:b/>
                <w:sz w:val="20"/>
                <w:szCs w:val="22"/>
                <w:lang w:val="es-ES"/>
              </w:rPr>
              <w:t>Concepto</w:t>
            </w:r>
          </w:p>
        </w:tc>
        <w:tc>
          <w:tcPr>
            <w:tcW w:w="850" w:type="dxa"/>
            <w:shd w:val="clear" w:color="auto" w:fill="C2D69B" w:themeFill="accent3" w:themeFillTint="99"/>
            <w:vAlign w:val="center"/>
          </w:tcPr>
          <w:p w14:paraId="314E516E" w14:textId="60954B98" w:rsidR="00C6596F" w:rsidRPr="008954F2" w:rsidRDefault="00C6596F" w:rsidP="00A63FB0">
            <w:pPr>
              <w:spacing w:line="276" w:lineRule="auto"/>
              <w:jc w:val="center"/>
              <w:rPr>
                <w:rFonts w:ascii="Century Gothic" w:hAnsi="Century Gothic" w:cs="Arial"/>
                <w:b/>
                <w:sz w:val="20"/>
                <w:szCs w:val="22"/>
                <w:lang w:val="es-ES"/>
              </w:rPr>
            </w:pPr>
            <w:r w:rsidRPr="008954F2">
              <w:rPr>
                <w:rFonts w:ascii="Century Gothic" w:hAnsi="Century Gothic" w:cs="Arial"/>
                <w:b/>
                <w:sz w:val="20"/>
                <w:szCs w:val="22"/>
                <w:lang w:val="es-ES"/>
              </w:rPr>
              <w:t>%</w:t>
            </w:r>
          </w:p>
        </w:tc>
      </w:tr>
      <w:tr w:rsidR="00C6596F" w:rsidRPr="008954F2" w14:paraId="385AB257" w14:textId="77777777" w:rsidTr="008954F2">
        <w:trPr>
          <w:trHeight w:val="20"/>
          <w:jc w:val="center"/>
        </w:trPr>
        <w:tc>
          <w:tcPr>
            <w:tcW w:w="5949" w:type="dxa"/>
            <w:shd w:val="clear" w:color="auto" w:fill="D6E3BC" w:themeFill="accent3" w:themeFillTint="66"/>
          </w:tcPr>
          <w:p w14:paraId="7C45AEC1" w14:textId="52E09620" w:rsidR="00C6596F" w:rsidRPr="008954F2" w:rsidRDefault="00C6596F" w:rsidP="009931F5">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 xml:space="preserve">Actividades de servicios sociales y personales </w:t>
            </w:r>
          </w:p>
        </w:tc>
        <w:tc>
          <w:tcPr>
            <w:tcW w:w="850" w:type="dxa"/>
          </w:tcPr>
          <w:p w14:paraId="184E1D86" w14:textId="0BEC2352" w:rsidR="00C6596F" w:rsidRPr="008954F2" w:rsidRDefault="0037382F" w:rsidP="009931F5">
            <w:pPr>
              <w:jc w:val="right"/>
              <w:rPr>
                <w:rFonts w:ascii="Century Gothic" w:hAnsi="Century Gothic" w:cs="Arial"/>
                <w:sz w:val="20"/>
                <w:szCs w:val="22"/>
                <w:lang w:val="es-ES"/>
              </w:rPr>
            </w:pPr>
            <w:r w:rsidRPr="008954F2">
              <w:rPr>
                <w:rFonts w:ascii="Century Gothic" w:hAnsi="Century Gothic" w:cs="Arial"/>
                <w:sz w:val="20"/>
                <w:szCs w:val="22"/>
                <w:lang w:val="es-ES"/>
              </w:rPr>
              <w:t>28,</w:t>
            </w:r>
            <w:r w:rsidR="00C6596F" w:rsidRPr="008954F2">
              <w:rPr>
                <w:rFonts w:ascii="Century Gothic" w:hAnsi="Century Gothic" w:cs="Arial"/>
                <w:sz w:val="20"/>
                <w:szCs w:val="22"/>
                <w:lang w:val="es-ES"/>
              </w:rPr>
              <w:t>35</w:t>
            </w:r>
          </w:p>
        </w:tc>
      </w:tr>
      <w:tr w:rsidR="00C6596F" w:rsidRPr="008954F2" w14:paraId="494C81C6" w14:textId="77777777" w:rsidTr="008954F2">
        <w:trPr>
          <w:trHeight w:val="20"/>
          <w:jc w:val="center"/>
        </w:trPr>
        <w:tc>
          <w:tcPr>
            <w:tcW w:w="5949" w:type="dxa"/>
            <w:shd w:val="clear" w:color="auto" w:fill="D6E3BC" w:themeFill="accent3" w:themeFillTint="66"/>
          </w:tcPr>
          <w:p w14:paraId="5071DF89" w14:textId="1BA488C5" w:rsidR="00C6596F" w:rsidRPr="008954F2" w:rsidRDefault="00C6596F" w:rsidP="009931F5">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 xml:space="preserve">Comercio, reparación, restaurantes y hoteles </w:t>
            </w:r>
          </w:p>
        </w:tc>
        <w:tc>
          <w:tcPr>
            <w:tcW w:w="850" w:type="dxa"/>
          </w:tcPr>
          <w:p w14:paraId="3B997624" w14:textId="7A4438AF" w:rsidR="00C6596F" w:rsidRPr="008954F2" w:rsidRDefault="00C6596F" w:rsidP="009931F5">
            <w:pPr>
              <w:jc w:val="right"/>
              <w:rPr>
                <w:rFonts w:ascii="Century Gothic" w:hAnsi="Century Gothic" w:cs="Arial"/>
                <w:sz w:val="20"/>
                <w:szCs w:val="22"/>
                <w:lang w:val="es-ES"/>
              </w:rPr>
            </w:pPr>
            <w:r w:rsidRPr="008954F2">
              <w:rPr>
                <w:rFonts w:ascii="Century Gothic" w:hAnsi="Century Gothic" w:cs="Arial"/>
                <w:sz w:val="20"/>
                <w:szCs w:val="22"/>
                <w:lang w:val="es-ES"/>
              </w:rPr>
              <w:t>28,31</w:t>
            </w:r>
          </w:p>
        </w:tc>
      </w:tr>
      <w:tr w:rsidR="00C6596F" w:rsidRPr="008954F2" w14:paraId="3BAA436A" w14:textId="77777777" w:rsidTr="008954F2">
        <w:trPr>
          <w:trHeight w:val="20"/>
          <w:jc w:val="center"/>
        </w:trPr>
        <w:tc>
          <w:tcPr>
            <w:tcW w:w="5949" w:type="dxa"/>
            <w:shd w:val="clear" w:color="auto" w:fill="D6E3BC" w:themeFill="accent3" w:themeFillTint="66"/>
          </w:tcPr>
          <w:p w14:paraId="7F922D93" w14:textId="0FA5D845" w:rsidR="00C6596F" w:rsidRPr="008954F2" w:rsidRDefault="00C6596F" w:rsidP="009931F5">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 xml:space="preserve">Establecimientos financieros, seguros y otros servicios </w:t>
            </w:r>
          </w:p>
        </w:tc>
        <w:tc>
          <w:tcPr>
            <w:tcW w:w="850" w:type="dxa"/>
          </w:tcPr>
          <w:p w14:paraId="25EB5F42" w14:textId="33924F44" w:rsidR="00C6596F" w:rsidRPr="008954F2" w:rsidRDefault="00C6596F" w:rsidP="00C6596F">
            <w:pPr>
              <w:jc w:val="right"/>
              <w:rPr>
                <w:rFonts w:ascii="Century Gothic" w:hAnsi="Century Gothic" w:cs="Arial"/>
                <w:sz w:val="20"/>
                <w:szCs w:val="22"/>
                <w:lang w:val="es-ES"/>
              </w:rPr>
            </w:pPr>
            <w:r w:rsidRPr="008954F2">
              <w:rPr>
                <w:rFonts w:ascii="Century Gothic" w:hAnsi="Century Gothic" w:cs="Arial"/>
                <w:sz w:val="20"/>
                <w:szCs w:val="22"/>
                <w:lang w:val="es-ES"/>
              </w:rPr>
              <w:t>15,19</w:t>
            </w:r>
          </w:p>
        </w:tc>
      </w:tr>
      <w:tr w:rsidR="00C6596F" w:rsidRPr="008954F2" w14:paraId="277803A6" w14:textId="77777777" w:rsidTr="008954F2">
        <w:trPr>
          <w:trHeight w:val="20"/>
          <w:jc w:val="center"/>
        </w:trPr>
        <w:tc>
          <w:tcPr>
            <w:tcW w:w="5949" w:type="dxa"/>
            <w:shd w:val="clear" w:color="auto" w:fill="D6E3BC" w:themeFill="accent3" w:themeFillTint="66"/>
          </w:tcPr>
          <w:p w14:paraId="3B624D74" w14:textId="4A7A5A6D" w:rsidR="00C6596F" w:rsidRPr="008954F2" w:rsidRDefault="00C6596F" w:rsidP="00C6596F">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 xml:space="preserve">Construcción </w:t>
            </w:r>
          </w:p>
        </w:tc>
        <w:tc>
          <w:tcPr>
            <w:tcW w:w="850" w:type="dxa"/>
          </w:tcPr>
          <w:p w14:paraId="45423D17" w14:textId="424A369B" w:rsidR="00C6596F" w:rsidRPr="008954F2" w:rsidRDefault="00C6596F" w:rsidP="009931F5">
            <w:pPr>
              <w:jc w:val="right"/>
              <w:rPr>
                <w:rFonts w:ascii="Century Gothic" w:hAnsi="Century Gothic" w:cs="Arial"/>
                <w:sz w:val="20"/>
                <w:szCs w:val="22"/>
                <w:lang w:val="es-ES"/>
              </w:rPr>
            </w:pPr>
            <w:r w:rsidRPr="008954F2">
              <w:rPr>
                <w:rFonts w:ascii="Century Gothic" w:hAnsi="Century Gothic" w:cs="Arial"/>
                <w:sz w:val="20"/>
                <w:szCs w:val="22"/>
                <w:lang w:val="es-ES"/>
              </w:rPr>
              <w:t>12,26</w:t>
            </w:r>
          </w:p>
        </w:tc>
      </w:tr>
      <w:tr w:rsidR="00C6596F" w:rsidRPr="008954F2" w14:paraId="26B5F29F" w14:textId="77777777" w:rsidTr="008954F2">
        <w:trPr>
          <w:trHeight w:val="20"/>
          <w:jc w:val="center"/>
        </w:trPr>
        <w:tc>
          <w:tcPr>
            <w:tcW w:w="5949" w:type="dxa"/>
            <w:shd w:val="clear" w:color="auto" w:fill="D6E3BC" w:themeFill="accent3" w:themeFillTint="66"/>
          </w:tcPr>
          <w:p w14:paraId="735345E8" w14:textId="173E9A6B" w:rsidR="00C6596F" w:rsidRPr="008954F2" w:rsidRDefault="00C6596F" w:rsidP="009931F5">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 xml:space="preserve">Industria manufacturera </w:t>
            </w:r>
          </w:p>
        </w:tc>
        <w:tc>
          <w:tcPr>
            <w:tcW w:w="850" w:type="dxa"/>
          </w:tcPr>
          <w:p w14:paraId="5CADC992" w14:textId="2CFCFB10" w:rsidR="00C6596F" w:rsidRPr="008954F2" w:rsidRDefault="00C6596F" w:rsidP="009931F5">
            <w:pPr>
              <w:jc w:val="right"/>
              <w:rPr>
                <w:rFonts w:ascii="Century Gothic" w:hAnsi="Century Gothic" w:cs="Arial"/>
                <w:sz w:val="20"/>
                <w:szCs w:val="22"/>
                <w:lang w:val="es-ES"/>
              </w:rPr>
            </w:pPr>
            <w:r w:rsidRPr="008954F2">
              <w:rPr>
                <w:rFonts w:ascii="Century Gothic" w:hAnsi="Century Gothic" w:cs="Arial"/>
                <w:sz w:val="20"/>
                <w:szCs w:val="22"/>
                <w:lang w:val="es-ES"/>
              </w:rPr>
              <w:t>7,34</w:t>
            </w:r>
          </w:p>
        </w:tc>
      </w:tr>
      <w:tr w:rsidR="00C6596F" w:rsidRPr="008954F2" w14:paraId="3E4B5DF7" w14:textId="77777777" w:rsidTr="008954F2">
        <w:trPr>
          <w:trHeight w:val="20"/>
          <w:jc w:val="center"/>
        </w:trPr>
        <w:tc>
          <w:tcPr>
            <w:tcW w:w="5949" w:type="dxa"/>
            <w:shd w:val="clear" w:color="auto" w:fill="D6E3BC" w:themeFill="accent3" w:themeFillTint="66"/>
          </w:tcPr>
          <w:p w14:paraId="6194FD20" w14:textId="33D3C9E8" w:rsidR="00C6596F" w:rsidRPr="008954F2" w:rsidRDefault="00C6596F" w:rsidP="009931F5">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Transporte, almacenamiento y comunicaciones</w:t>
            </w:r>
          </w:p>
        </w:tc>
        <w:tc>
          <w:tcPr>
            <w:tcW w:w="850" w:type="dxa"/>
          </w:tcPr>
          <w:p w14:paraId="2BBFAEE9" w14:textId="74CD4F52" w:rsidR="00C6596F" w:rsidRPr="008954F2" w:rsidRDefault="00C6596F" w:rsidP="009931F5">
            <w:pPr>
              <w:jc w:val="right"/>
              <w:rPr>
                <w:rFonts w:ascii="Century Gothic" w:hAnsi="Century Gothic" w:cs="Arial"/>
                <w:sz w:val="20"/>
                <w:szCs w:val="22"/>
                <w:lang w:val="es-ES"/>
              </w:rPr>
            </w:pPr>
            <w:r w:rsidRPr="008954F2">
              <w:rPr>
                <w:rFonts w:ascii="Century Gothic" w:hAnsi="Century Gothic" w:cs="Arial"/>
                <w:sz w:val="20"/>
                <w:szCs w:val="22"/>
                <w:lang w:val="es-ES"/>
              </w:rPr>
              <w:t>3,96</w:t>
            </w:r>
          </w:p>
        </w:tc>
      </w:tr>
      <w:tr w:rsidR="00C6596F" w:rsidRPr="008954F2" w14:paraId="7A844ECF" w14:textId="77777777" w:rsidTr="008954F2">
        <w:trPr>
          <w:trHeight w:val="20"/>
          <w:jc w:val="center"/>
        </w:trPr>
        <w:tc>
          <w:tcPr>
            <w:tcW w:w="5949" w:type="dxa"/>
            <w:shd w:val="clear" w:color="auto" w:fill="D6E3BC" w:themeFill="accent3" w:themeFillTint="66"/>
          </w:tcPr>
          <w:p w14:paraId="7A36B910" w14:textId="500D1213" w:rsidR="00C6596F" w:rsidRPr="008954F2" w:rsidRDefault="00C6596F" w:rsidP="00C6596F">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Agricultura, ganadería, caza, silvicultura y pesca</w:t>
            </w:r>
          </w:p>
        </w:tc>
        <w:tc>
          <w:tcPr>
            <w:tcW w:w="850" w:type="dxa"/>
          </w:tcPr>
          <w:p w14:paraId="20668523" w14:textId="3E571F48" w:rsidR="00C6596F" w:rsidRPr="008954F2" w:rsidRDefault="00C6596F" w:rsidP="00C6596F">
            <w:pPr>
              <w:jc w:val="right"/>
              <w:rPr>
                <w:rFonts w:ascii="Century Gothic" w:hAnsi="Century Gothic" w:cs="Arial"/>
                <w:sz w:val="20"/>
                <w:szCs w:val="22"/>
                <w:lang w:val="es-ES"/>
              </w:rPr>
            </w:pPr>
            <w:r w:rsidRPr="008954F2">
              <w:rPr>
                <w:rFonts w:ascii="Century Gothic" w:hAnsi="Century Gothic" w:cs="Arial"/>
                <w:sz w:val="20"/>
                <w:szCs w:val="22"/>
                <w:lang w:val="es-ES"/>
              </w:rPr>
              <w:t>2,44</w:t>
            </w:r>
          </w:p>
        </w:tc>
      </w:tr>
      <w:tr w:rsidR="00C6596F" w:rsidRPr="008954F2" w14:paraId="2DA75217" w14:textId="77777777" w:rsidTr="008954F2">
        <w:trPr>
          <w:trHeight w:val="20"/>
          <w:jc w:val="center"/>
        </w:trPr>
        <w:tc>
          <w:tcPr>
            <w:tcW w:w="5949" w:type="dxa"/>
            <w:shd w:val="clear" w:color="auto" w:fill="D6E3BC" w:themeFill="accent3" w:themeFillTint="66"/>
          </w:tcPr>
          <w:p w14:paraId="0F3649E2" w14:textId="689CEE0C" w:rsidR="00C6596F" w:rsidRPr="008954F2" w:rsidRDefault="00C6596F" w:rsidP="00C6596F">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 xml:space="preserve">Suministro de electricidad, gas y agua </w:t>
            </w:r>
          </w:p>
        </w:tc>
        <w:tc>
          <w:tcPr>
            <w:tcW w:w="850" w:type="dxa"/>
          </w:tcPr>
          <w:p w14:paraId="30BD0DA9" w14:textId="1C3B5EDB" w:rsidR="00C6596F" w:rsidRPr="008954F2" w:rsidRDefault="00C6596F" w:rsidP="00C6596F">
            <w:pPr>
              <w:jc w:val="right"/>
              <w:rPr>
                <w:rFonts w:ascii="Century Gothic" w:hAnsi="Century Gothic" w:cs="Arial"/>
                <w:sz w:val="20"/>
                <w:szCs w:val="22"/>
                <w:lang w:val="es-ES"/>
              </w:rPr>
            </w:pPr>
            <w:r w:rsidRPr="008954F2">
              <w:rPr>
                <w:rFonts w:ascii="Century Gothic" w:hAnsi="Century Gothic" w:cs="Arial"/>
                <w:sz w:val="20"/>
                <w:szCs w:val="22"/>
                <w:lang w:val="es-ES"/>
              </w:rPr>
              <w:t>1,64</w:t>
            </w:r>
          </w:p>
        </w:tc>
      </w:tr>
      <w:tr w:rsidR="00C6596F" w:rsidRPr="008954F2" w14:paraId="2C7C60CF" w14:textId="77777777" w:rsidTr="008954F2">
        <w:trPr>
          <w:trHeight w:val="20"/>
          <w:jc w:val="center"/>
        </w:trPr>
        <w:tc>
          <w:tcPr>
            <w:tcW w:w="5949" w:type="dxa"/>
            <w:shd w:val="clear" w:color="auto" w:fill="D6E3BC" w:themeFill="accent3" w:themeFillTint="66"/>
          </w:tcPr>
          <w:p w14:paraId="62F14F98" w14:textId="67D61A0C" w:rsidR="00C6596F" w:rsidRPr="008954F2" w:rsidRDefault="00C6596F" w:rsidP="00C6596F">
            <w:pPr>
              <w:jc w:val="both"/>
              <w:rPr>
                <w:rFonts w:ascii="Century Gothic" w:hAnsi="Century Gothic" w:cs="Arial"/>
                <w:color w:val="000000" w:themeColor="text1"/>
                <w:sz w:val="20"/>
                <w:szCs w:val="22"/>
                <w:lang w:val="es-ES"/>
              </w:rPr>
            </w:pPr>
            <w:r w:rsidRPr="008954F2">
              <w:rPr>
                <w:rFonts w:ascii="Century Gothic" w:hAnsi="Century Gothic" w:cs="Arial"/>
                <w:color w:val="000000" w:themeColor="text1"/>
                <w:sz w:val="20"/>
                <w:szCs w:val="22"/>
                <w:lang w:val="es-ES"/>
              </w:rPr>
              <w:t>Explotación de minas y canteras</w:t>
            </w:r>
          </w:p>
        </w:tc>
        <w:tc>
          <w:tcPr>
            <w:tcW w:w="850" w:type="dxa"/>
          </w:tcPr>
          <w:p w14:paraId="5E875601" w14:textId="7EDCFDC4" w:rsidR="00C6596F" w:rsidRPr="008954F2" w:rsidRDefault="00C6596F" w:rsidP="00C6596F">
            <w:pPr>
              <w:jc w:val="right"/>
              <w:rPr>
                <w:rFonts w:ascii="Century Gothic" w:hAnsi="Century Gothic" w:cs="Arial"/>
                <w:sz w:val="20"/>
                <w:szCs w:val="22"/>
                <w:lang w:val="es-ES"/>
              </w:rPr>
            </w:pPr>
            <w:r w:rsidRPr="008954F2">
              <w:rPr>
                <w:rFonts w:ascii="Century Gothic" w:hAnsi="Century Gothic" w:cs="Arial"/>
                <w:sz w:val="20"/>
                <w:szCs w:val="22"/>
                <w:lang w:val="es-ES"/>
              </w:rPr>
              <w:t>0,51</w:t>
            </w:r>
          </w:p>
        </w:tc>
      </w:tr>
    </w:tbl>
    <w:p w14:paraId="00C86A41" w14:textId="7A6C0950" w:rsidR="001E14F9" w:rsidRPr="001E2110" w:rsidRDefault="00A63FB0" w:rsidP="009931F5">
      <w:pPr>
        <w:jc w:val="center"/>
        <w:rPr>
          <w:rFonts w:ascii="Century Gothic" w:hAnsi="Century Gothic" w:cs="Arial"/>
          <w:sz w:val="20"/>
          <w:lang w:val="es-ES"/>
        </w:rPr>
      </w:pPr>
      <w:r w:rsidRPr="001E2110">
        <w:rPr>
          <w:rFonts w:ascii="Century Gothic" w:hAnsi="Century Gothic" w:cs="Arial"/>
          <w:sz w:val="20"/>
          <w:lang w:val="es-ES"/>
        </w:rPr>
        <w:t>Fuente: DANE – GEIH</w:t>
      </w:r>
      <w:r w:rsidR="00336769" w:rsidRPr="001E2110">
        <w:rPr>
          <w:rFonts w:ascii="Century Gothic" w:hAnsi="Century Gothic" w:cs="Arial"/>
          <w:sz w:val="20"/>
          <w:lang w:val="es-ES"/>
        </w:rPr>
        <w:t xml:space="preserve">, 2018 </w:t>
      </w:r>
    </w:p>
    <w:p w14:paraId="099E1053" w14:textId="73E9FDEF" w:rsidR="006050BF" w:rsidRPr="001E2110" w:rsidRDefault="003B6A1C" w:rsidP="00255D27">
      <w:pPr>
        <w:jc w:val="both"/>
        <w:rPr>
          <w:rFonts w:ascii="Century Gothic" w:hAnsi="Century Gothic" w:cs="Arial"/>
          <w:lang w:val="es-ES"/>
        </w:rPr>
      </w:pPr>
      <w:r w:rsidRPr="001E2110">
        <w:rPr>
          <w:rFonts w:ascii="Century Gothic" w:hAnsi="Century Gothic" w:cs="Times New Roman"/>
          <w:lang w:val="es-ES"/>
        </w:rPr>
        <w:t xml:space="preserve">Ahora bien, en </w:t>
      </w:r>
      <w:r w:rsidR="005B5438" w:rsidRPr="001E2110">
        <w:rPr>
          <w:rFonts w:ascii="Century Gothic" w:hAnsi="Century Gothic" w:cs="Times New Roman"/>
          <w:lang w:val="es-ES"/>
        </w:rPr>
        <w:t xml:space="preserve">lo relacionado con la administración municipal, </w:t>
      </w:r>
      <w:r w:rsidR="00255D27" w:rsidRPr="001E2110">
        <w:rPr>
          <w:rFonts w:ascii="Century Gothic" w:hAnsi="Century Gothic" w:cs="Times New Roman"/>
          <w:lang w:val="es-ES"/>
        </w:rPr>
        <w:t>en el año 2017 la Alcaldía de Pasto, renovó el registro de certificación de calidad bajo la norma NTC ISO 9001:2015</w:t>
      </w:r>
      <w:r w:rsidR="008E4045" w:rsidRPr="001E2110">
        <w:rPr>
          <w:rFonts w:ascii="Century Gothic" w:hAnsi="Century Gothic" w:cs="Times New Roman"/>
          <w:lang w:val="es-ES"/>
        </w:rPr>
        <w:t>;</w:t>
      </w:r>
      <w:r w:rsidR="00255D27" w:rsidRPr="001E2110">
        <w:rPr>
          <w:rFonts w:ascii="Century Gothic" w:hAnsi="Century Gothic" w:cs="Times New Roman"/>
          <w:lang w:val="es-ES"/>
        </w:rPr>
        <w:t xml:space="preserve"> </w:t>
      </w:r>
      <w:r w:rsidR="008E4045" w:rsidRPr="001E2110">
        <w:rPr>
          <w:rFonts w:ascii="Century Gothic" w:hAnsi="Century Gothic" w:cs="Times New Roman"/>
          <w:lang w:val="es-ES"/>
        </w:rPr>
        <w:t xml:space="preserve">por su parte, </w:t>
      </w:r>
      <w:r w:rsidR="00255D27" w:rsidRPr="001E2110">
        <w:rPr>
          <w:rFonts w:ascii="Century Gothic" w:hAnsi="Century Gothic" w:cs="Times New Roman"/>
          <w:lang w:val="es-ES"/>
        </w:rPr>
        <w:t>en el Índice de Gestión y Desempe</w:t>
      </w:r>
      <w:r w:rsidR="008E4045" w:rsidRPr="001E2110">
        <w:rPr>
          <w:rFonts w:ascii="Century Gothic" w:hAnsi="Century Gothic" w:cs="Times New Roman"/>
          <w:lang w:val="es-ES"/>
        </w:rPr>
        <w:t xml:space="preserve">ño </w:t>
      </w:r>
      <w:r w:rsidR="008E4045" w:rsidRPr="001E2110">
        <w:rPr>
          <w:rFonts w:ascii="Century Gothic" w:hAnsi="Century Gothic" w:cs="Times New Roman"/>
          <w:lang w:val="es-ES"/>
        </w:rPr>
        <w:lastRenderedPageBreak/>
        <w:t xml:space="preserve">Institucional, la dimensión de Control Interno </w:t>
      </w:r>
      <w:r w:rsidR="00255D27" w:rsidRPr="001E2110">
        <w:rPr>
          <w:rFonts w:ascii="Century Gothic" w:hAnsi="Century Gothic" w:cs="Times New Roman"/>
          <w:lang w:val="es-ES"/>
        </w:rPr>
        <w:t>obtuv</w:t>
      </w:r>
      <w:r w:rsidR="008E4045" w:rsidRPr="001E2110">
        <w:rPr>
          <w:rFonts w:ascii="Century Gothic" w:hAnsi="Century Gothic" w:cs="Times New Roman"/>
          <w:lang w:val="es-ES"/>
        </w:rPr>
        <w:t>o 84,</w:t>
      </w:r>
      <w:r w:rsidR="00255D27" w:rsidRPr="001E2110">
        <w:rPr>
          <w:rFonts w:ascii="Century Gothic" w:hAnsi="Century Gothic" w:cs="Times New Roman"/>
          <w:lang w:val="es-ES"/>
        </w:rPr>
        <w:t xml:space="preserve">2 por ciento de madurez; </w:t>
      </w:r>
      <w:r w:rsidR="008E4045" w:rsidRPr="001E2110">
        <w:rPr>
          <w:rFonts w:ascii="Century Gothic" w:hAnsi="Century Gothic" w:cs="Times New Roman"/>
          <w:lang w:val="es-ES"/>
        </w:rPr>
        <w:t xml:space="preserve">así mismo, </w:t>
      </w:r>
      <w:r w:rsidR="00255D27" w:rsidRPr="001E2110">
        <w:rPr>
          <w:rFonts w:ascii="Century Gothic" w:hAnsi="Century Gothic" w:cs="Times New Roman"/>
          <w:lang w:val="es-ES"/>
        </w:rPr>
        <w:t xml:space="preserve">en el primer semestre del 2018 </w:t>
      </w:r>
      <w:r w:rsidR="008E4045" w:rsidRPr="001E2110">
        <w:rPr>
          <w:rFonts w:ascii="Century Gothic" w:hAnsi="Century Gothic" w:cs="Times New Roman"/>
          <w:lang w:val="es-ES"/>
        </w:rPr>
        <w:t xml:space="preserve">se </w:t>
      </w:r>
      <w:r w:rsidR="00255D27" w:rsidRPr="001E2110">
        <w:rPr>
          <w:rFonts w:ascii="Century Gothic" w:hAnsi="Century Gothic" w:cs="Times New Roman"/>
          <w:lang w:val="es-ES"/>
        </w:rPr>
        <w:t>ajust</w:t>
      </w:r>
      <w:r w:rsidR="008E4045" w:rsidRPr="001E2110">
        <w:rPr>
          <w:rFonts w:ascii="Century Gothic" w:hAnsi="Century Gothic" w:cs="Times New Roman"/>
          <w:lang w:val="es-ES"/>
        </w:rPr>
        <w:t>ó</w:t>
      </w:r>
      <w:r w:rsidR="00255D27" w:rsidRPr="001E2110">
        <w:rPr>
          <w:rFonts w:ascii="Century Gothic" w:hAnsi="Century Gothic" w:cs="Times New Roman"/>
          <w:lang w:val="es-ES"/>
        </w:rPr>
        <w:t xml:space="preserve"> el Mode</w:t>
      </w:r>
      <w:r w:rsidR="008E4045" w:rsidRPr="001E2110">
        <w:rPr>
          <w:rFonts w:ascii="Century Gothic" w:hAnsi="Century Gothic" w:cs="Times New Roman"/>
          <w:lang w:val="es-ES"/>
        </w:rPr>
        <w:t xml:space="preserve">lo Estándar de Control Interno – </w:t>
      </w:r>
      <w:r w:rsidR="00255D27" w:rsidRPr="001E2110">
        <w:rPr>
          <w:rFonts w:ascii="Century Gothic" w:hAnsi="Century Gothic" w:cs="Times New Roman"/>
          <w:lang w:val="es-ES"/>
        </w:rPr>
        <w:t>MECI, bajo la dinámica de dimensiones del Modelo Integrado de Planeación y Gestión</w:t>
      </w:r>
      <w:r w:rsidR="008E4045" w:rsidRPr="001E2110">
        <w:rPr>
          <w:rFonts w:ascii="Century Gothic" w:hAnsi="Century Gothic" w:cs="Times New Roman"/>
          <w:lang w:val="es-ES"/>
        </w:rPr>
        <w:t xml:space="preserve"> – MIPG</w:t>
      </w:r>
      <w:r w:rsidR="00255D27" w:rsidRPr="001E2110">
        <w:rPr>
          <w:rFonts w:ascii="Century Gothic" w:hAnsi="Century Gothic" w:cs="Times New Roman"/>
          <w:lang w:val="es-ES"/>
        </w:rPr>
        <w:t>, articulando los sistemas de gestión con el de control, hecho que fortalece la toma de conciencia frente a la responsabilidad de la aplicación del modelo de control al interior de las diferentes áreas y dependencias d</w:t>
      </w:r>
      <w:r w:rsidR="00B64BC3" w:rsidRPr="001E2110">
        <w:rPr>
          <w:rFonts w:ascii="Century Gothic" w:hAnsi="Century Gothic" w:cs="Times New Roman"/>
          <w:lang w:val="es-ES"/>
        </w:rPr>
        <w:t>e la administración municipal.</w:t>
      </w:r>
      <w:r w:rsidR="00A65614" w:rsidRPr="001E2110">
        <w:rPr>
          <w:rFonts w:ascii="Century Gothic" w:hAnsi="Century Gothic" w:cs="Times New Roman"/>
          <w:lang w:val="es-ES"/>
        </w:rPr>
        <w:t xml:space="preserve"> </w:t>
      </w:r>
    </w:p>
    <w:p w14:paraId="0FE4F8F4" w14:textId="3EE5C42E" w:rsidR="005835E7" w:rsidRPr="001E2110" w:rsidRDefault="005B5438" w:rsidP="009931F5">
      <w:pPr>
        <w:autoSpaceDE w:val="0"/>
        <w:autoSpaceDN w:val="0"/>
        <w:adjustRightInd w:val="0"/>
        <w:jc w:val="both"/>
        <w:rPr>
          <w:rFonts w:ascii="Century Gothic" w:hAnsi="Century Gothic" w:cs="Times New Roman"/>
          <w:lang w:val="es-ES"/>
        </w:rPr>
      </w:pPr>
      <w:r w:rsidRPr="001E2110">
        <w:rPr>
          <w:rFonts w:ascii="Century Gothic" w:hAnsi="Century Gothic" w:cs="Times New Roman"/>
          <w:lang w:val="es-ES"/>
        </w:rPr>
        <w:t xml:space="preserve">Por su parte, el sector descentralizado del municipio, está conformado por: Empresa de Alumbrado Público de Pasto </w:t>
      </w:r>
      <w:r w:rsidR="00DB6921" w:rsidRPr="001E2110">
        <w:rPr>
          <w:rFonts w:ascii="Century Gothic" w:hAnsi="Century Gothic" w:cs="Times New Roman"/>
          <w:lang w:val="es-ES"/>
        </w:rPr>
        <w:t xml:space="preserve">– </w:t>
      </w:r>
      <w:r w:rsidRPr="001E2110">
        <w:rPr>
          <w:rFonts w:ascii="Century Gothic" w:hAnsi="Century Gothic" w:cs="Times New Roman"/>
          <w:lang w:val="es-ES"/>
        </w:rPr>
        <w:t>S</w:t>
      </w:r>
      <w:r w:rsidR="00DB6921" w:rsidRPr="001E2110">
        <w:rPr>
          <w:rFonts w:ascii="Century Gothic" w:hAnsi="Century Gothic" w:cs="Times New Roman"/>
          <w:lang w:val="es-ES"/>
        </w:rPr>
        <w:t>EPAL S.</w:t>
      </w:r>
      <w:r w:rsidRPr="001E2110">
        <w:rPr>
          <w:rFonts w:ascii="Century Gothic" w:hAnsi="Century Gothic" w:cs="Times New Roman"/>
          <w:lang w:val="es-ES"/>
        </w:rPr>
        <w:t xml:space="preserve">A., Corporación del Carnaval de Negros y Blancos </w:t>
      </w:r>
      <w:r w:rsidR="00DB6921" w:rsidRPr="001E2110">
        <w:rPr>
          <w:rFonts w:ascii="Century Gothic" w:hAnsi="Century Gothic" w:cs="Times New Roman"/>
          <w:lang w:val="es-ES"/>
        </w:rPr>
        <w:t xml:space="preserve">– </w:t>
      </w:r>
      <w:r w:rsidRPr="001E2110">
        <w:rPr>
          <w:rFonts w:ascii="Century Gothic" w:hAnsi="Century Gothic" w:cs="Times New Roman"/>
          <w:lang w:val="es-ES"/>
        </w:rPr>
        <w:t xml:space="preserve">CORPOCARNAVAL, Empresa Metropolitana de Aseo </w:t>
      </w:r>
      <w:r w:rsidR="00DB6921" w:rsidRPr="001E2110">
        <w:rPr>
          <w:rFonts w:ascii="Century Gothic" w:hAnsi="Century Gothic" w:cs="Times New Roman"/>
          <w:lang w:val="es-ES"/>
        </w:rPr>
        <w:t xml:space="preserve">– </w:t>
      </w:r>
      <w:r w:rsidRPr="001E2110">
        <w:rPr>
          <w:rFonts w:ascii="Century Gothic" w:hAnsi="Century Gothic" w:cs="Times New Roman"/>
          <w:lang w:val="es-ES"/>
        </w:rPr>
        <w:t>E</w:t>
      </w:r>
      <w:r w:rsidR="00DB6921" w:rsidRPr="001E2110">
        <w:rPr>
          <w:rFonts w:ascii="Century Gothic" w:hAnsi="Century Gothic" w:cs="Times New Roman"/>
          <w:lang w:val="es-ES"/>
        </w:rPr>
        <w:t>MAS S.A E.</w:t>
      </w:r>
      <w:r w:rsidRPr="001E2110">
        <w:rPr>
          <w:rFonts w:ascii="Century Gothic" w:hAnsi="Century Gothic" w:cs="Times New Roman"/>
          <w:lang w:val="es-ES"/>
        </w:rPr>
        <w:t>S.P., Terminal de Transporte de Pasto S.A., E</w:t>
      </w:r>
      <w:r w:rsidR="00AB48FE" w:rsidRPr="001E2110">
        <w:rPr>
          <w:rFonts w:ascii="Century Gothic" w:hAnsi="Century Gothic" w:cs="Times New Roman"/>
          <w:lang w:val="es-ES"/>
        </w:rPr>
        <w:t xml:space="preserve">mpresa </w:t>
      </w:r>
      <w:r w:rsidRPr="001E2110">
        <w:rPr>
          <w:rFonts w:ascii="Century Gothic" w:hAnsi="Century Gothic" w:cs="Times New Roman"/>
          <w:lang w:val="es-ES"/>
        </w:rPr>
        <w:t>S</w:t>
      </w:r>
      <w:r w:rsidR="00AB48FE" w:rsidRPr="001E2110">
        <w:rPr>
          <w:rFonts w:ascii="Century Gothic" w:hAnsi="Century Gothic" w:cs="Times New Roman"/>
          <w:lang w:val="es-ES"/>
        </w:rPr>
        <w:t xml:space="preserve">ocial del </w:t>
      </w:r>
      <w:r w:rsidRPr="001E2110">
        <w:rPr>
          <w:rFonts w:ascii="Century Gothic" w:hAnsi="Century Gothic" w:cs="Times New Roman"/>
          <w:lang w:val="es-ES"/>
        </w:rPr>
        <w:t>E</w:t>
      </w:r>
      <w:r w:rsidR="00AB48FE" w:rsidRPr="001E2110">
        <w:rPr>
          <w:rFonts w:ascii="Century Gothic" w:hAnsi="Century Gothic" w:cs="Times New Roman"/>
          <w:lang w:val="es-ES"/>
        </w:rPr>
        <w:t xml:space="preserve">stado – ESE </w:t>
      </w:r>
      <w:r w:rsidRPr="001E2110">
        <w:rPr>
          <w:rFonts w:ascii="Century Gothic" w:hAnsi="Century Gothic" w:cs="Times New Roman"/>
          <w:lang w:val="es-ES"/>
        </w:rPr>
        <w:t>Pasto Salud, Instituto Municipal de la Reforma Urbana y Vivienda de Pasto</w:t>
      </w:r>
      <w:r w:rsidR="00AB48FE" w:rsidRPr="001E2110">
        <w:rPr>
          <w:rFonts w:ascii="Century Gothic" w:hAnsi="Century Gothic" w:cs="Times New Roman"/>
          <w:lang w:val="es-ES"/>
        </w:rPr>
        <w:t xml:space="preserve"> – </w:t>
      </w:r>
      <w:r w:rsidRPr="001E2110">
        <w:rPr>
          <w:rFonts w:ascii="Century Gothic" w:hAnsi="Century Gothic" w:cs="Times New Roman"/>
          <w:lang w:val="es-ES"/>
        </w:rPr>
        <w:t xml:space="preserve">INVIPASTO, </w:t>
      </w:r>
      <w:r w:rsidR="00AB48FE" w:rsidRPr="001E2110">
        <w:rPr>
          <w:rFonts w:ascii="Century Gothic" w:hAnsi="Century Gothic" w:cs="Times New Roman"/>
          <w:lang w:val="es-ES"/>
        </w:rPr>
        <w:t xml:space="preserve">AVANTE </w:t>
      </w:r>
      <w:r w:rsidRPr="001E2110">
        <w:rPr>
          <w:rFonts w:ascii="Century Gothic" w:hAnsi="Century Gothic" w:cs="Times New Roman"/>
          <w:lang w:val="es-ES"/>
        </w:rPr>
        <w:t xml:space="preserve">SETP, FRIGOVITO S.A. e Instituto Municipal para la </w:t>
      </w:r>
      <w:r w:rsidR="00AB48FE" w:rsidRPr="001E2110">
        <w:rPr>
          <w:rFonts w:ascii="Century Gothic" w:hAnsi="Century Gothic" w:cs="Times New Roman"/>
          <w:lang w:val="es-ES"/>
        </w:rPr>
        <w:t xml:space="preserve">Recreación </w:t>
      </w:r>
      <w:r w:rsidRPr="001E2110">
        <w:rPr>
          <w:rFonts w:ascii="Century Gothic" w:hAnsi="Century Gothic" w:cs="Times New Roman"/>
          <w:lang w:val="es-ES"/>
        </w:rPr>
        <w:t xml:space="preserve">y el </w:t>
      </w:r>
      <w:r w:rsidR="00AB48FE" w:rsidRPr="001E2110">
        <w:rPr>
          <w:rFonts w:ascii="Century Gothic" w:hAnsi="Century Gothic" w:cs="Times New Roman"/>
          <w:lang w:val="es-ES"/>
        </w:rPr>
        <w:t xml:space="preserve">Deporte – </w:t>
      </w:r>
      <w:r w:rsidRPr="001E2110">
        <w:rPr>
          <w:rFonts w:ascii="Century Gothic" w:hAnsi="Century Gothic" w:cs="Times New Roman"/>
          <w:lang w:val="es-ES"/>
        </w:rPr>
        <w:t>PASTO DEPORTE; las cuales reciben recursos de la administración municipal</w:t>
      </w:r>
      <w:r w:rsidR="003D3EFA" w:rsidRPr="001E2110">
        <w:rPr>
          <w:rFonts w:ascii="Century Gothic" w:hAnsi="Century Gothic" w:cs="Times New Roman"/>
          <w:lang w:val="es-ES"/>
        </w:rPr>
        <w:t>,</w:t>
      </w:r>
      <w:r w:rsidRPr="001E2110">
        <w:rPr>
          <w:rFonts w:ascii="Century Gothic" w:hAnsi="Century Gothic" w:cs="Times New Roman"/>
          <w:lang w:val="es-ES"/>
        </w:rPr>
        <w:t xml:space="preserve"> según lo estipulado en la Ley.</w:t>
      </w:r>
    </w:p>
    <w:p w14:paraId="5E2F4FFA" w14:textId="50E9D488" w:rsidR="000F6011" w:rsidRPr="001E2110" w:rsidRDefault="005B5438" w:rsidP="009931F5">
      <w:pPr>
        <w:autoSpaceDE w:val="0"/>
        <w:autoSpaceDN w:val="0"/>
        <w:adjustRightInd w:val="0"/>
        <w:jc w:val="both"/>
        <w:rPr>
          <w:rFonts w:ascii="Century Gothic" w:hAnsi="Century Gothic" w:cs="Times New Roman"/>
          <w:lang w:val="es-ES"/>
        </w:rPr>
      </w:pPr>
      <w:r w:rsidRPr="001E2110">
        <w:rPr>
          <w:rFonts w:ascii="Century Gothic" w:hAnsi="Century Gothic" w:cs="Times New Roman"/>
          <w:lang w:val="es-ES"/>
        </w:rPr>
        <w:t xml:space="preserve">En </w:t>
      </w:r>
      <w:r w:rsidR="000F6011" w:rsidRPr="001E2110">
        <w:rPr>
          <w:rFonts w:ascii="Century Gothic" w:hAnsi="Century Gothic" w:cs="Times New Roman"/>
          <w:lang w:val="es-ES"/>
        </w:rPr>
        <w:t>e</w:t>
      </w:r>
      <w:r w:rsidRPr="001E2110">
        <w:rPr>
          <w:rFonts w:ascii="Century Gothic" w:hAnsi="Century Gothic" w:cs="Times New Roman"/>
          <w:lang w:val="es-ES"/>
        </w:rPr>
        <w:t>l año</w:t>
      </w:r>
      <w:r w:rsidR="000F6011" w:rsidRPr="001E2110">
        <w:rPr>
          <w:rFonts w:ascii="Century Gothic" w:hAnsi="Century Gothic" w:cs="Times New Roman"/>
          <w:lang w:val="es-ES"/>
        </w:rPr>
        <w:t xml:space="preserve"> 2015, fue aprobado el Plan de Ordenamiento Territorial </w:t>
      </w:r>
      <w:r w:rsidR="00ED300D" w:rsidRPr="001E2110">
        <w:rPr>
          <w:rFonts w:ascii="Century Gothic" w:hAnsi="Century Gothic" w:cs="Times New Roman"/>
          <w:lang w:val="es-ES"/>
        </w:rPr>
        <w:t xml:space="preserve">– POT </w:t>
      </w:r>
      <w:r w:rsidR="000F6011" w:rsidRPr="001E2110">
        <w:rPr>
          <w:rFonts w:ascii="Century Gothic" w:hAnsi="Century Gothic" w:cs="Times New Roman"/>
          <w:lang w:val="es-ES"/>
        </w:rPr>
        <w:t xml:space="preserve">“Pasto Con-Sentido” 2015 – 2027, el cual contiene políticas y estrategias enfocadas a la optimización y uso eficiente del espacio. No obstante, dicho </w:t>
      </w:r>
      <w:r w:rsidRPr="001E2110">
        <w:rPr>
          <w:rFonts w:ascii="Century Gothic" w:hAnsi="Century Gothic" w:cs="Times New Roman"/>
          <w:lang w:val="es-ES"/>
        </w:rPr>
        <w:t xml:space="preserve">Plan </w:t>
      </w:r>
      <w:r w:rsidR="00ED300D" w:rsidRPr="001E2110">
        <w:rPr>
          <w:rFonts w:ascii="Century Gothic" w:hAnsi="Century Gothic" w:cs="Times New Roman"/>
          <w:lang w:val="es-ES"/>
        </w:rPr>
        <w:t xml:space="preserve">fue </w:t>
      </w:r>
      <w:r w:rsidR="000F5DF6" w:rsidRPr="001E2110">
        <w:rPr>
          <w:rFonts w:ascii="Century Gothic" w:hAnsi="Century Gothic" w:cs="Times New Roman"/>
          <w:lang w:val="es-ES"/>
        </w:rPr>
        <w:t xml:space="preserve">suspendido y </w:t>
      </w:r>
      <w:r w:rsidR="00731419" w:rsidRPr="001E2110">
        <w:rPr>
          <w:rFonts w:ascii="Century Gothic" w:hAnsi="Century Gothic" w:cs="Times New Roman"/>
          <w:lang w:val="es-ES"/>
        </w:rPr>
        <w:t xml:space="preserve">debe ser ajustado </w:t>
      </w:r>
      <w:r w:rsidR="00ED300D" w:rsidRPr="001E2110">
        <w:rPr>
          <w:rFonts w:ascii="Century Gothic" w:hAnsi="Century Gothic" w:cs="Times New Roman"/>
          <w:lang w:val="es-ES"/>
        </w:rPr>
        <w:t xml:space="preserve">de acuerdo al </w:t>
      </w:r>
      <w:r w:rsidR="00A65614" w:rsidRPr="001E2110">
        <w:rPr>
          <w:rFonts w:ascii="Century Gothic" w:hAnsi="Century Gothic" w:cs="Times New Roman"/>
          <w:lang w:val="es-ES"/>
        </w:rPr>
        <w:t xml:space="preserve">Fallo </w:t>
      </w:r>
      <w:r w:rsidR="00ED300D" w:rsidRPr="001E2110">
        <w:rPr>
          <w:rFonts w:ascii="Century Gothic" w:hAnsi="Century Gothic" w:cs="Times New Roman"/>
          <w:lang w:val="es-ES"/>
        </w:rPr>
        <w:t xml:space="preserve">1 de la </w:t>
      </w:r>
      <w:r w:rsidR="00A65614" w:rsidRPr="001E2110">
        <w:rPr>
          <w:rFonts w:ascii="Century Gothic" w:hAnsi="Century Gothic" w:cs="Times New Roman"/>
          <w:lang w:val="es-ES"/>
        </w:rPr>
        <w:t xml:space="preserve">Instancia </w:t>
      </w:r>
      <w:r w:rsidR="00ED300D" w:rsidRPr="001E2110">
        <w:rPr>
          <w:rFonts w:ascii="Century Gothic" w:hAnsi="Century Gothic" w:cs="Times New Roman"/>
          <w:lang w:val="es-ES"/>
        </w:rPr>
        <w:t>201</w:t>
      </w:r>
      <w:r w:rsidR="000F5DF6" w:rsidRPr="001E2110">
        <w:rPr>
          <w:rFonts w:ascii="Century Gothic" w:hAnsi="Century Gothic" w:cs="Times New Roman"/>
          <w:lang w:val="es-ES"/>
        </w:rPr>
        <w:t>5–0</w:t>
      </w:r>
      <w:r w:rsidR="00ED300D" w:rsidRPr="001E2110">
        <w:rPr>
          <w:rFonts w:ascii="Century Gothic" w:hAnsi="Century Gothic" w:cs="Times New Roman"/>
          <w:lang w:val="es-ES"/>
        </w:rPr>
        <w:t xml:space="preserve">607 emitida por la Sala de </w:t>
      </w:r>
      <w:r w:rsidR="000F5DF6" w:rsidRPr="001E2110">
        <w:rPr>
          <w:rFonts w:ascii="Century Gothic" w:hAnsi="Century Gothic" w:cs="Times New Roman"/>
          <w:lang w:val="es-ES"/>
        </w:rPr>
        <w:t xml:space="preserve">Decisión </w:t>
      </w:r>
      <w:r w:rsidR="00ED300D" w:rsidRPr="001E2110">
        <w:rPr>
          <w:rFonts w:ascii="Century Gothic" w:hAnsi="Century Gothic" w:cs="Times New Roman"/>
          <w:lang w:val="es-ES"/>
        </w:rPr>
        <w:t>del Sistema Oral del Tr</w:t>
      </w:r>
      <w:r w:rsidR="000F5DF6" w:rsidRPr="001E2110">
        <w:rPr>
          <w:rFonts w:ascii="Century Gothic" w:hAnsi="Century Gothic" w:cs="Times New Roman"/>
          <w:lang w:val="es-ES"/>
        </w:rPr>
        <w:t xml:space="preserve">ibunal Administrativo de Nariño. Los ajustes están </w:t>
      </w:r>
      <w:r w:rsidR="000F6011" w:rsidRPr="001E2110">
        <w:rPr>
          <w:rFonts w:ascii="Century Gothic" w:hAnsi="Century Gothic" w:cs="Times New Roman"/>
          <w:lang w:val="es-ES"/>
        </w:rPr>
        <w:t xml:space="preserve">encaminadas </w:t>
      </w:r>
      <w:r w:rsidR="000F5DF6" w:rsidRPr="001E2110">
        <w:rPr>
          <w:rFonts w:ascii="Century Gothic" w:hAnsi="Century Gothic" w:cs="Times New Roman"/>
          <w:lang w:val="es-ES"/>
        </w:rPr>
        <w:t xml:space="preserve">a </w:t>
      </w:r>
      <w:r w:rsidR="000F6011" w:rsidRPr="001E2110">
        <w:rPr>
          <w:rFonts w:ascii="Century Gothic" w:hAnsi="Century Gothic" w:cs="Times New Roman"/>
          <w:lang w:val="es-ES"/>
        </w:rPr>
        <w:t>mejor</w:t>
      </w:r>
      <w:r w:rsidR="000F5DF6" w:rsidRPr="001E2110">
        <w:rPr>
          <w:rFonts w:ascii="Century Gothic" w:hAnsi="Century Gothic" w:cs="Times New Roman"/>
          <w:lang w:val="es-ES"/>
        </w:rPr>
        <w:t>ar el</w:t>
      </w:r>
      <w:r w:rsidR="000F6011" w:rsidRPr="001E2110">
        <w:rPr>
          <w:rFonts w:ascii="Century Gothic" w:hAnsi="Century Gothic" w:cs="Times New Roman"/>
          <w:lang w:val="es-ES"/>
        </w:rPr>
        <w:t xml:space="preserve"> uso del espacio, </w:t>
      </w:r>
      <w:r w:rsidR="000F5DF6" w:rsidRPr="001E2110">
        <w:rPr>
          <w:rFonts w:ascii="Century Gothic" w:hAnsi="Century Gothic" w:cs="Times New Roman"/>
          <w:lang w:val="es-ES"/>
        </w:rPr>
        <w:t>e</w:t>
      </w:r>
      <w:r w:rsidR="000F6011" w:rsidRPr="001E2110">
        <w:rPr>
          <w:rFonts w:ascii="Century Gothic" w:hAnsi="Century Gothic" w:cs="Times New Roman"/>
          <w:lang w:val="es-ES"/>
        </w:rPr>
        <w:t>l desarrollo urbanístico y de construcción,</w:t>
      </w:r>
      <w:r w:rsidR="000F5DF6" w:rsidRPr="001E2110">
        <w:rPr>
          <w:rFonts w:ascii="Century Gothic" w:hAnsi="Century Gothic" w:cs="Times New Roman"/>
          <w:lang w:val="es-ES"/>
        </w:rPr>
        <w:t xml:space="preserve"> sin vulnerar los derechos de los ciudadanos y </w:t>
      </w:r>
      <w:r w:rsidR="000F6011" w:rsidRPr="001E2110">
        <w:rPr>
          <w:rFonts w:ascii="Century Gothic" w:hAnsi="Century Gothic" w:cs="Times New Roman"/>
          <w:lang w:val="es-ES"/>
        </w:rPr>
        <w:t>contribu</w:t>
      </w:r>
      <w:r w:rsidR="000F5DF6" w:rsidRPr="001E2110">
        <w:rPr>
          <w:rFonts w:ascii="Century Gothic" w:hAnsi="Century Gothic" w:cs="Times New Roman"/>
          <w:lang w:val="es-ES"/>
        </w:rPr>
        <w:t xml:space="preserve">yendo </w:t>
      </w:r>
      <w:r w:rsidR="000F6011" w:rsidRPr="001E2110">
        <w:rPr>
          <w:rFonts w:ascii="Century Gothic" w:hAnsi="Century Gothic" w:cs="Times New Roman"/>
          <w:lang w:val="es-ES"/>
        </w:rPr>
        <w:t>en el mediano plazo a fortalecer las rentas m</w:t>
      </w:r>
      <w:r w:rsidR="00A63FB0" w:rsidRPr="001E2110">
        <w:rPr>
          <w:rFonts w:ascii="Century Gothic" w:hAnsi="Century Gothic" w:cs="Times New Roman"/>
          <w:lang w:val="es-ES"/>
        </w:rPr>
        <w:t>unicipales.</w:t>
      </w:r>
    </w:p>
    <w:p w14:paraId="309C78BC" w14:textId="2E7FD5F9" w:rsidR="00C45AAC" w:rsidRPr="001E2110" w:rsidRDefault="000F6011" w:rsidP="009931F5">
      <w:pPr>
        <w:autoSpaceDE w:val="0"/>
        <w:autoSpaceDN w:val="0"/>
        <w:adjustRightInd w:val="0"/>
        <w:jc w:val="both"/>
        <w:rPr>
          <w:rFonts w:ascii="Century Gothic" w:hAnsi="Century Gothic" w:cs="Times New Roman"/>
          <w:lang w:val="es-ES"/>
        </w:rPr>
      </w:pPr>
      <w:r w:rsidRPr="001E2110">
        <w:rPr>
          <w:rFonts w:ascii="Century Gothic" w:hAnsi="Century Gothic" w:cs="Times New Roman"/>
          <w:lang w:val="es-ES"/>
        </w:rPr>
        <w:t xml:space="preserve">Respecto al Índice de </w:t>
      </w:r>
      <w:r w:rsidR="001E0CE4" w:rsidRPr="001E2110">
        <w:rPr>
          <w:rFonts w:ascii="Century Gothic" w:hAnsi="Century Gothic" w:cs="Times New Roman"/>
          <w:lang w:val="es-ES"/>
        </w:rPr>
        <w:t>Desempeño Fiscal</w:t>
      </w:r>
      <w:r w:rsidRPr="001E2110">
        <w:rPr>
          <w:rFonts w:ascii="Century Gothic" w:hAnsi="Century Gothic" w:cs="Times New Roman"/>
          <w:lang w:val="es-ES"/>
        </w:rPr>
        <w:t xml:space="preserve">, calculado por el Departamento Nacional de Planeación </w:t>
      </w:r>
      <w:r w:rsidR="001E0CE4" w:rsidRPr="001E2110">
        <w:rPr>
          <w:rFonts w:ascii="Century Gothic" w:hAnsi="Century Gothic" w:cs="Times New Roman"/>
          <w:lang w:val="es-ES"/>
        </w:rPr>
        <w:t>–</w:t>
      </w:r>
      <w:r w:rsidRPr="001E2110">
        <w:rPr>
          <w:rFonts w:ascii="Century Gothic" w:hAnsi="Century Gothic" w:cs="Times New Roman"/>
          <w:lang w:val="es-ES"/>
        </w:rPr>
        <w:t xml:space="preserve"> DNP, </w:t>
      </w:r>
      <w:r w:rsidR="006C27AA" w:rsidRPr="001E2110">
        <w:rPr>
          <w:rFonts w:ascii="Century Gothic" w:hAnsi="Century Gothic" w:cs="Times New Roman"/>
          <w:lang w:val="es-ES"/>
        </w:rPr>
        <w:t>para el año 201</w:t>
      </w:r>
      <w:r w:rsidR="00F44273" w:rsidRPr="001E2110">
        <w:rPr>
          <w:rFonts w:ascii="Century Gothic" w:hAnsi="Century Gothic" w:cs="Times New Roman"/>
          <w:lang w:val="es-ES"/>
        </w:rPr>
        <w:t>6</w:t>
      </w:r>
      <w:r w:rsidR="006C27AA" w:rsidRPr="001E2110">
        <w:rPr>
          <w:rFonts w:ascii="Century Gothic" w:hAnsi="Century Gothic" w:cs="Times New Roman"/>
          <w:lang w:val="es-ES"/>
        </w:rPr>
        <w:t xml:space="preserve"> </w:t>
      </w:r>
      <w:r w:rsidRPr="001E2110">
        <w:rPr>
          <w:rFonts w:ascii="Century Gothic" w:hAnsi="Century Gothic" w:cs="Times New Roman"/>
          <w:lang w:val="es-ES"/>
        </w:rPr>
        <w:t xml:space="preserve">el municipio </w:t>
      </w:r>
      <w:r w:rsidR="008C207D" w:rsidRPr="001E2110">
        <w:rPr>
          <w:rFonts w:ascii="Century Gothic" w:hAnsi="Century Gothic" w:cs="Times New Roman"/>
          <w:lang w:val="es-ES"/>
        </w:rPr>
        <w:t>de Pasto obtuvo un puntaje de 7</w:t>
      </w:r>
      <w:r w:rsidR="00F44273" w:rsidRPr="001E2110">
        <w:rPr>
          <w:rFonts w:ascii="Century Gothic" w:hAnsi="Century Gothic" w:cs="Times New Roman"/>
          <w:lang w:val="es-ES"/>
        </w:rPr>
        <w:t>6</w:t>
      </w:r>
      <w:r w:rsidRPr="001E2110">
        <w:rPr>
          <w:rFonts w:ascii="Century Gothic" w:hAnsi="Century Gothic" w:cs="Times New Roman"/>
          <w:lang w:val="es-ES"/>
        </w:rPr>
        <w:t>,</w:t>
      </w:r>
      <w:r w:rsidR="00F44273" w:rsidRPr="001E2110">
        <w:rPr>
          <w:rFonts w:ascii="Century Gothic" w:hAnsi="Century Gothic" w:cs="Times New Roman"/>
          <w:lang w:val="es-ES"/>
        </w:rPr>
        <w:t>1</w:t>
      </w:r>
      <w:r w:rsidR="006C27AA" w:rsidRPr="001E2110">
        <w:rPr>
          <w:rFonts w:ascii="Century Gothic" w:hAnsi="Century Gothic" w:cs="Times New Roman"/>
          <w:lang w:val="es-ES"/>
        </w:rPr>
        <w:t xml:space="preserve"> sobre </w:t>
      </w:r>
      <w:r w:rsidR="00C45AAC" w:rsidRPr="001E2110">
        <w:rPr>
          <w:rFonts w:ascii="Century Gothic" w:hAnsi="Century Gothic" w:cs="Times New Roman"/>
          <w:lang w:val="es-ES"/>
        </w:rPr>
        <w:t>100, mejorando su posición en la escala de las ciudades capitales de departamento, al pasar del puesto 22 en el año 2015, a</w:t>
      </w:r>
      <w:r w:rsidR="00A65614" w:rsidRPr="001E2110">
        <w:rPr>
          <w:rFonts w:ascii="Century Gothic" w:hAnsi="Century Gothic" w:cs="Times New Roman"/>
          <w:lang w:val="es-ES"/>
        </w:rPr>
        <w:t>l puesto 15 en el año 2016.</w:t>
      </w:r>
    </w:p>
    <w:p w14:paraId="402722B7" w14:textId="14A558F3" w:rsidR="00B64BC3" w:rsidRPr="001E2110" w:rsidRDefault="00C45AAC" w:rsidP="009931F5">
      <w:pPr>
        <w:autoSpaceDE w:val="0"/>
        <w:autoSpaceDN w:val="0"/>
        <w:adjustRightInd w:val="0"/>
        <w:jc w:val="both"/>
        <w:rPr>
          <w:rFonts w:ascii="Century Gothic" w:hAnsi="Century Gothic" w:cs="Times New Roman"/>
          <w:lang w:val="es-ES"/>
        </w:rPr>
      </w:pPr>
      <w:r w:rsidRPr="001E2110">
        <w:rPr>
          <w:rFonts w:ascii="Century Gothic" w:hAnsi="Century Gothic" w:cs="Times New Roman"/>
          <w:lang w:val="es-ES"/>
        </w:rPr>
        <w:t>En relación con el Índice</w:t>
      </w:r>
      <w:r w:rsidR="00B64BC3" w:rsidRPr="001E2110">
        <w:rPr>
          <w:rFonts w:ascii="Century Gothic" w:hAnsi="Century Gothic" w:cs="Times New Roman"/>
          <w:lang w:val="es-ES"/>
        </w:rPr>
        <w:t xml:space="preserve"> </w:t>
      </w:r>
      <w:r w:rsidRPr="001E2110">
        <w:rPr>
          <w:rFonts w:ascii="Century Gothic" w:hAnsi="Century Gothic" w:cs="Times New Roman"/>
          <w:lang w:val="es-ES"/>
        </w:rPr>
        <w:t>de Desempeño Institucional</w:t>
      </w:r>
      <w:r w:rsidR="00ED5917" w:rsidRPr="001E2110">
        <w:rPr>
          <w:rFonts w:ascii="Century Gothic" w:hAnsi="Century Gothic" w:cs="Times New Roman"/>
          <w:lang w:val="es-ES"/>
        </w:rPr>
        <w:t xml:space="preserve"> medido por </w:t>
      </w:r>
      <w:r w:rsidR="00A65614" w:rsidRPr="001E2110">
        <w:rPr>
          <w:rFonts w:ascii="Century Gothic" w:hAnsi="Century Gothic" w:cs="Times New Roman"/>
          <w:lang w:val="es-ES"/>
        </w:rPr>
        <w:t xml:space="preserve">el </w:t>
      </w:r>
      <w:r w:rsidRPr="001E2110">
        <w:rPr>
          <w:rFonts w:ascii="Century Gothic" w:hAnsi="Century Gothic" w:cs="Times New Roman"/>
          <w:lang w:val="es-ES"/>
        </w:rPr>
        <w:t>Departamento Administrativo de la Función Pública – DAFP</w:t>
      </w:r>
      <w:r w:rsidR="00ED5917" w:rsidRPr="001E2110">
        <w:rPr>
          <w:rFonts w:ascii="Century Gothic" w:hAnsi="Century Gothic" w:cs="Times New Roman"/>
          <w:lang w:val="es-ES"/>
        </w:rPr>
        <w:t xml:space="preserve"> en el año 2017</w:t>
      </w:r>
      <w:r w:rsidRPr="001E2110">
        <w:rPr>
          <w:rFonts w:ascii="Century Gothic" w:hAnsi="Century Gothic" w:cs="Times New Roman"/>
          <w:lang w:val="es-ES"/>
        </w:rPr>
        <w:t xml:space="preserve">, </w:t>
      </w:r>
      <w:r w:rsidR="00ED5917" w:rsidRPr="001E2110">
        <w:rPr>
          <w:rFonts w:ascii="Century Gothic" w:hAnsi="Century Gothic" w:cs="Times New Roman"/>
          <w:lang w:val="es-ES"/>
        </w:rPr>
        <w:t xml:space="preserve">el municipio de Pasto ocupo el primer puesto en los municipios de categoría de desarrollo robusto, con 84,5 por ciento. Además, se destacó en cuatro de las siete dimensiones que constituyen el Modelo Integrado de Planeación y Gestión, con los mejores </w:t>
      </w:r>
      <w:r w:rsidR="00A65614" w:rsidRPr="001E2110">
        <w:rPr>
          <w:rFonts w:ascii="Century Gothic" w:hAnsi="Century Gothic" w:cs="Times New Roman"/>
          <w:lang w:val="es-ES"/>
        </w:rPr>
        <w:t>puntajes respecto al grupo par.</w:t>
      </w:r>
    </w:p>
    <w:p w14:paraId="47D90424" w14:textId="6A7433F3" w:rsidR="000F6011" w:rsidRPr="001E2110" w:rsidRDefault="000F6011" w:rsidP="009931F5">
      <w:pPr>
        <w:autoSpaceDE w:val="0"/>
        <w:autoSpaceDN w:val="0"/>
        <w:adjustRightInd w:val="0"/>
        <w:jc w:val="both"/>
        <w:rPr>
          <w:rFonts w:ascii="Century Gothic" w:hAnsi="Century Gothic" w:cs="Times New Roman"/>
          <w:lang w:val="es-ES"/>
        </w:rPr>
      </w:pPr>
      <w:r w:rsidRPr="001E2110">
        <w:rPr>
          <w:rFonts w:ascii="Century Gothic" w:hAnsi="Century Gothic" w:cs="Times New Roman"/>
          <w:lang w:val="es-ES"/>
        </w:rPr>
        <w:t>Por su parte, la plataforma tecnológica</w:t>
      </w:r>
      <w:r w:rsidR="000E0BC6" w:rsidRPr="001E2110">
        <w:rPr>
          <w:rFonts w:ascii="Century Gothic" w:hAnsi="Century Gothic" w:cs="Times New Roman"/>
          <w:lang w:val="es-ES"/>
        </w:rPr>
        <w:t xml:space="preserve"> de la Alcaldía Municipal</w:t>
      </w:r>
      <w:r w:rsidRPr="001E2110">
        <w:rPr>
          <w:rFonts w:ascii="Century Gothic" w:hAnsi="Century Gothic" w:cs="Times New Roman"/>
          <w:lang w:val="es-ES"/>
        </w:rPr>
        <w:t xml:space="preserve">, está soportada en el </w:t>
      </w:r>
      <w:r w:rsidR="00A65614" w:rsidRPr="001E2110">
        <w:rPr>
          <w:rFonts w:ascii="Century Gothic" w:hAnsi="Century Gothic" w:cs="Times New Roman"/>
          <w:lang w:val="es-ES"/>
        </w:rPr>
        <w:t xml:space="preserve">Sistema </w:t>
      </w:r>
      <w:r w:rsidRPr="001E2110">
        <w:rPr>
          <w:rFonts w:ascii="Century Gothic" w:hAnsi="Century Gothic" w:cs="Times New Roman"/>
          <w:lang w:val="es-ES"/>
        </w:rPr>
        <w:t xml:space="preserve">de </w:t>
      </w:r>
      <w:r w:rsidR="00A65614" w:rsidRPr="001E2110">
        <w:rPr>
          <w:rFonts w:ascii="Century Gothic" w:hAnsi="Century Gothic" w:cs="Times New Roman"/>
          <w:lang w:val="es-ES"/>
        </w:rPr>
        <w:t xml:space="preserve">información tributario </w:t>
      </w:r>
      <w:r w:rsidRPr="001E2110">
        <w:rPr>
          <w:rFonts w:ascii="Century Gothic" w:hAnsi="Century Gothic" w:cs="Times New Roman"/>
          <w:lang w:val="es-ES"/>
        </w:rPr>
        <w:t xml:space="preserve">y </w:t>
      </w:r>
      <w:r w:rsidR="00A65614" w:rsidRPr="001E2110">
        <w:rPr>
          <w:rFonts w:ascii="Century Gothic" w:hAnsi="Century Gothic" w:cs="Times New Roman"/>
          <w:lang w:val="es-ES"/>
        </w:rPr>
        <w:t xml:space="preserve">financiero </w:t>
      </w:r>
      <w:r w:rsidRPr="001E2110">
        <w:rPr>
          <w:rFonts w:ascii="Century Gothic" w:hAnsi="Century Gothic" w:cs="Times New Roman"/>
          <w:lang w:val="es-ES"/>
        </w:rPr>
        <w:t xml:space="preserve">en red (SYSMAN), para atender </w:t>
      </w:r>
      <w:r w:rsidRPr="001E2110">
        <w:rPr>
          <w:rFonts w:ascii="Century Gothic" w:hAnsi="Century Gothic" w:cs="Times New Roman"/>
          <w:lang w:val="es-ES"/>
        </w:rPr>
        <w:lastRenderedPageBreak/>
        <w:t xml:space="preserve">las necesidades de información tanto internas como externas, a través de los módulos de contabilidad, presupuesto, tesorería, almacén, nómina, impuesto predial, </w:t>
      </w:r>
      <w:r w:rsidR="000E0BC6" w:rsidRPr="001E2110">
        <w:rPr>
          <w:rFonts w:ascii="Century Gothic" w:hAnsi="Century Gothic" w:cs="Times New Roman"/>
          <w:lang w:val="es-ES"/>
        </w:rPr>
        <w:t xml:space="preserve">RETEICA </w:t>
      </w:r>
      <w:r w:rsidRPr="001E2110">
        <w:rPr>
          <w:rFonts w:ascii="Century Gothic" w:hAnsi="Century Gothic" w:cs="Times New Roman"/>
          <w:lang w:val="es-ES"/>
        </w:rPr>
        <w:t xml:space="preserve">e industria y comercio. </w:t>
      </w:r>
      <w:r w:rsidR="000E0BC6" w:rsidRPr="001E2110">
        <w:rPr>
          <w:rFonts w:ascii="Century Gothic" w:hAnsi="Century Gothic" w:cs="Times New Roman"/>
          <w:lang w:val="es-ES"/>
        </w:rPr>
        <w:t>Así mismo, se cuenta con un desarrollo interno de software denominado Sistema Integra</w:t>
      </w:r>
      <w:r w:rsidR="00A65614" w:rsidRPr="001E2110">
        <w:rPr>
          <w:rFonts w:ascii="Century Gothic" w:hAnsi="Century Gothic" w:cs="Times New Roman"/>
          <w:lang w:val="es-ES"/>
        </w:rPr>
        <w:t>l de Cobro de Impuestos – SICI.</w:t>
      </w:r>
    </w:p>
    <w:p w14:paraId="6B80B756" w14:textId="10FC8EBF" w:rsidR="00A63FB0" w:rsidRPr="001E2110" w:rsidRDefault="000F6011" w:rsidP="00A63FB0">
      <w:pPr>
        <w:autoSpaceDE w:val="0"/>
        <w:autoSpaceDN w:val="0"/>
        <w:adjustRightInd w:val="0"/>
        <w:jc w:val="both"/>
        <w:rPr>
          <w:rFonts w:ascii="Century Gothic" w:hAnsi="Century Gothic" w:cs="Times New Roman"/>
          <w:lang w:val="es-ES"/>
        </w:rPr>
      </w:pPr>
      <w:r w:rsidRPr="001E2110">
        <w:rPr>
          <w:rFonts w:ascii="Century Gothic" w:hAnsi="Century Gothic" w:cs="Times New Roman"/>
          <w:lang w:val="es-ES"/>
        </w:rPr>
        <w:t xml:space="preserve">Adicionalmente, tiene implementada la plataforma de </w:t>
      </w:r>
      <w:r w:rsidR="000F152B" w:rsidRPr="001E2110">
        <w:rPr>
          <w:rFonts w:ascii="Century Gothic" w:hAnsi="Century Gothic" w:cs="Times New Roman"/>
          <w:lang w:val="es-ES"/>
        </w:rPr>
        <w:t xml:space="preserve">trámites y servicios </w:t>
      </w:r>
      <w:r w:rsidRPr="001E2110">
        <w:rPr>
          <w:rFonts w:ascii="Century Gothic" w:hAnsi="Century Gothic" w:cs="Times New Roman"/>
          <w:lang w:val="es-ES"/>
        </w:rPr>
        <w:t xml:space="preserve">en procesos como: generación de paz y salvos en línea, facturación y pago por Pagos </w:t>
      </w:r>
      <w:r w:rsidR="00A65614" w:rsidRPr="001E2110">
        <w:rPr>
          <w:rFonts w:ascii="Century Gothic" w:hAnsi="Century Gothic" w:cs="Times New Roman"/>
          <w:lang w:val="es-ES"/>
        </w:rPr>
        <w:t xml:space="preserve">seguros en línea </w:t>
      </w:r>
      <w:r w:rsidRPr="001E2110">
        <w:rPr>
          <w:rFonts w:ascii="Century Gothic" w:hAnsi="Century Gothic" w:cs="Times New Roman"/>
          <w:lang w:val="es-ES"/>
        </w:rPr>
        <w:t xml:space="preserve">de impuesto predial, presentación de declaraciones tributarias en línea de </w:t>
      </w:r>
      <w:r w:rsidR="000E0BC6" w:rsidRPr="001E2110">
        <w:rPr>
          <w:rFonts w:ascii="Century Gothic" w:hAnsi="Century Gothic" w:cs="Times New Roman"/>
          <w:lang w:val="es-ES"/>
        </w:rPr>
        <w:t xml:space="preserve">RETEICA </w:t>
      </w:r>
      <w:r w:rsidRPr="001E2110">
        <w:rPr>
          <w:rFonts w:ascii="Century Gothic" w:hAnsi="Century Gothic" w:cs="Times New Roman"/>
          <w:lang w:val="es-ES"/>
        </w:rPr>
        <w:t>e industri</w:t>
      </w:r>
      <w:r w:rsidR="00A65614" w:rsidRPr="001E2110">
        <w:rPr>
          <w:rFonts w:ascii="Century Gothic" w:hAnsi="Century Gothic" w:cs="Times New Roman"/>
          <w:lang w:val="es-ES"/>
        </w:rPr>
        <w:t>a y comercio, atención a PQRS.</w:t>
      </w:r>
    </w:p>
    <w:p w14:paraId="44064B6A" w14:textId="78D408EF" w:rsidR="003C01E5" w:rsidRPr="002E74C9" w:rsidRDefault="008F2CCD" w:rsidP="000564C8">
      <w:pPr>
        <w:pStyle w:val="Ttulo1"/>
        <w:rPr>
          <w:lang w:val="es-ES"/>
        </w:rPr>
      </w:pPr>
      <w:bookmarkStart w:id="9" w:name="_Toc532565917"/>
      <w:r w:rsidRPr="002E74C9">
        <w:rPr>
          <w:lang w:val="es-ES"/>
        </w:rPr>
        <w:t xml:space="preserve">Análisis </w:t>
      </w:r>
      <w:r w:rsidR="00AC11F7" w:rsidRPr="002E74C9">
        <w:rPr>
          <w:lang w:val="es-ES"/>
        </w:rPr>
        <w:t>y resultados de la vigencia 201</w:t>
      </w:r>
      <w:r w:rsidR="000E0BC6" w:rsidRPr="002E74C9">
        <w:rPr>
          <w:lang w:val="es-ES"/>
        </w:rPr>
        <w:t>7</w:t>
      </w:r>
      <w:bookmarkEnd w:id="9"/>
    </w:p>
    <w:p w14:paraId="4087EE03" w14:textId="34EBB4FE" w:rsidR="00BC5A58" w:rsidRPr="006515AA" w:rsidRDefault="000E0BC6" w:rsidP="009931F5">
      <w:pPr>
        <w:pStyle w:val="Textoindependiente"/>
        <w:spacing w:after="200" w:line="276" w:lineRule="auto"/>
        <w:jc w:val="both"/>
        <w:rPr>
          <w:sz w:val="22"/>
          <w:szCs w:val="22"/>
          <w:lang w:val="es-ES"/>
        </w:rPr>
      </w:pPr>
      <w:r w:rsidRPr="002E74C9">
        <w:rPr>
          <w:sz w:val="22"/>
          <w:szCs w:val="22"/>
          <w:lang w:val="es-ES"/>
        </w:rPr>
        <w:t xml:space="preserve">Se realiza el análisis de los resultados obtenidos en la vigencia 2017, en </w:t>
      </w:r>
      <w:r w:rsidRPr="006515AA">
        <w:rPr>
          <w:sz w:val="22"/>
          <w:szCs w:val="22"/>
          <w:lang w:val="es-ES"/>
        </w:rPr>
        <w:t xml:space="preserve">cumplimiento de la Ley 819 de 2003, </w:t>
      </w:r>
      <w:r w:rsidR="005C2AC9" w:rsidRPr="006515AA">
        <w:rPr>
          <w:sz w:val="22"/>
          <w:szCs w:val="22"/>
          <w:lang w:val="es-ES"/>
        </w:rPr>
        <w:t xml:space="preserve">tanto en el ingreso como en el </w:t>
      </w:r>
      <w:r w:rsidRPr="006515AA">
        <w:rPr>
          <w:sz w:val="22"/>
          <w:szCs w:val="22"/>
          <w:lang w:val="es-ES"/>
        </w:rPr>
        <w:t>gasto.</w:t>
      </w:r>
    </w:p>
    <w:p w14:paraId="39C2AE06" w14:textId="518B3C94" w:rsidR="00BC5A58" w:rsidRPr="006515AA" w:rsidRDefault="00311E14" w:rsidP="00C54EB0">
      <w:pPr>
        <w:pStyle w:val="Ttulo2"/>
        <w:rPr>
          <w:lang w:val="es-ES"/>
        </w:rPr>
      </w:pPr>
      <w:bookmarkStart w:id="10" w:name="_Toc532565918"/>
      <w:r w:rsidRPr="006515AA">
        <w:rPr>
          <w:rStyle w:val="Ttulo2Car"/>
          <w:b/>
          <w:bCs/>
          <w:lang w:val="es-ES"/>
        </w:rPr>
        <w:t>Ejecución de i</w:t>
      </w:r>
      <w:r w:rsidR="00AC11F7" w:rsidRPr="006515AA">
        <w:rPr>
          <w:rStyle w:val="Ttulo2Car"/>
          <w:b/>
          <w:bCs/>
          <w:lang w:val="es-ES"/>
        </w:rPr>
        <w:t>ngresos</w:t>
      </w:r>
      <w:bookmarkEnd w:id="10"/>
    </w:p>
    <w:p w14:paraId="0508B0AD" w14:textId="0916BBEA" w:rsidR="000E0BC6" w:rsidRDefault="000E0BC6" w:rsidP="000E0BC6">
      <w:pPr>
        <w:jc w:val="both"/>
        <w:rPr>
          <w:rFonts w:ascii="Century Gothic" w:eastAsia="Times New Roman" w:hAnsi="Century Gothic" w:cs="Arial"/>
          <w:color w:val="000000"/>
          <w:lang w:val="es-ES"/>
        </w:rPr>
      </w:pPr>
      <w:r w:rsidRPr="006515AA">
        <w:rPr>
          <w:rFonts w:ascii="Century Gothic" w:hAnsi="Century Gothic"/>
          <w:lang w:val="es-ES"/>
        </w:rPr>
        <w:t>El presupuesto de ingresos para la vigencia 2017 se aforó en $</w:t>
      </w:r>
      <w:r w:rsidR="005C2AC9" w:rsidRPr="006515AA">
        <w:rPr>
          <w:rFonts w:ascii="Century Gothic" w:eastAsia="Times New Roman" w:hAnsi="Century Gothic" w:cs="Arial"/>
          <w:color w:val="000000"/>
          <w:lang w:val="es-ES"/>
        </w:rPr>
        <w:t>671.</w:t>
      </w:r>
      <w:r w:rsidRPr="006515AA">
        <w:rPr>
          <w:rFonts w:ascii="Century Gothic" w:eastAsia="Times New Roman" w:hAnsi="Century Gothic" w:cs="Arial"/>
          <w:color w:val="000000"/>
          <w:lang w:val="es-ES"/>
        </w:rPr>
        <w:t>947 millones con un crecimiento del 20,62</w:t>
      </w:r>
      <w:r w:rsidR="005C2AC9" w:rsidRPr="006515AA">
        <w:rPr>
          <w:rFonts w:ascii="Century Gothic" w:eastAsia="Times New Roman" w:hAnsi="Century Gothic" w:cs="Arial"/>
          <w:color w:val="000000"/>
          <w:lang w:val="es-ES"/>
        </w:rPr>
        <w:t xml:space="preserve"> por ciento</w:t>
      </w:r>
      <w:r w:rsidRPr="006515AA">
        <w:rPr>
          <w:rFonts w:ascii="Century Gothic" w:eastAsia="Times New Roman" w:hAnsi="Century Gothic" w:cs="Arial"/>
          <w:color w:val="000000"/>
          <w:lang w:val="es-ES"/>
        </w:rPr>
        <w:t xml:space="preserve"> frente al 2016, alcanz</w:t>
      </w:r>
      <w:r w:rsidR="005C2AC9" w:rsidRPr="006515AA">
        <w:rPr>
          <w:rFonts w:ascii="Century Gothic" w:eastAsia="Times New Roman" w:hAnsi="Century Gothic" w:cs="Arial"/>
          <w:color w:val="000000"/>
          <w:lang w:val="es-ES"/>
        </w:rPr>
        <w:t xml:space="preserve">ando </w:t>
      </w:r>
      <w:r w:rsidR="005607F9" w:rsidRPr="006515AA">
        <w:rPr>
          <w:rFonts w:ascii="Century Gothic" w:eastAsia="Times New Roman" w:hAnsi="Century Gothic" w:cs="Arial"/>
          <w:color w:val="000000"/>
          <w:lang w:val="es-ES"/>
        </w:rPr>
        <w:t>un valor definitivo de $</w:t>
      </w:r>
      <w:r w:rsidR="005C2AC9" w:rsidRPr="006515AA">
        <w:rPr>
          <w:rFonts w:ascii="Century Gothic" w:eastAsia="Times New Roman" w:hAnsi="Century Gothic" w:cs="Arial"/>
          <w:color w:val="000000"/>
          <w:lang w:val="es-ES"/>
        </w:rPr>
        <w:t>748.</w:t>
      </w:r>
      <w:r w:rsidRPr="006515AA">
        <w:rPr>
          <w:rFonts w:ascii="Century Gothic" w:eastAsia="Times New Roman" w:hAnsi="Century Gothic" w:cs="Arial"/>
          <w:color w:val="000000"/>
          <w:lang w:val="es-ES"/>
        </w:rPr>
        <w:t>805 millones</w:t>
      </w:r>
      <w:r w:rsidR="00C54EB0" w:rsidRPr="006515AA">
        <w:rPr>
          <w:rFonts w:ascii="Century Gothic" w:eastAsia="Times New Roman" w:hAnsi="Century Gothic" w:cs="Arial"/>
          <w:color w:val="000000"/>
          <w:lang w:val="es-ES"/>
        </w:rPr>
        <w:t>,</w:t>
      </w:r>
      <w:r w:rsidRPr="006515AA">
        <w:rPr>
          <w:rFonts w:ascii="Century Gothic" w:eastAsia="Times New Roman" w:hAnsi="Century Gothic" w:cs="Arial"/>
          <w:color w:val="000000"/>
          <w:lang w:val="es-ES"/>
        </w:rPr>
        <w:t xml:space="preserve"> logrando un recaudo del 94,36</w:t>
      </w:r>
      <w:r w:rsidR="005C2AC9" w:rsidRPr="006515AA">
        <w:rPr>
          <w:rFonts w:ascii="Century Gothic" w:eastAsia="Times New Roman" w:hAnsi="Century Gothic" w:cs="Arial"/>
          <w:color w:val="000000"/>
          <w:lang w:val="es-ES"/>
        </w:rPr>
        <w:t xml:space="preserve"> por ciento</w:t>
      </w:r>
      <w:r w:rsidRPr="006515AA">
        <w:rPr>
          <w:rFonts w:ascii="Century Gothic" w:eastAsia="Times New Roman" w:hAnsi="Century Gothic" w:cs="Arial"/>
          <w:color w:val="000000"/>
          <w:lang w:val="es-ES"/>
        </w:rPr>
        <w:t>, por valor de</w:t>
      </w:r>
      <w:r w:rsidR="005C2AC9" w:rsidRPr="006515AA">
        <w:rPr>
          <w:rFonts w:ascii="Century Gothic" w:eastAsia="Times New Roman" w:hAnsi="Century Gothic" w:cs="Arial"/>
          <w:color w:val="000000"/>
          <w:lang w:val="es-ES"/>
        </w:rPr>
        <w:t xml:space="preserve"> $706.</w:t>
      </w:r>
      <w:r w:rsidRPr="006515AA">
        <w:rPr>
          <w:rFonts w:ascii="Century Gothic" w:eastAsia="Times New Roman" w:hAnsi="Century Gothic" w:cs="Arial"/>
          <w:color w:val="000000"/>
          <w:lang w:val="es-ES"/>
        </w:rPr>
        <w:t>591</w:t>
      </w:r>
      <w:r w:rsidR="002E74C9" w:rsidRPr="006515AA">
        <w:rPr>
          <w:rFonts w:ascii="Century Gothic" w:eastAsia="Times New Roman" w:hAnsi="Century Gothic" w:cs="Arial"/>
          <w:color w:val="000000"/>
          <w:lang w:val="es-ES"/>
        </w:rPr>
        <w:t xml:space="preserve"> millones</w:t>
      </w:r>
      <w:r w:rsidR="006515AA" w:rsidRPr="006515AA">
        <w:rPr>
          <w:rFonts w:ascii="Century Gothic" w:eastAsia="Times New Roman" w:hAnsi="Century Gothic" w:cs="Arial"/>
          <w:color w:val="000000"/>
          <w:lang w:val="es-ES"/>
        </w:rPr>
        <w:t>.</w:t>
      </w:r>
    </w:p>
    <w:p w14:paraId="7C9AFA36" w14:textId="276B1A62" w:rsidR="000F152B" w:rsidRPr="002E74C9" w:rsidRDefault="000E0BC6" w:rsidP="000E0BC6">
      <w:pPr>
        <w:jc w:val="both"/>
        <w:rPr>
          <w:rFonts w:ascii="Century Gothic" w:hAnsi="Century Gothic"/>
          <w:lang w:val="es-ES"/>
        </w:rPr>
      </w:pPr>
      <w:r w:rsidRPr="002E74C9">
        <w:rPr>
          <w:rFonts w:ascii="Century Gothic" w:eastAsia="Times New Roman" w:hAnsi="Century Gothic" w:cs="Arial"/>
          <w:color w:val="000000"/>
          <w:lang w:val="es-ES"/>
        </w:rPr>
        <w:t>La ejecución de ingresos se encuentra desagregada en ingresos corrientes, ingresos de los fondos</w:t>
      </w:r>
      <w:r w:rsidR="00AC58CA" w:rsidRPr="002E74C9">
        <w:rPr>
          <w:rFonts w:ascii="Century Gothic" w:eastAsia="Times New Roman" w:hAnsi="Century Gothic" w:cs="Arial"/>
          <w:color w:val="000000"/>
          <w:lang w:val="es-ES"/>
        </w:rPr>
        <w:t xml:space="preserve">, </w:t>
      </w:r>
      <w:r w:rsidRPr="002E74C9">
        <w:rPr>
          <w:rFonts w:ascii="Century Gothic" w:eastAsia="Times New Roman" w:hAnsi="Century Gothic" w:cs="Arial"/>
          <w:color w:val="000000"/>
          <w:lang w:val="es-ES"/>
        </w:rPr>
        <w:t xml:space="preserve">los recursos de capital e ingresos de establecimientos públicos y de la </w:t>
      </w:r>
      <w:r w:rsidRPr="002E74C9">
        <w:rPr>
          <w:rFonts w:ascii="Century Gothic" w:hAnsi="Century Gothic"/>
          <w:lang w:val="es-ES"/>
        </w:rPr>
        <w:t xml:space="preserve">Unidad Administrativa Especial del Sistema Estratégico de </w:t>
      </w:r>
      <w:r w:rsidR="005C2AC9" w:rsidRPr="002E74C9">
        <w:rPr>
          <w:rFonts w:ascii="Century Gothic" w:hAnsi="Century Gothic"/>
          <w:lang w:val="es-ES"/>
        </w:rPr>
        <w:t xml:space="preserve">Transporte Público </w:t>
      </w:r>
      <w:r w:rsidRPr="002E74C9">
        <w:rPr>
          <w:rFonts w:ascii="Century Gothic" w:hAnsi="Century Gothic"/>
          <w:lang w:val="es-ES"/>
        </w:rPr>
        <w:t>UAE – SETP.</w:t>
      </w:r>
    </w:p>
    <w:p w14:paraId="607DE83F" w14:textId="4441C545" w:rsidR="00BD320F" w:rsidRPr="002E74C9" w:rsidRDefault="007A0261" w:rsidP="005607F9">
      <w:pPr>
        <w:pStyle w:val="Epgrafe"/>
        <w:spacing w:after="0" w:line="276" w:lineRule="auto"/>
        <w:jc w:val="center"/>
        <w:rPr>
          <w:rFonts w:ascii="Century Gothic" w:hAnsi="Century Gothic"/>
          <w:b w:val="0"/>
          <w:noProof/>
          <w:color w:val="auto"/>
          <w:sz w:val="22"/>
          <w:szCs w:val="22"/>
          <w:lang w:val="es-ES"/>
        </w:rPr>
      </w:pPr>
      <w:bookmarkStart w:id="11" w:name="_Toc532566055"/>
      <w:r w:rsidRPr="002E74C9">
        <w:rPr>
          <w:rFonts w:ascii="Century Gothic" w:hAnsi="Century Gothic"/>
          <w:b w:val="0"/>
          <w:color w:val="auto"/>
          <w:sz w:val="22"/>
          <w:szCs w:val="22"/>
          <w:lang w:val="es-ES"/>
        </w:rPr>
        <w:t xml:space="preserve">Gráfica </w:t>
      </w:r>
      <w:r w:rsidR="00A83A24" w:rsidRPr="002E74C9">
        <w:rPr>
          <w:rFonts w:ascii="Century Gothic" w:hAnsi="Century Gothic"/>
          <w:b w:val="0"/>
          <w:color w:val="auto"/>
          <w:sz w:val="22"/>
          <w:szCs w:val="22"/>
          <w:lang w:val="es-ES"/>
        </w:rPr>
        <w:fldChar w:fldCharType="begin"/>
      </w:r>
      <w:r w:rsidRPr="002E74C9">
        <w:rPr>
          <w:rFonts w:ascii="Century Gothic" w:hAnsi="Century Gothic"/>
          <w:b w:val="0"/>
          <w:color w:val="auto"/>
          <w:sz w:val="22"/>
          <w:szCs w:val="22"/>
          <w:lang w:val="es-ES"/>
        </w:rPr>
        <w:instrText xml:space="preserve"> SEQ Gráfica \* ARABIC </w:instrText>
      </w:r>
      <w:r w:rsidR="00A83A24" w:rsidRPr="002E74C9">
        <w:rPr>
          <w:rFonts w:ascii="Century Gothic" w:hAnsi="Century Gothic"/>
          <w:b w:val="0"/>
          <w:color w:val="auto"/>
          <w:sz w:val="22"/>
          <w:szCs w:val="22"/>
          <w:lang w:val="es-ES"/>
        </w:rPr>
        <w:fldChar w:fldCharType="separate"/>
      </w:r>
      <w:r w:rsidR="004A2E30" w:rsidRPr="002E74C9">
        <w:rPr>
          <w:rFonts w:ascii="Century Gothic" w:hAnsi="Century Gothic"/>
          <w:b w:val="0"/>
          <w:noProof/>
          <w:color w:val="auto"/>
          <w:sz w:val="22"/>
          <w:szCs w:val="22"/>
          <w:lang w:val="es-ES"/>
        </w:rPr>
        <w:t>2</w:t>
      </w:r>
      <w:r w:rsidR="00A83A24" w:rsidRPr="002E74C9">
        <w:rPr>
          <w:rFonts w:ascii="Century Gothic" w:hAnsi="Century Gothic"/>
          <w:b w:val="0"/>
          <w:color w:val="auto"/>
          <w:sz w:val="22"/>
          <w:szCs w:val="22"/>
          <w:lang w:val="es-ES"/>
        </w:rPr>
        <w:fldChar w:fldCharType="end"/>
      </w:r>
      <w:r w:rsidRPr="002E74C9">
        <w:rPr>
          <w:rFonts w:ascii="Century Gothic" w:hAnsi="Century Gothic"/>
          <w:b w:val="0"/>
          <w:color w:val="auto"/>
          <w:sz w:val="22"/>
          <w:szCs w:val="22"/>
          <w:lang w:val="es-ES"/>
        </w:rPr>
        <w:t xml:space="preserve">. </w:t>
      </w:r>
      <w:r w:rsidR="00AC11F7" w:rsidRPr="002E74C9">
        <w:rPr>
          <w:rFonts w:ascii="Century Gothic" w:hAnsi="Century Gothic"/>
          <w:b w:val="0"/>
          <w:color w:val="auto"/>
          <w:sz w:val="22"/>
          <w:szCs w:val="22"/>
          <w:lang w:val="es-ES"/>
        </w:rPr>
        <w:t xml:space="preserve">Composición </w:t>
      </w:r>
      <w:r w:rsidR="000E0BC6" w:rsidRPr="002E74C9">
        <w:rPr>
          <w:rFonts w:ascii="Century Gothic" w:hAnsi="Century Gothic"/>
          <w:b w:val="0"/>
          <w:color w:val="auto"/>
          <w:sz w:val="22"/>
          <w:szCs w:val="22"/>
          <w:lang w:val="es-ES"/>
        </w:rPr>
        <w:t>apropiación definitiva de</w:t>
      </w:r>
      <w:r w:rsidR="00AC11F7" w:rsidRPr="002E74C9">
        <w:rPr>
          <w:rFonts w:ascii="Century Gothic" w:hAnsi="Century Gothic"/>
          <w:b w:val="0"/>
          <w:color w:val="auto"/>
          <w:sz w:val="22"/>
          <w:szCs w:val="22"/>
          <w:lang w:val="es-ES"/>
        </w:rPr>
        <w:t xml:space="preserve"> </w:t>
      </w:r>
      <w:r w:rsidRPr="002E74C9">
        <w:rPr>
          <w:rFonts w:ascii="Century Gothic" w:hAnsi="Century Gothic"/>
          <w:b w:val="0"/>
          <w:color w:val="auto"/>
          <w:sz w:val="22"/>
          <w:szCs w:val="22"/>
          <w:lang w:val="es-ES"/>
        </w:rPr>
        <w:t>ingresos, 201</w:t>
      </w:r>
      <w:r w:rsidR="000E0BC6" w:rsidRPr="002E74C9">
        <w:rPr>
          <w:rFonts w:ascii="Century Gothic" w:hAnsi="Century Gothic"/>
          <w:b w:val="0"/>
          <w:color w:val="auto"/>
          <w:sz w:val="22"/>
          <w:szCs w:val="22"/>
          <w:lang w:val="es-ES"/>
        </w:rPr>
        <w:t>7</w:t>
      </w:r>
      <w:r w:rsidR="00AC11F7" w:rsidRPr="002E74C9">
        <w:rPr>
          <w:rFonts w:ascii="Century Gothic" w:hAnsi="Century Gothic"/>
          <w:b w:val="0"/>
          <w:color w:val="auto"/>
          <w:sz w:val="22"/>
          <w:szCs w:val="22"/>
          <w:lang w:val="es-ES"/>
        </w:rPr>
        <w:t xml:space="preserve"> (millones)</w:t>
      </w:r>
      <w:bookmarkEnd w:id="11"/>
    </w:p>
    <w:p w14:paraId="594391D3" w14:textId="13032AFE" w:rsidR="00BD320F" w:rsidRPr="002E74C9" w:rsidRDefault="00AC58CA" w:rsidP="00A65614">
      <w:pPr>
        <w:spacing w:after="0"/>
        <w:jc w:val="center"/>
        <w:rPr>
          <w:rFonts w:ascii="Century Gothic" w:hAnsi="Century Gothic"/>
          <w:lang w:val="es-ES"/>
        </w:rPr>
      </w:pPr>
      <w:r w:rsidRPr="002E74C9">
        <w:rPr>
          <w:rFonts w:ascii="Century Gothic" w:hAnsi="Century Gothic"/>
          <w:noProof/>
          <w:lang w:val="es-ES" w:eastAsia="es-ES"/>
        </w:rPr>
        <w:drawing>
          <wp:inline distT="0" distB="0" distL="0" distR="0" wp14:anchorId="01A733A9" wp14:editId="6DDE01AB">
            <wp:extent cx="4533900" cy="2283815"/>
            <wp:effectExtent l="0" t="0" r="0" b="254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1575" cy="2282644"/>
                    </a:xfrm>
                    <a:prstGeom prst="rect">
                      <a:avLst/>
                    </a:prstGeom>
                    <a:noFill/>
                  </pic:spPr>
                </pic:pic>
              </a:graphicData>
            </a:graphic>
          </wp:inline>
        </w:drawing>
      </w:r>
    </w:p>
    <w:p w14:paraId="103E3CCC" w14:textId="3B5D36D9" w:rsidR="00BD320F" w:rsidRPr="002E74C9" w:rsidRDefault="00D17CF8" w:rsidP="009931F5">
      <w:pPr>
        <w:jc w:val="center"/>
        <w:rPr>
          <w:rFonts w:ascii="Century Gothic" w:hAnsi="Century Gothic"/>
          <w:sz w:val="20"/>
          <w:lang w:val="es-ES"/>
        </w:rPr>
      </w:pPr>
      <w:r w:rsidRPr="002E74C9">
        <w:rPr>
          <w:rFonts w:ascii="Century Gothic" w:hAnsi="Century Gothic"/>
          <w:sz w:val="20"/>
          <w:lang w:val="es-ES"/>
        </w:rPr>
        <w:t>Fuente: Secretaría de Hacienda</w:t>
      </w:r>
      <w:r w:rsidR="005607F9" w:rsidRPr="002E74C9">
        <w:rPr>
          <w:rFonts w:ascii="Century Gothic" w:hAnsi="Century Gothic"/>
          <w:sz w:val="20"/>
          <w:lang w:val="es-ES"/>
        </w:rPr>
        <w:t>, 2018</w:t>
      </w:r>
      <w:r w:rsidRPr="002E74C9">
        <w:rPr>
          <w:rFonts w:ascii="Century Gothic" w:hAnsi="Century Gothic"/>
          <w:sz w:val="20"/>
          <w:lang w:val="es-ES"/>
        </w:rPr>
        <w:t>.</w:t>
      </w:r>
    </w:p>
    <w:p w14:paraId="7D8407CC" w14:textId="36DF6C1F" w:rsidR="003D3EFA" w:rsidRPr="002E74C9" w:rsidRDefault="002E74C9" w:rsidP="005607F9">
      <w:pPr>
        <w:tabs>
          <w:tab w:val="left" w:pos="8789"/>
        </w:tabs>
        <w:jc w:val="both"/>
        <w:rPr>
          <w:rFonts w:ascii="Century Gothic" w:hAnsi="Century Gothic"/>
          <w:lang w:val="es-ES"/>
        </w:rPr>
      </w:pPr>
      <w:r w:rsidRPr="002E74C9">
        <w:rPr>
          <w:rFonts w:ascii="Century Gothic" w:hAnsi="Century Gothic"/>
          <w:lang w:val="es-ES"/>
        </w:rPr>
        <w:lastRenderedPageBreak/>
        <w:t>Del total de ingresos, e</w:t>
      </w:r>
      <w:r w:rsidR="005607F9" w:rsidRPr="002E74C9">
        <w:rPr>
          <w:rFonts w:ascii="Century Gothic" w:hAnsi="Century Gothic"/>
          <w:lang w:val="es-ES"/>
        </w:rPr>
        <w:t>l 43</w:t>
      </w:r>
      <w:r w:rsidR="00887EF9" w:rsidRPr="002E74C9">
        <w:rPr>
          <w:rFonts w:ascii="Century Gothic" w:hAnsi="Century Gothic"/>
          <w:lang w:val="es-ES"/>
        </w:rPr>
        <w:t xml:space="preserve"> por ciento </w:t>
      </w:r>
      <w:r w:rsidR="005607F9" w:rsidRPr="002E74C9">
        <w:rPr>
          <w:rFonts w:ascii="Century Gothic" w:hAnsi="Century Gothic"/>
          <w:lang w:val="es-ES"/>
        </w:rPr>
        <w:t>corresponden a ingresos corrientes (no incluye ingresos corrientes de los Fondos), el 33</w:t>
      </w:r>
      <w:r w:rsidR="00887EF9" w:rsidRPr="002E74C9">
        <w:rPr>
          <w:rFonts w:ascii="Century Gothic" w:hAnsi="Century Gothic"/>
          <w:lang w:val="es-ES"/>
        </w:rPr>
        <w:t xml:space="preserve"> por ciento</w:t>
      </w:r>
      <w:r w:rsidR="00AC58CA" w:rsidRPr="002E74C9">
        <w:rPr>
          <w:rFonts w:ascii="Century Gothic" w:hAnsi="Century Gothic"/>
          <w:lang w:val="es-ES"/>
        </w:rPr>
        <w:t xml:space="preserve"> hace referencia a</w:t>
      </w:r>
      <w:r w:rsidR="00887EF9" w:rsidRPr="002E74C9">
        <w:rPr>
          <w:rFonts w:ascii="Century Gothic" w:hAnsi="Century Gothic"/>
          <w:lang w:val="es-ES"/>
        </w:rPr>
        <w:t xml:space="preserve"> </w:t>
      </w:r>
      <w:r w:rsidR="005607F9" w:rsidRPr="002E74C9">
        <w:rPr>
          <w:rFonts w:ascii="Century Gothic" w:hAnsi="Century Gothic"/>
          <w:lang w:val="es-ES"/>
        </w:rPr>
        <w:t>los ingresos de los Fondos, el 19</w:t>
      </w:r>
      <w:r w:rsidR="00887EF9" w:rsidRPr="002E74C9">
        <w:rPr>
          <w:rFonts w:ascii="Century Gothic" w:hAnsi="Century Gothic"/>
          <w:lang w:val="es-ES"/>
        </w:rPr>
        <w:t xml:space="preserve"> por ciento</w:t>
      </w:r>
      <w:r w:rsidR="005607F9" w:rsidRPr="002E74C9">
        <w:rPr>
          <w:rFonts w:ascii="Century Gothic" w:hAnsi="Century Gothic"/>
          <w:lang w:val="es-ES"/>
        </w:rPr>
        <w:t xml:space="preserve"> a recursos de capital y el 5</w:t>
      </w:r>
      <w:r w:rsidR="00887EF9" w:rsidRPr="002E74C9">
        <w:rPr>
          <w:rFonts w:ascii="Century Gothic" w:hAnsi="Century Gothic"/>
          <w:lang w:val="es-ES"/>
        </w:rPr>
        <w:t xml:space="preserve"> por ciento</w:t>
      </w:r>
      <w:r w:rsidR="005607F9" w:rsidRPr="002E74C9">
        <w:rPr>
          <w:rFonts w:ascii="Century Gothic" w:hAnsi="Century Gothic"/>
          <w:lang w:val="es-ES"/>
        </w:rPr>
        <w:t xml:space="preserve"> a los ingresos de los Establecimientos Públicos y la Unidad Administrativa Especial del Sistema Estratégico de </w:t>
      </w:r>
      <w:r w:rsidR="00887EF9" w:rsidRPr="002E74C9">
        <w:rPr>
          <w:rFonts w:ascii="Century Gothic" w:hAnsi="Century Gothic"/>
          <w:lang w:val="es-ES"/>
        </w:rPr>
        <w:t xml:space="preserve">Transporte Público </w:t>
      </w:r>
      <w:r w:rsidR="005607F9" w:rsidRPr="002E74C9">
        <w:rPr>
          <w:rFonts w:ascii="Century Gothic" w:hAnsi="Century Gothic"/>
          <w:lang w:val="es-ES"/>
        </w:rPr>
        <w:t>UAE – SETP.</w:t>
      </w:r>
    </w:p>
    <w:p w14:paraId="26761A0B" w14:textId="4800F9FA" w:rsidR="006515AA" w:rsidRDefault="00AC58CA" w:rsidP="002E74C9">
      <w:pPr>
        <w:jc w:val="both"/>
        <w:rPr>
          <w:rFonts w:ascii="Century Gothic" w:hAnsi="Century Gothic"/>
          <w:lang w:val="es-ES"/>
        </w:rPr>
      </w:pPr>
      <w:r w:rsidRPr="002E74C9">
        <w:rPr>
          <w:rFonts w:ascii="Century Gothic" w:hAnsi="Century Gothic"/>
          <w:lang w:val="es-ES"/>
        </w:rPr>
        <w:t>Ahora bien, en la siguiente gráfica se observa el cumplimiento del recaudo</w:t>
      </w:r>
      <w:r w:rsidR="002E74C9" w:rsidRPr="002E74C9">
        <w:rPr>
          <w:rFonts w:ascii="Century Gothic" w:hAnsi="Century Gothic"/>
          <w:lang w:val="es-ES"/>
        </w:rPr>
        <w:t xml:space="preserve"> en cada uno de los ingresos, el cual se aproxima </w:t>
      </w:r>
      <w:r w:rsidRPr="002E74C9">
        <w:rPr>
          <w:rFonts w:ascii="Century Gothic" w:hAnsi="Century Gothic"/>
          <w:lang w:val="es-ES"/>
        </w:rPr>
        <w:t xml:space="preserve">al 100 por ciento frente al valor definitivo, excepto en los establecimientos públicos, cuyo recaudo fue del 2 por ciento, </w:t>
      </w:r>
      <w:r w:rsidR="002E74C9" w:rsidRPr="002E74C9">
        <w:rPr>
          <w:rFonts w:ascii="Century Gothic" w:hAnsi="Century Gothic"/>
          <w:lang w:val="es-ES"/>
        </w:rPr>
        <w:t xml:space="preserve">debido a que </w:t>
      </w:r>
      <w:r w:rsidRPr="002E74C9">
        <w:rPr>
          <w:rFonts w:ascii="Century Gothic" w:hAnsi="Century Gothic"/>
          <w:lang w:val="es-ES"/>
        </w:rPr>
        <w:t xml:space="preserve">la UAE – SETP, fue creada para la ejecución de las obras del SETP, </w:t>
      </w:r>
      <w:r w:rsidR="002E74C9" w:rsidRPr="002E74C9">
        <w:rPr>
          <w:rFonts w:ascii="Century Gothic" w:hAnsi="Century Gothic"/>
          <w:lang w:val="es-ES"/>
        </w:rPr>
        <w:t xml:space="preserve">producto </w:t>
      </w:r>
      <w:r w:rsidRPr="002E74C9">
        <w:rPr>
          <w:rFonts w:ascii="Century Gothic" w:hAnsi="Century Gothic"/>
          <w:lang w:val="es-ES"/>
        </w:rPr>
        <w:t>de un convenio de ejecución con la Nación</w:t>
      </w:r>
      <w:r w:rsidR="002E74C9" w:rsidRPr="002E74C9">
        <w:rPr>
          <w:rFonts w:ascii="Century Gothic" w:hAnsi="Century Gothic"/>
          <w:lang w:val="es-ES"/>
        </w:rPr>
        <w:t>;</w:t>
      </w:r>
      <w:r w:rsidRPr="002E74C9">
        <w:rPr>
          <w:rFonts w:ascii="Century Gothic" w:hAnsi="Century Gothic"/>
          <w:lang w:val="es-ES"/>
        </w:rPr>
        <w:t xml:space="preserve"> en e</w:t>
      </w:r>
      <w:r w:rsidRPr="008954F2">
        <w:rPr>
          <w:rFonts w:ascii="Century Gothic" w:hAnsi="Century Gothic"/>
          <w:sz w:val="20"/>
          <w:lang w:val="es-ES"/>
        </w:rPr>
        <w:t>l</w:t>
      </w:r>
      <w:r w:rsidRPr="002E74C9">
        <w:rPr>
          <w:rFonts w:ascii="Century Gothic" w:hAnsi="Century Gothic"/>
          <w:lang w:val="es-ES"/>
        </w:rPr>
        <w:t xml:space="preserve"> ingreso se incorporan los recursos de los aportes de la Nación, lo</w:t>
      </w:r>
      <w:r w:rsidR="0018707B" w:rsidRPr="002E74C9">
        <w:rPr>
          <w:rFonts w:ascii="Century Gothic" w:hAnsi="Century Gothic"/>
          <w:lang w:val="es-ES"/>
        </w:rPr>
        <w:t>s</w:t>
      </w:r>
      <w:r w:rsidRPr="002E74C9">
        <w:rPr>
          <w:rFonts w:ascii="Century Gothic" w:hAnsi="Century Gothic"/>
          <w:lang w:val="es-ES"/>
        </w:rPr>
        <w:t xml:space="preserve"> que se observa</w:t>
      </w:r>
      <w:r w:rsidR="0018707B" w:rsidRPr="002E74C9">
        <w:rPr>
          <w:rFonts w:ascii="Century Gothic" w:hAnsi="Century Gothic"/>
          <w:lang w:val="es-ES"/>
        </w:rPr>
        <w:t>n</w:t>
      </w:r>
      <w:r w:rsidRPr="002E74C9">
        <w:rPr>
          <w:rFonts w:ascii="Century Gothic" w:hAnsi="Century Gothic"/>
          <w:lang w:val="es-ES"/>
        </w:rPr>
        <w:t xml:space="preserve"> durante la vigencia 2017 no fueron girados, pero si fueron reconocidos.</w:t>
      </w:r>
    </w:p>
    <w:p w14:paraId="230C6D67" w14:textId="5D651730" w:rsidR="005607F9" w:rsidRPr="002E74C9" w:rsidRDefault="005607F9" w:rsidP="005607F9">
      <w:pPr>
        <w:spacing w:after="0"/>
        <w:jc w:val="center"/>
        <w:rPr>
          <w:rFonts w:ascii="Century Gothic" w:hAnsi="Century Gothic"/>
          <w:lang w:val="es-ES"/>
        </w:rPr>
      </w:pPr>
      <w:bookmarkStart w:id="12" w:name="_Toc532566056"/>
      <w:r w:rsidRPr="002E74C9">
        <w:rPr>
          <w:rFonts w:ascii="Century Gothic" w:hAnsi="Century Gothic"/>
          <w:lang w:val="es-ES"/>
        </w:rPr>
        <w:t xml:space="preserve">Gráfica </w:t>
      </w:r>
      <w:r w:rsidRPr="002E74C9">
        <w:rPr>
          <w:rFonts w:ascii="Century Gothic" w:hAnsi="Century Gothic"/>
          <w:lang w:val="es-ES"/>
        </w:rPr>
        <w:fldChar w:fldCharType="begin"/>
      </w:r>
      <w:r w:rsidRPr="002E74C9">
        <w:rPr>
          <w:rFonts w:ascii="Century Gothic" w:hAnsi="Century Gothic"/>
          <w:lang w:val="es-ES"/>
        </w:rPr>
        <w:instrText xml:space="preserve"> SEQ Gráfica \* ARABIC </w:instrText>
      </w:r>
      <w:r w:rsidRPr="002E74C9">
        <w:rPr>
          <w:rFonts w:ascii="Century Gothic" w:hAnsi="Century Gothic"/>
          <w:lang w:val="es-ES"/>
        </w:rPr>
        <w:fldChar w:fldCharType="separate"/>
      </w:r>
      <w:r w:rsidR="004A2E30" w:rsidRPr="002E74C9">
        <w:rPr>
          <w:rFonts w:ascii="Century Gothic" w:hAnsi="Century Gothic"/>
          <w:noProof/>
          <w:lang w:val="es-ES"/>
        </w:rPr>
        <w:t>3</w:t>
      </w:r>
      <w:r w:rsidRPr="002E74C9">
        <w:rPr>
          <w:rFonts w:ascii="Century Gothic" w:hAnsi="Century Gothic"/>
          <w:lang w:val="es-ES"/>
        </w:rPr>
        <w:fldChar w:fldCharType="end"/>
      </w:r>
      <w:r w:rsidRPr="002E74C9">
        <w:rPr>
          <w:rFonts w:ascii="Century Gothic" w:hAnsi="Century Gothic"/>
          <w:lang w:val="es-ES"/>
        </w:rPr>
        <w:t>. Recaudo ingresos 2017</w:t>
      </w:r>
      <w:bookmarkEnd w:id="12"/>
    </w:p>
    <w:p w14:paraId="2ECDCA48" w14:textId="7CC2B82F" w:rsidR="005607F9" w:rsidRPr="002E74C9" w:rsidRDefault="00AC58CA" w:rsidP="005607F9">
      <w:pPr>
        <w:spacing w:after="0"/>
        <w:jc w:val="center"/>
        <w:rPr>
          <w:rFonts w:ascii="Century Gothic" w:hAnsi="Century Gothic"/>
          <w:lang w:val="es-ES"/>
        </w:rPr>
      </w:pPr>
      <w:r w:rsidRPr="002E74C9">
        <w:rPr>
          <w:rFonts w:ascii="Century Gothic" w:hAnsi="Century Gothic"/>
          <w:noProof/>
          <w:lang w:val="es-ES" w:eastAsia="es-ES"/>
        </w:rPr>
        <w:drawing>
          <wp:inline distT="0" distB="0" distL="0" distR="0" wp14:anchorId="50922B6A" wp14:editId="14B0A7A7">
            <wp:extent cx="3657600" cy="2017778"/>
            <wp:effectExtent l="0" t="0" r="0" b="190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592" cy="2017222"/>
                    </a:xfrm>
                    <a:prstGeom prst="rect">
                      <a:avLst/>
                    </a:prstGeom>
                    <a:noFill/>
                  </pic:spPr>
                </pic:pic>
              </a:graphicData>
            </a:graphic>
          </wp:inline>
        </w:drawing>
      </w:r>
    </w:p>
    <w:p w14:paraId="7C85C0AC" w14:textId="1C328132" w:rsidR="005607F9" w:rsidRPr="002E74C9" w:rsidRDefault="005607F9" w:rsidP="00AC58CA">
      <w:pPr>
        <w:jc w:val="center"/>
        <w:rPr>
          <w:rFonts w:ascii="Century Gothic" w:hAnsi="Century Gothic"/>
          <w:lang w:val="es-ES"/>
        </w:rPr>
      </w:pPr>
      <w:r w:rsidRPr="002E74C9">
        <w:rPr>
          <w:rFonts w:ascii="Century Gothic" w:hAnsi="Century Gothic"/>
          <w:sz w:val="20"/>
          <w:lang w:val="es-ES"/>
        </w:rPr>
        <w:t>Fuente: Secretaría de Hacienda, 2018.</w:t>
      </w:r>
    </w:p>
    <w:p w14:paraId="053DD620" w14:textId="253C7EEB" w:rsidR="00BD320F" w:rsidRPr="003B578E" w:rsidRDefault="00BD320F" w:rsidP="00732447">
      <w:pPr>
        <w:pStyle w:val="Ttulo3"/>
        <w:rPr>
          <w:lang w:val="es-ES"/>
        </w:rPr>
      </w:pPr>
      <w:bookmarkStart w:id="13" w:name="_Toc532565919"/>
      <w:r w:rsidRPr="003B578E">
        <w:rPr>
          <w:lang w:val="es-ES"/>
        </w:rPr>
        <w:t xml:space="preserve">Ingresos </w:t>
      </w:r>
      <w:r w:rsidR="0089238E" w:rsidRPr="003B578E">
        <w:rPr>
          <w:lang w:val="es-ES"/>
        </w:rPr>
        <w:t>c</w:t>
      </w:r>
      <w:r w:rsidRPr="003B578E">
        <w:rPr>
          <w:lang w:val="es-ES"/>
        </w:rPr>
        <w:t>orrientes</w:t>
      </w:r>
      <w:bookmarkEnd w:id="13"/>
    </w:p>
    <w:p w14:paraId="234C6723" w14:textId="1814435C" w:rsidR="005607F9" w:rsidRPr="003B578E" w:rsidRDefault="005607F9" w:rsidP="005607F9">
      <w:pPr>
        <w:jc w:val="both"/>
        <w:rPr>
          <w:rFonts w:ascii="Century Gothic" w:hAnsi="Century Gothic"/>
          <w:lang w:val="es-ES"/>
        </w:rPr>
      </w:pPr>
      <w:r w:rsidRPr="003B578E">
        <w:rPr>
          <w:rFonts w:ascii="Century Gothic" w:hAnsi="Century Gothic"/>
          <w:lang w:val="es-ES"/>
        </w:rPr>
        <w:t>Los ingresos corrientes presenta</w:t>
      </w:r>
      <w:r w:rsidR="0089238E" w:rsidRPr="003B578E">
        <w:rPr>
          <w:rFonts w:ascii="Century Gothic" w:hAnsi="Century Gothic"/>
          <w:lang w:val="es-ES"/>
        </w:rPr>
        <w:t>ron</w:t>
      </w:r>
      <w:r w:rsidRPr="003B578E">
        <w:rPr>
          <w:rFonts w:ascii="Century Gothic" w:hAnsi="Century Gothic"/>
          <w:lang w:val="es-ES"/>
        </w:rPr>
        <w:t xml:space="preserve"> un aforo definitivo de $522.179 millones</w:t>
      </w:r>
      <w:r w:rsidR="0089238E" w:rsidRPr="003B578E">
        <w:rPr>
          <w:rFonts w:ascii="Century Gothic" w:hAnsi="Century Gothic"/>
          <w:lang w:val="es-ES"/>
        </w:rPr>
        <w:t>,</w:t>
      </w:r>
      <w:r w:rsidRPr="003B578E">
        <w:rPr>
          <w:rFonts w:ascii="Century Gothic" w:hAnsi="Century Gothic"/>
          <w:lang w:val="es-ES"/>
        </w:rPr>
        <w:t xml:space="preserve"> de los cuales</w:t>
      </w:r>
      <w:r w:rsidR="0089238E" w:rsidRPr="003B578E">
        <w:rPr>
          <w:rFonts w:ascii="Century Gothic" w:hAnsi="Century Gothic"/>
          <w:lang w:val="es-ES"/>
        </w:rPr>
        <w:t>,</w:t>
      </w:r>
      <w:r w:rsidRPr="003B578E">
        <w:rPr>
          <w:rFonts w:ascii="Century Gothic" w:hAnsi="Century Gothic"/>
          <w:lang w:val="es-ES"/>
        </w:rPr>
        <w:t xml:space="preserve"> $198.842 </w:t>
      </w:r>
      <w:r w:rsidR="002E74C9" w:rsidRPr="003B578E">
        <w:rPr>
          <w:rFonts w:ascii="Century Gothic" w:hAnsi="Century Gothic"/>
          <w:lang w:val="es-ES"/>
        </w:rPr>
        <w:t xml:space="preserve">millones </w:t>
      </w:r>
      <w:r w:rsidRPr="003B578E">
        <w:rPr>
          <w:rFonts w:ascii="Century Gothic" w:hAnsi="Century Gothic"/>
          <w:lang w:val="es-ES"/>
        </w:rPr>
        <w:t>(38%) corresponden a ingresos corrientes de los diferentes Fondos creados por la ley y los acuerdos municip</w:t>
      </w:r>
      <w:r w:rsidR="0089238E" w:rsidRPr="003B578E">
        <w:rPr>
          <w:rFonts w:ascii="Century Gothic" w:hAnsi="Century Gothic"/>
          <w:lang w:val="es-ES"/>
        </w:rPr>
        <w:t xml:space="preserve">ales, se logró 99,5 por ciento de cumplimiento </w:t>
      </w:r>
      <w:r w:rsidRPr="003B578E">
        <w:rPr>
          <w:rFonts w:ascii="Century Gothic" w:hAnsi="Century Gothic"/>
          <w:lang w:val="es-ES"/>
        </w:rPr>
        <w:t>del total de ingresos corrientes.</w:t>
      </w:r>
    </w:p>
    <w:p w14:paraId="451D6343" w14:textId="60190A30" w:rsidR="005607F9" w:rsidRPr="003B578E" w:rsidRDefault="00B24451" w:rsidP="005607F9">
      <w:pPr>
        <w:jc w:val="both"/>
        <w:rPr>
          <w:rFonts w:ascii="Century Gothic" w:hAnsi="Century Gothic"/>
          <w:lang w:val="es-ES"/>
        </w:rPr>
      </w:pPr>
      <w:r>
        <w:rPr>
          <w:rFonts w:ascii="Century Gothic" w:hAnsi="Century Gothic"/>
          <w:lang w:val="es-ES"/>
        </w:rPr>
        <w:t>A</w:t>
      </w:r>
      <w:r w:rsidR="005607F9" w:rsidRPr="003B578E">
        <w:rPr>
          <w:rFonts w:ascii="Century Gothic" w:hAnsi="Century Gothic"/>
          <w:lang w:val="es-ES"/>
        </w:rPr>
        <w:t xml:space="preserve"> continuación se discriminan los ingresos corrientes (sin incluir ingresos de fondos</w:t>
      </w:r>
      <w:r w:rsidR="0089238E" w:rsidRPr="003B578E">
        <w:rPr>
          <w:rFonts w:ascii="Century Gothic" w:hAnsi="Century Gothic"/>
          <w:lang w:val="es-ES"/>
        </w:rPr>
        <w:t>,</w:t>
      </w:r>
      <w:r w:rsidR="005607F9" w:rsidRPr="003B578E">
        <w:rPr>
          <w:rFonts w:ascii="Century Gothic" w:hAnsi="Century Gothic"/>
          <w:lang w:val="es-ES"/>
        </w:rPr>
        <w:t xml:space="preserve"> ni de los establecimientos públicos y Unidad Administrativa) con un valor aforado de $323.337</w:t>
      </w:r>
      <w:r w:rsidR="002E74C9" w:rsidRPr="003B578E">
        <w:rPr>
          <w:rFonts w:ascii="Century Gothic" w:hAnsi="Century Gothic"/>
          <w:lang w:val="es-ES"/>
        </w:rPr>
        <w:t xml:space="preserve"> millones</w:t>
      </w:r>
      <w:r w:rsidR="005607F9" w:rsidRPr="003B578E">
        <w:rPr>
          <w:rFonts w:ascii="Century Gothic" w:hAnsi="Century Gothic"/>
          <w:lang w:val="es-ES"/>
        </w:rPr>
        <w:t>, de los cuales</w:t>
      </w:r>
      <w:r w:rsidR="0089238E" w:rsidRPr="003B578E">
        <w:rPr>
          <w:rFonts w:ascii="Century Gothic" w:hAnsi="Century Gothic"/>
          <w:lang w:val="es-ES"/>
        </w:rPr>
        <w:t>,</w:t>
      </w:r>
      <w:r w:rsidR="005607F9" w:rsidRPr="003B578E">
        <w:rPr>
          <w:rFonts w:ascii="Century Gothic" w:hAnsi="Century Gothic"/>
          <w:lang w:val="es-ES"/>
        </w:rPr>
        <w:t xml:space="preserve"> se logró un recaudo del 99,5</w:t>
      </w:r>
      <w:r w:rsidR="00887EF9" w:rsidRPr="003B578E">
        <w:rPr>
          <w:rFonts w:ascii="Century Gothic" w:hAnsi="Century Gothic"/>
          <w:lang w:val="es-ES"/>
        </w:rPr>
        <w:t xml:space="preserve"> por ciento</w:t>
      </w:r>
      <w:r w:rsidR="005607F9" w:rsidRPr="003B578E">
        <w:rPr>
          <w:rFonts w:ascii="Century Gothic" w:hAnsi="Century Gothic"/>
          <w:lang w:val="es-ES"/>
        </w:rPr>
        <w:t xml:space="preserve">, </w:t>
      </w:r>
      <w:r w:rsidR="0089238E" w:rsidRPr="003B578E">
        <w:rPr>
          <w:rFonts w:ascii="Century Gothic" w:hAnsi="Century Gothic"/>
          <w:lang w:val="es-ES"/>
        </w:rPr>
        <w:t xml:space="preserve">resultado de </w:t>
      </w:r>
      <w:r w:rsidR="005607F9" w:rsidRPr="003B578E">
        <w:rPr>
          <w:rFonts w:ascii="Century Gothic" w:hAnsi="Century Gothic"/>
          <w:lang w:val="es-ES"/>
        </w:rPr>
        <w:t>un buen comportamiento de los ingresos percibidos por impuesto predial de vigencias anteriores que alcanzó un 120</w:t>
      </w:r>
      <w:r w:rsidR="00887EF9" w:rsidRPr="003B578E">
        <w:rPr>
          <w:rFonts w:ascii="Century Gothic" w:hAnsi="Century Gothic"/>
          <w:lang w:val="es-ES"/>
        </w:rPr>
        <w:t xml:space="preserve"> por ciento</w:t>
      </w:r>
      <w:r w:rsidR="0089238E" w:rsidRPr="003B578E">
        <w:rPr>
          <w:rFonts w:ascii="Century Gothic" w:hAnsi="Century Gothic"/>
          <w:lang w:val="es-ES"/>
        </w:rPr>
        <w:t xml:space="preserve">, el </w:t>
      </w:r>
      <w:r w:rsidR="005607F9" w:rsidRPr="003B578E">
        <w:rPr>
          <w:rFonts w:ascii="Century Gothic" w:hAnsi="Century Gothic"/>
          <w:lang w:val="es-ES"/>
        </w:rPr>
        <w:t>impuesto de industria y comercio de la vigencia actual del 104</w:t>
      </w:r>
      <w:r w:rsidR="00887EF9" w:rsidRPr="003B578E">
        <w:rPr>
          <w:rFonts w:ascii="Century Gothic" w:hAnsi="Century Gothic"/>
          <w:lang w:val="es-ES"/>
        </w:rPr>
        <w:t xml:space="preserve"> por ciento</w:t>
      </w:r>
      <w:r w:rsidR="005607F9" w:rsidRPr="003B578E">
        <w:rPr>
          <w:rFonts w:ascii="Century Gothic" w:hAnsi="Century Gothic"/>
          <w:lang w:val="es-ES"/>
        </w:rPr>
        <w:t xml:space="preserve">, el de sobretasa al </w:t>
      </w:r>
      <w:r w:rsidR="005607F9" w:rsidRPr="003B578E">
        <w:rPr>
          <w:rFonts w:ascii="Century Gothic" w:hAnsi="Century Gothic"/>
          <w:lang w:val="es-ES"/>
        </w:rPr>
        <w:lastRenderedPageBreak/>
        <w:t>consumo de la gasolina el 107</w:t>
      </w:r>
      <w:r w:rsidR="00887EF9" w:rsidRPr="003B578E">
        <w:rPr>
          <w:rFonts w:ascii="Century Gothic" w:hAnsi="Century Gothic"/>
          <w:lang w:val="es-ES"/>
        </w:rPr>
        <w:t xml:space="preserve"> por ciento</w:t>
      </w:r>
      <w:r w:rsidR="005607F9" w:rsidRPr="003B578E">
        <w:rPr>
          <w:rFonts w:ascii="Century Gothic" w:hAnsi="Century Gothic"/>
          <w:lang w:val="es-ES"/>
        </w:rPr>
        <w:t xml:space="preserve"> y el impuesto de alumbrado público con un 99,9</w:t>
      </w:r>
      <w:r w:rsidR="003B578E" w:rsidRPr="003B578E">
        <w:rPr>
          <w:rFonts w:ascii="Century Gothic" w:hAnsi="Century Gothic"/>
          <w:lang w:val="es-ES"/>
        </w:rPr>
        <w:t xml:space="preserve"> por ciento</w:t>
      </w:r>
      <w:r w:rsidR="005607F9" w:rsidRPr="003B578E">
        <w:rPr>
          <w:rFonts w:ascii="Century Gothic" w:hAnsi="Century Gothic"/>
          <w:lang w:val="es-ES"/>
        </w:rPr>
        <w:t>, impuest</w:t>
      </w:r>
      <w:r w:rsidR="003D3EFA" w:rsidRPr="003B578E">
        <w:rPr>
          <w:rFonts w:ascii="Century Gothic" w:hAnsi="Century Gothic"/>
          <w:lang w:val="es-ES"/>
        </w:rPr>
        <w:t>o que se encuentra en concesión</w:t>
      </w:r>
      <w:r w:rsidR="005607F9" w:rsidRPr="003B578E">
        <w:rPr>
          <w:rFonts w:ascii="Century Gothic" w:hAnsi="Century Gothic"/>
          <w:lang w:val="es-ES"/>
        </w:rPr>
        <w:t>.</w:t>
      </w:r>
    </w:p>
    <w:p w14:paraId="304C4053" w14:textId="3932F7D6" w:rsidR="0089238E" w:rsidRPr="003B578E" w:rsidRDefault="005607F9" w:rsidP="005607F9">
      <w:pPr>
        <w:jc w:val="both"/>
        <w:rPr>
          <w:rFonts w:ascii="Century Gothic" w:hAnsi="Century Gothic"/>
          <w:lang w:val="es-ES"/>
        </w:rPr>
      </w:pPr>
      <w:r w:rsidRPr="003B578E">
        <w:rPr>
          <w:rFonts w:ascii="Century Gothic" w:hAnsi="Century Gothic"/>
          <w:lang w:val="es-ES"/>
        </w:rPr>
        <w:t>En los ingresos no tributarios, los de mayor participación son las transferencias del nivel nacional.</w:t>
      </w:r>
      <w:r w:rsidR="002E4C0F" w:rsidRPr="003B578E">
        <w:rPr>
          <w:rFonts w:ascii="Century Gothic" w:hAnsi="Century Gothic"/>
          <w:lang w:val="es-ES"/>
        </w:rPr>
        <w:t xml:space="preserve"> </w:t>
      </w:r>
    </w:p>
    <w:p w14:paraId="784C7A8E" w14:textId="27C7CA16" w:rsidR="007A0261" w:rsidRPr="003B578E" w:rsidRDefault="007A0261" w:rsidP="005607F9">
      <w:pPr>
        <w:pStyle w:val="Epgrafe"/>
        <w:spacing w:after="0"/>
        <w:jc w:val="center"/>
        <w:rPr>
          <w:rFonts w:ascii="Century Gothic" w:hAnsi="Century Gothic"/>
          <w:b w:val="0"/>
          <w:color w:val="auto"/>
          <w:sz w:val="22"/>
          <w:szCs w:val="22"/>
          <w:lang w:val="es-ES"/>
        </w:rPr>
      </w:pPr>
      <w:bookmarkStart w:id="14" w:name="_Ref494361204"/>
      <w:bookmarkStart w:id="15" w:name="_Toc532570498"/>
      <w:r w:rsidRPr="003B578E">
        <w:rPr>
          <w:rFonts w:ascii="Century Gothic" w:hAnsi="Century Gothic"/>
          <w:b w:val="0"/>
          <w:color w:val="auto"/>
          <w:sz w:val="22"/>
          <w:szCs w:val="22"/>
          <w:lang w:val="es-ES"/>
        </w:rPr>
        <w:t xml:space="preserve">Tabla </w:t>
      </w:r>
      <w:r w:rsidR="00A83A24" w:rsidRPr="003B578E">
        <w:rPr>
          <w:rFonts w:ascii="Century Gothic" w:hAnsi="Century Gothic"/>
          <w:b w:val="0"/>
          <w:color w:val="auto"/>
          <w:sz w:val="22"/>
          <w:szCs w:val="22"/>
          <w:lang w:val="es-ES"/>
        </w:rPr>
        <w:fldChar w:fldCharType="begin"/>
      </w:r>
      <w:r w:rsidRPr="003B578E">
        <w:rPr>
          <w:rFonts w:ascii="Century Gothic" w:hAnsi="Century Gothic"/>
          <w:b w:val="0"/>
          <w:color w:val="auto"/>
          <w:sz w:val="22"/>
          <w:szCs w:val="22"/>
          <w:lang w:val="es-ES"/>
        </w:rPr>
        <w:instrText xml:space="preserve"> SEQ Tabla \* ARABIC </w:instrText>
      </w:r>
      <w:r w:rsidR="00A83A24" w:rsidRPr="003B578E">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7</w:t>
      </w:r>
      <w:r w:rsidR="00A83A24" w:rsidRPr="003B578E">
        <w:rPr>
          <w:rFonts w:ascii="Century Gothic" w:hAnsi="Century Gothic"/>
          <w:b w:val="0"/>
          <w:color w:val="auto"/>
          <w:sz w:val="22"/>
          <w:szCs w:val="22"/>
          <w:lang w:val="es-ES"/>
        </w:rPr>
        <w:fldChar w:fldCharType="end"/>
      </w:r>
      <w:r w:rsidRPr="003B578E">
        <w:rPr>
          <w:rFonts w:ascii="Century Gothic" w:hAnsi="Century Gothic"/>
          <w:b w:val="0"/>
          <w:color w:val="auto"/>
          <w:sz w:val="22"/>
          <w:szCs w:val="22"/>
          <w:lang w:val="es-ES"/>
        </w:rPr>
        <w:t xml:space="preserve">. </w:t>
      </w:r>
      <w:r w:rsidR="002E4C0F" w:rsidRPr="003B578E">
        <w:rPr>
          <w:rFonts w:ascii="Century Gothic" w:hAnsi="Century Gothic"/>
          <w:b w:val="0"/>
          <w:color w:val="auto"/>
          <w:sz w:val="22"/>
          <w:szCs w:val="22"/>
          <w:lang w:val="es-ES"/>
        </w:rPr>
        <w:t>Composición i</w:t>
      </w:r>
      <w:r w:rsidRPr="003B578E">
        <w:rPr>
          <w:rFonts w:ascii="Century Gothic" w:hAnsi="Century Gothic"/>
          <w:b w:val="0"/>
          <w:color w:val="auto"/>
          <w:sz w:val="22"/>
          <w:szCs w:val="22"/>
          <w:lang w:val="es-ES"/>
        </w:rPr>
        <w:t>ngresos corrientes</w:t>
      </w:r>
      <w:r w:rsidR="002E4C0F" w:rsidRPr="003B578E">
        <w:rPr>
          <w:rFonts w:ascii="Century Gothic" w:hAnsi="Century Gothic"/>
          <w:b w:val="0"/>
          <w:color w:val="auto"/>
          <w:sz w:val="22"/>
          <w:szCs w:val="22"/>
          <w:lang w:val="es-ES"/>
        </w:rPr>
        <w:t xml:space="preserve"> </w:t>
      </w:r>
      <w:r w:rsidRPr="003B578E">
        <w:rPr>
          <w:rFonts w:ascii="Century Gothic" w:hAnsi="Century Gothic"/>
          <w:b w:val="0"/>
          <w:color w:val="auto"/>
          <w:sz w:val="22"/>
          <w:szCs w:val="22"/>
          <w:lang w:val="es-ES"/>
        </w:rPr>
        <w:t>201</w:t>
      </w:r>
      <w:r w:rsidR="005607F9" w:rsidRPr="003B578E">
        <w:rPr>
          <w:rFonts w:ascii="Century Gothic" w:hAnsi="Century Gothic"/>
          <w:b w:val="0"/>
          <w:color w:val="auto"/>
          <w:sz w:val="22"/>
          <w:szCs w:val="22"/>
          <w:lang w:val="es-ES"/>
        </w:rPr>
        <w:t>7</w:t>
      </w:r>
      <w:bookmarkEnd w:id="14"/>
      <w:r w:rsidR="005607F9" w:rsidRPr="003B578E">
        <w:rPr>
          <w:rFonts w:ascii="Century Gothic" w:hAnsi="Century Gothic"/>
          <w:b w:val="0"/>
          <w:color w:val="auto"/>
          <w:sz w:val="22"/>
          <w:szCs w:val="22"/>
          <w:lang w:val="es-ES"/>
        </w:rPr>
        <w:t xml:space="preserve"> (Millones de pesos)</w:t>
      </w:r>
      <w:bookmarkEnd w:id="15"/>
    </w:p>
    <w:p w14:paraId="420D071E" w14:textId="1A9648EF" w:rsidR="005607F9" w:rsidRPr="003B578E" w:rsidRDefault="005607F9" w:rsidP="005607F9">
      <w:pPr>
        <w:spacing w:after="0"/>
        <w:jc w:val="center"/>
        <w:rPr>
          <w:rFonts w:ascii="Century Gothic" w:hAnsi="Century Gothic"/>
          <w:sz w:val="20"/>
          <w:lang w:val="es-ES"/>
        </w:rPr>
      </w:pPr>
      <w:r w:rsidRPr="003B578E">
        <w:rPr>
          <w:rFonts w:ascii="Century Gothic" w:hAnsi="Century Gothic"/>
          <w:sz w:val="20"/>
          <w:lang w:val="es-ES"/>
        </w:rPr>
        <w:t>No incluye Fo</w:t>
      </w:r>
      <w:r w:rsidR="00764DC0" w:rsidRPr="003B578E">
        <w:rPr>
          <w:rFonts w:ascii="Century Gothic" w:hAnsi="Century Gothic"/>
          <w:sz w:val="20"/>
          <w:lang w:val="es-ES"/>
        </w:rPr>
        <w:t xml:space="preserve">ndos, </w:t>
      </w:r>
      <w:r w:rsidRPr="003B578E">
        <w:rPr>
          <w:rFonts w:ascii="Century Gothic" w:hAnsi="Century Gothic"/>
          <w:sz w:val="20"/>
          <w:lang w:val="es-ES"/>
        </w:rPr>
        <w:t>Esta</w:t>
      </w:r>
      <w:r w:rsidR="00764DC0" w:rsidRPr="003B578E">
        <w:rPr>
          <w:rFonts w:ascii="Century Gothic" w:hAnsi="Century Gothic"/>
          <w:sz w:val="20"/>
          <w:lang w:val="es-ES"/>
        </w:rPr>
        <w:t xml:space="preserve">blecimientos Públicos y Unidad </w:t>
      </w:r>
      <w:r w:rsidRPr="003B578E">
        <w:rPr>
          <w:rFonts w:ascii="Century Gothic" w:hAnsi="Century Gothic"/>
          <w:sz w:val="20"/>
          <w:lang w:val="es-ES"/>
        </w:rPr>
        <w:t>Ad</w:t>
      </w:r>
      <w:r w:rsidR="0089238E" w:rsidRPr="003B578E">
        <w:rPr>
          <w:rFonts w:ascii="Century Gothic" w:hAnsi="Century Gothic"/>
          <w:sz w:val="20"/>
          <w:lang w:val="es-ES"/>
        </w:rPr>
        <w:t>ministrativa</w:t>
      </w:r>
    </w:p>
    <w:p w14:paraId="79A635D3" w14:textId="1DAE3D19" w:rsidR="00D17CF8" w:rsidRPr="003B578E" w:rsidRDefault="002E4C0F" w:rsidP="009931F5">
      <w:pPr>
        <w:jc w:val="center"/>
        <w:rPr>
          <w:rFonts w:ascii="Century Gothic" w:hAnsi="Century Gothic"/>
          <w:sz w:val="20"/>
          <w:lang w:val="es-ES"/>
        </w:rPr>
      </w:pPr>
      <w:r w:rsidRPr="003B578E">
        <w:rPr>
          <w:rFonts w:ascii="Century Gothic" w:hAnsi="Century Gothic"/>
          <w:noProof/>
          <w:lang w:val="es-ES" w:eastAsia="es-ES"/>
        </w:rPr>
        <w:drawing>
          <wp:inline distT="0" distB="0" distL="0" distR="0" wp14:anchorId="19655575" wp14:editId="73DCD27B">
            <wp:extent cx="5320146" cy="37961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7739" b="499"/>
                    <a:stretch/>
                  </pic:blipFill>
                  <pic:spPr bwMode="auto">
                    <a:xfrm>
                      <a:off x="0" y="0"/>
                      <a:ext cx="5329043" cy="3802493"/>
                    </a:xfrm>
                    <a:prstGeom prst="rect">
                      <a:avLst/>
                    </a:prstGeom>
                    <a:noFill/>
                    <a:ln>
                      <a:noFill/>
                    </a:ln>
                    <a:extLst>
                      <a:ext uri="{53640926-AAD7-44D8-BBD7-CCE9431645EC}">
                        <a14:shadowObscured xmlns:a14="http://schemas.microsoft.com/office/drawing/2010/main"/>
                      </a:ext>
                    </a:extLst>
                  </pic:spPr>
                </pic:pic>
              </a:graphicData>
            </a:graphic>
          </wp:inline>
        </w:drawing>
      </w:r>
      <w:r w:rsidR="00D17CF8" w:rsidRPr="003B578E">
        <w:rPr>
          <w:rFonts w:ascii="Century Gothic" w:hAnsi="Century Gothic"/>
          <w:sz w:val="20"/>
          <w:lang w:val="es-ES"/>
        </w:rPr>
        <w:t>Fuente: Secretaría de Hacienda</w:t>
      </w:r>
      <w:r w:rsidR="005607F9" w:rsidRPr="003B578E">
        <w:rPr>
          <w:rFonts w:ascii="Century Gothic" w:hAnsi="Century Gothic"/>
          <w:sz w:val="20"/>
          <w:lang w:val="es-ES"/>
        </w:rPr>
        <w:t>, 2018</w:t>
      </w:r>
    </w:p>
    <w:p w14:paraId="566CB4E7" w14:textId="0D8FC87A" w:rsidR="008954F2" w:rsidRDefault="005607F9" w:rsidP="005607F9">
      <w:pPr>
        <w:jc w:val="both"/>
        <w:rPr>
          <w:rFonts w:ascii="Century Gothic" w:hAnsi="Century Gothic"/>
          <w:lang w:val="es-ES"/>
        </w:rPr>
      </w:pPr>
      <w:r w:rsidRPr="003B578E">
        <w:rPr>
          <w:rFonts w:ascii="Century Gothic" w:hAnsi="Century Gothic"/>
          <w:lang w:val="es-ES"/>
        </w:rPr>
        <w:t>En la siguiente tabla</w:t>
      </w:r>
      <w:r w:rsidR="00DC76A6" w:rsidRPr="003B578E">
        <w:rPr>
          <w:rFonts w:ascii="Century Gothic" w:hAnsi="Century Gothic"/>
          <w:lang w:val="es-ES"/>
        </w:rPr>
        <w:t>,</w:t>
      </w:r>
      <w:r w:rsidRPr="003B578E">
        <w:rPr>
          <w:rFonts w:ascii="Century Gothic" w:hAnsi="Century Gothic"/>
          <w:lang w:val="es-ES"/>
        </w:rPr>
        <w:t xml:space="preserve"> se desagrega</w:t>
      </w:r>
      <w:r w:rsidR="00DC76A6" w:rsidRPr="003B578E">
        <w:rPr>
          <w:rFonts w:ascii="Century Gothic" w:hAnsi="Century Gothic"/>
          <w:lang w:val="es-ES"/>
        </w:rPr>
        <w:t>n</w:t>
      </w:r>
      <w:r w:rsidRPr="003B578E">
        <w:rPr>
          <w:rFonts w:ascii="Century Gothic" w:hAnsi="Century Gothic"/>
          <w:lang w:val="es-ES"/>
        </w:rPr>
        <w:t xml:space="preserve"> los ingresos corrientes en tributarios y no tributarios</w:t>
      </w:r>
      <w:r w:rsidR="00DC76A6" w:rsidRPr="003B578E">
        <w:rPr>
          <w:rFonts w:ascii="Century Gothic" w:hAnsi="Century Gothic"/>
          <w:lang w:val="es-ES"/>
        </w:rPr>
        <w:t>,</w:t>
      </w:r>
      <w:r w:rsidRPr="003B578E">
        <w:rPr>
          <w:rFonts w:ascii="Century Gothic" w:hAnsi="Century Gothic"/>
          <w:lang w:val="es-ES"/>
        </w:rPr>
        <w:t xml:space="preserve"> incluidos los Fondos. Los tributarios</w:t>
      </w:r>
      <w:r w:rsidR="00DC76A6" w:rsidRPr="003B578E">
        <w:rPr>
          <w:rFonts w:ascii="Century Gothic" w:hAnsi="Century Gothic"/>
          <w:lang w:val="es-ES"/>
        </w:rPr>
        <w:t>,</w:t>
      </w:r>
      <w:r w:rsidRPr="003B578E">
        <w:rPr>
          <w:rFonts w:ascii="Century Gothic" w:hAnsi="Century Gothic"/>
          <w:lang w:val="es-ES"/>
        </w:rPr>
        <w:t xml:space="preserve"> sin incluir los fondos</w:t>
      </w:r>
      <w:r w:rsidR="00DC76A6" w:rsidRPr="003B578E">
        <w:rPr>
          <w:rFonts w:ascii="Century Gothic" w:hAnsi="Century Gothic"/>
          <w:lang w:val="es-ES"/>
        </w:rPr>
        <w:t>,</w:t>
      </w:r>
      <w:r w:rsidRPr="003B578E">
        <w:rPr>
          <w:rFonts w:ascii="Century Gothic" w:hAnsi="Century Gothic"/>
          <w:lang w:val="es-ES"/>
        </w:rPr>
        <w:t xml:space="preserve"> alcanzan un presupuesto definitivo de $113.449 millones</w:t>
      </w:r>
      <w:r w:rsidR="00DC76A6" w:rsidRPr="003B578E">
        <w:rPr>
          <w:rFonts w:ascii="Century Gothic" w:hAnsi="Century Gothic"/>
          <w:lang w:val="es-ES"/>
        </w:rPr>
        <w:t>,</w:t>
      </w:r>
      <w:r w:rsidRPr="003B578E">
        <w:rPr>
          <w:rFonts w:ascii="Century Gothic" w:hAnsi="Century Gothic"/>
          <w:lang w:val="es-ES"/>
        </w:rPr>
        <w:t xml:space="preserve"> con una participación en el total de los ingresos corrientes del 22</w:t>
      </w:r>
      <w:r w:rsidR="00887EF9" w:rsidRPr="003B578E">
        <w:rPr>
          <w:rFonts w:ascii="Century Gothic" w:hAnsi="Century Gothic"/>
          <w:lang w:val="es-ES"/>
        </w:rPr>
        <w:t xml:space="preserve"> por ciento</w:t>
      </w:r>
      <w:r w:rsidR="003D3EFA" w:rsidRPr="003B578E">
        <w:rPr>
          <w:rFonts w:ascii="Century Gothic" w:hAnsi="Century Gothic"/>
          <w:lang w:val="es-ES"/>
        </w:rPr>
        <w:t xml:space="preserve">, </w:t>
      </w:r>
      <w:r w:rsidR="003B578E" w:rsidRPr="003B578E">
        <w:rPr>
          <w:rFonts w:ascii="Century Gothic" w:hAnsi="Century Gothic"/>
          <w:lang w:val="es-ES"/>
        </w:rPr>
        <w:t xml:space="preserve">logrando un </w:t>
      </w:r>
      <w:r w:rsidR="003D3EFA" w:rsidRPr="003B578E">
        <w:rPr>
          <w:rFonts w:ascii="Century Gothic" w:hAnsi="Century Gothic"/>
          <w:lang w:val="es-ES"/>
        </w:rPr>
        <w:t xml:space="preserve">recaudó </w:t>
      </w:r>
      <w:r w:rsidR="003B578E" w:rsidRPr="003B578E">
        <w:rPr>
          <w:rFonts w:ascii="Century Gothic" w:hAnsi="Century Gothic"/>
          <w:lang w:val="es-ES"/>
        </w:rPr>
        <w:t>d</w:t>
      </w:r>
      <w:r w:rsidR="003D3EFA" w:rsidRPr="003B578E">
        <w:rPr>
          <w:rFonts w:ascii="Century Gothic" w:hAnsi="Century Gothic"/>
          <w:lang w:val="es-ES"/>
        </w:rPr>
        <w:t>el 100,</w:t>
      </w:r>
      <w:r w:rsidRPr="003B578E">
        <w:rPr>
          <w:rFonts w:ascii="Century Gothic" w:hAnsi="Century Gothic"/>
          <w:lang w:val="es-ES"/>
        </w:rPr>
        <w:t>7</w:t>
      </w:r>
      <w:r w:rsidR="00887EF9" w:rsidRPr="003B578E">
        <w:rPr>
          <w:rFonts w:ascii="Century Gothic" w:hAnsi="Century Gothic"/>
          <w:lang w:val="es-ES"/>
        </w:rPr>
        <w:t xml:space="preserve"> por ciento</w:t>
      </w:r>
      <w:r w:rsidRPr="003B578E">
        <w:rPr>
          <w:rFonts w:ascii="Century Gothic" w:hAnsi="Century Gothic"/>
          <w:lang w:val="es-ES"/>
        </w:rPr>
        <w:t>. Los ingresos tributarios de los fondos</w:t>
      </w:r>
      <w:r w:rsidR="00DC76A6" w:rsidRPr="003B578E">
        <w:rPr>
          <w:rFonts w:ascii="Century Gothic" w:hAnsi="Century Gothic"/>
          <w:lang w:val="es-ES"/>
        </w:rPr>
        <w:t>,</w:t>
      </w:r>
      <w:r w:rsidRPr="003B578E">
        <w:rPr>
          <w:rFonts w:ascii="Century Gothic" w:hAnsi="Century Gothic"/>
          <w:lang w:val="es-ES"/>
        </w:rPr>
        <w:t xml:space="preserve"> por valor de $4.185 millones</w:t>
      </w:r>
      <w:r w:rsidR="00DC76A6" w:rsidRPr="003B578E">
        <w:rPr>
          <w:rFonts w:ascii="Century Gothic" w:hAnsi="Century Gothic"/>
          <w:lang w:val="es-ES"/>
        </w:rPr>
        <w:t>,</w:t>
      </w:r>
      <w:r w:rsidRPr="003B578E">
        <w:rPr>
          <w:rFonts w:ascii="Century Gothic" w:hAnsi="Century Gothic"/>
          <w:lang w:val="es-ES"/>
        </w:rPr>
        <w:t xml:space="preserve"> con un cumplimiento del 88,5</w:t>
      </w:r>
      <w:r w:rsidR="00887EF9" w:rsidRPr="003B578E">
        <w:rPr>
          <w:rFonts w:ascii="Century Gothic" w:hAnsi="Century Gothic"/>
          <w:lang w:val="es-ES"/>
        </w:rPr>
        <w:t xml:space="preserve"> por ciento</w:t>
      </w:r>
      <w:r w:rsidR="0089238E" w:rsidRPr="003B578E">
        <w:rPr>
          <w:rFonts w:ascii="Century Gothic" w:hAnsi="Century Gothic"/>
          <w:lang w:val="es-ES"/>
        </w:rPr>
        <w:t xml:space="preserve">, lograron </w:t>
      </w:r>
      <w:r w:rsidRPr="003B578E">
        <w:rPr>
          <w:rFonts w:ascii="Century Gothic" w:hAnsi="Century Gothic"/>
          <w:lang w:val="es-ES"/>
        </w:rPr>
        <w:t>una participación en los ingresos corrientes del 0,7</w:t>
      </w:r>
      <w:r w:rsidR="00887EF9" w:rsidRPr="003B578E">
        <w:rPr>
          <w:rFonts w:ascii="Century Gothic" w:hAnsi="Century Gothic"/>
          <w:lang w:val="es-ES"/>
        </w:rPr>
        <w:t xml:space="preserve"> por ciento</w:t>
      </w:r>
    </w:p>
    <w:p w14:paraId="600AB747" w14:textId="77777777" w:rsidR="008954F2" w:rsidRDefault="008954F2">
      <w:pPr>
        <w:rPr>
          <w:rFonts w:ascii="Century Gothic" w:hAnsi="Century Gothic"/>
          <w:lang w:val="es-ES"/>
        </w:rPr>
      </w:pPr>
      <w:r>
        <w:rPr>
          <w:rFonts w:ascii="Century Gothic" w:hAnsi="Century Gothic"/>
          <w:lang w:val="es-ES"/>
        </w:rPr>
        <w:br w:type="page"/>
      </w:r>
    </w:p>
    <w:p w14:paraId="72AC5214" w14:textId="2B823B39" w:rsidR="00764DC0" w:rsidRPr="003B578E" w:rsidRDefault="005607F9" w:rsidP="00764DC0">
      <w:pPr>
        <w:spacing w:after="0"/>
        <w:jc w:val="center"/>
        <w:rPr>
          <w:rFonts w:ascii="Century Gothic" w:hAnsi="Century Gothic"/>
          <w:noProof/>
          <w:lang w:val="es-ES"/>
        </w:rPr>
      </w:pPr>
      <w:bookmarkStart w:id="16" w:name="_Toc532570499"/>
      <w:r w:rsidRPr="003B578E">
        <w:rPr>
          <w:rFonts w:ascii="Century Gothic" w:hAnsi="Century Gothic"/>
          <w:lang w:val="es-ES"/>
        </w:rPr>
        <w:lastRenderedPageBreak/>
        <w:t xml:space="preserve">Tabla </w:t>
      </w:r>
      <w:r w:rsidRPr="003B578E">
        <w:rPr>
          <w:rFonts w:ascii="Century Gothic" w:hAnsi="Century Gothic"/>
          <w:lang w:val="es-ES"/>
        </w:rPr>
        <w:fldChar w:fldCharType="begin"/>
      </w:r>
      <w:r w:rsidRPr="003B578E">
        <w:rPr>
          <w:rFonts w:ascii="Century Gothic" w:hAnsi="Century Gothic"/>
          <w:lang w:val="es-ES"/>
        </w:rPr>
        <w:instrText xml:space="preserve"> SEQ Tabla \* ARABIC </w:instrText>
      </w:r>
      <w:r w:rsidRPr="003B578E">
        <w:rPr>
          <w:rFonts w:ascii="Century Gothic" w:hAnsi="Century Gothic"/>
          <w:lang w:val="es-ES"/>
        </w:rPr>
        <w:fldChar w:fldCharType="separate"/>
      </w:r>
      <w:r w:rsidR="00934BA3">
        <w:rPr>
          <w:rFonts w:ascii="Century Gothic" w:hAnsi="Century Gothic"/>
          <w:noProof/>
          <w:lang w:val="es-ES"/>
        </w:rPr>
        <w:t>8</w:t>
      </w:r>
      <w:r w:rsidRPr="003B578E">
        <w:rPr>
          <w:rFonts w:ascii="Century Gothic" w:hAnsi="Century Gothic"/>
          <w:lang w:val="es-ES"/>
        </w:rPr>
        <w:fldChar w:fldCharType="end"/>
      </w:r>
      <w:r w:rsidRPr="003B578E">
        <w:rPr>
          <w:rFonts w:ascii="Century Gothic" w:hAnsi="Century Gothic"/>
          <w:lang w:val="es-ES"/>
        </w:rPr>
        <w:t>. Composición</w:t>
      </w:r>
      <w:r w:rsidR="00764DC0" w:rsidRPr="003B578E">
        <w:rPr>
          <w:rFonts w:ascii="Century Gothic" w:hAnsi="Century Gothic"/>
          <w:lang w:val="es-ES"/>
        </w:rPr>
        <w:t xml:space="preserve"> </w:t>
      </w:r>
      <w:r w:rsidR="004722AA" w:rsidRPr="003B578E">
        <w:rPr>
          <w:rFonts w:ascii="Century Gothic" w:hAnsi="Century Gothic"/>
          <w:lang w:val="es-ES"/>
        </w:rPr>
        <w:t>ingresos corrientes 2017</w:t>
      </w:r>
      <w:r w:rsidR="00764DC0" w:rsidRPr="003B578E">
        <w:rPr>
          <w:rFonts w:ascii="Century Gothic" w:hAnsi="Century Gothic"/>
          <w:lang w:val="es-ES"/>
        </w:rPr>
        <w:t xml:space="preserve"> (millones de pesos)</w:t>
      </w:r>
      <w:bookmarkEnd w:id="16"/>
    </w:p>
    <w:p w14:paraId="099FF947" w14:textId="6E1C26BE" w:rsidR="00764DC0" w:rsidRPr="003B578E" w:rsidRDefault="00764DC0" w:rsidP="00764DC0">
      <w:pPr>
        <w:spacing w:after="0"/>
        <w:jc w:val="center"/>
        <w:rPr>
          <w:rFonts w:ascii="Century Gothic" w:hAnsi="Century Gothic"/>
          <w:lang w:val="es-ES"/>
        </w:rPr>
      </w:pPr>
      <w:r w:rsidRPr="003B578E">
        <w:rPr>
          <w:rFonts w:ascii="Century Gothic" w:hAnsi="Century Gothic"/>
          <w:lang w:val="es-ES"/>
        </w:rPr>
        <w:t>(No incluye Fondos y Esta</w:t>
      </w:r>
      <w:r w:rsidR="004722AA" w:rsidRPr="003B578E">
        <w:rPr>
          <w:rFonts w:ascii="Century Gothic" w:hAnsi="Century Gothic"/>
          <w:lang w:val="es-ES"/>
        </w:rPr>
        <w:t xml:space="preserve">blecimientos Públicos y Unidad </w:t>
      </w:r>
      <w:r w:rsidRPr="003B578E">
        <w:rPr>
          <w:rFonts w:ascii="Century Gothic" w:hAnsi="Century Gothic"/>
          <w:lang w:val="es-ES"/>
        </w:rPr>
        <w:t>Administrativa)</w:t>
      </w:r>
    </w:p>
    <w:p w14:paraId="496E544D" w14:textId="77777777" w:rsidR="0089238E" w:rsidRPr="003B578E" w:rsidRDefault="0089238E" w:rsidP="00764DC0">
      <w:pPr>
        <w:spacing w:after="0"/>
        <w:jc w:val="both"/>
        <w:rPr>
          <w:rFonts w:ascii="Century Gothic" w:hAnsi="Century Gothic"/>
          <w:lang w:val="es-ES"/>
        </w:rPr>
      </w:pPr>
      <w:r w:rsidRPr="003B578E">
        <w:rPr>
          <w:rFonts w:ascii="Century Gothic" w:hAnsi="Century Gothic"/>
          <w:noProof/>
          <w:lang w:val="es-ES" w:eastAsia="es-ES"/>
        </w:rPr>
        <w:drawing>
          <wp:inline distT="0" distB="0" distL="0" distR="0" wp14:anchorId="498B0A92" wp14:editId="76215442">
            <wp:extent cx="5606504" cy="1114600"/>
            <wp:effectExtent l="0" t="0" r="0" b="952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7" t="-295" r="-57" b="78108"/>
                    <a:stretch/>
                  </pic:blipFill>
                  <pic:spPr bwMode="auto">
                    <a:xfrm>
                      <a:off x="0" y="0"/>
                      <a:ext cx="5606504" cy="1114600"/>
                    </a:xfrm>
                    <a:prstGeom prst="rect">
                      <a:avLst/>
                    </a:prstGeom>
                    <a:noFill/>
                    <a:ln>
                      <a:noFill/>
                    </a:ln>
                    <a:extLst>
                      <a:ext uri="{53640926-AAD7-44D8-BBD7-CCE9431645EC}">
                        <a14:shadowObscured xmlns:a14="http://schemas.microsoft.com/office/drawing/2010/main"/>
                      </a:ext>
                    </a:extLst>
                  </pic:spPr>
                </pic:pic>
              </a:graphicData>
            </a:graphic>
          </wp:inline>
        </w:drawing>
      </w:r>
    </w:p>
    <w:p w14:paraId="4AB6DD1D" w14:textId="0350AFA1" w:rsidR="00764DC0" w:rsidRPr="003B578E" w:rsidRDefault="00764DC0" w:rsidP="0089238E">
      <w:pPr>
        <w:spacing w:after="0" w:line="240" w:lineRule="auto"/>
        <w:jc w:val="center"/>
        <w:rPr>
          <w:rFonts w:ascii="Century Gothic" w:hAnsi="Century Gothic"/>
          <w:lang w:val="es-ES"/>
        </w:rPr>
      </w:pPr>
      <w:r w:rsidRPr="003B578E">
        <w:rPr>
          <w:rFonts w:ascii="Century Gothic" w:hAnsi="Century Gothic"/>
          <w:noProof/>
          <w:lang w:val="es-ES" w:eastAsia="es-ES"/>
        </w:rPr>
        <w:drawing>
          <wp:inline distT="0" distB="0" distL="0" distR="0" wp14:anchorId="251BA49A" wp14:editId="7AE1FAA8">
            <wp:extent cx="5605624" cy="487345"/>
            <wp:effectExtent l="0" t="0" r="0" b="825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7" t="-295" r="-57" b="90593"/>
                    <a:stretch/>
                  </pic:blipFill>
                  <pic:spPr bwMode="auto">
                    <a:xfrm>
                      <a:off x="0" y="0"/>
                      <a:ext cx="5606504" cy="487422"/>
                    </a:xfrm>
                    <a:prstGeom prst="rect">
                      <a:avLst/>
                    </a:prstGeom>
                    <a:noFill/>
                    <a:ln>
                      <a:noFill/>
                    </a:ln>
                    <a:extLst>
                      <a:ext uri="{53640926-AAD7-44D8-BBD7-CCE9431645EC}">
                        <a14:shadowObscured xmlns:a14="http://schemas.microsoft.com/office/drawing/2010/main"/>
                      </a:ext>
                    </a:extLst>
                  </pic:spPr>
                </pic:pic>
              </a:graphicData>
            </a:graphic>
          </wp:inline>
        </w:drawing>
      </w:r>
    </w:p>
    <w:p w14:paraId="36C32069" w14:textId="19347F00" w:rsidR="0089238E" w:rsidRPr="003B578E" w:rsidRDefault="0089238E" w:rsidP="0089238E">
      <w:pPr>
        <w:spacing w:after="0" w:line="240" w:lineRule="auto"/>
        <w:jc w:val="both"/>
        <w:rPr>
          <w:rFonts w:ascii="Century Gothic" w:hAnsi="Century Gothic"/>
          <w:lang w:val="es-ES"/>
        </w:rPr>
      </w:pPr>
      <w:r w:rsidRPr="003B578E">
        <w:rPr>
          <w:rFonts w:ascii="Century Gothic" w:hAnsi="Century Gothic"/>
          <w:noProof/>
          <w:lang w:val="es-ES" w:eastAsia="es-ES"/>
        </w:rPr>
        <w:drawing>
          <wp:inline distT="0" distB="0" distL="0" distR="0" wp14:anchorId="0DF8E76A" wp14:editId="0B87FB71">
            <wp:extent cx="5611900" cy="3908013"/>
            <wp:effectExtent l="0" t="0" r="8255"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22281"/>
                    <a:stretch/>
                  </pic:blipFill>
                  <pic:spPr bwMode="auto">
                    <a:xfrm>
                      <a:off x="0" y="0"/>
                      <a:ext cx="5612130" cy="3908173"/>
                    </a:xfrm>
                    <a:prstGeom prst="rect">
                      <a:avLst/>
                    </a:prstGeom>
                    <a:noFill/>
                    <a:ln>
                      <a:noFill/>
                    </a:ln>
                    <a:extLst>
                      <a:ext uri="{53640926-AAD7-44D8-BBD7-CCE9431645EC}">
                        <a14:shadowObscured xmlns:a14="http://schemas.microsoft.com/office/drawing/2010/main"/>
                      </a:ext>
                    </a:extLst>
                  </pic:spPr>
                </pic:pic>
              </a:graphicData>
            </a:graphic>
          </wp:inline>
        </w:drawing>
      </w:r>
    </w:p>
    <w:p w14:paraId="28DDB1E1" w14:textId="56543DCF" w:rsidR="00764DC0" w:rsidRPr="003B578E" w:rsidRDefault="00764DC0" w:rsidP="00764DC0">
      <w:pPr>
        <w:jc w:val="center"/>
        <w:rPr>
          <w:rFonts w:ascii="Century Gothic" w:hAnsi="Century Gothic"/>
          <w:sz w:val="20"/>
          <w:lang w:val="es-ES"/>
        </w:rPr>
      </w:pPr>
      <w:r w:rsidRPr="003B578E">
        <w:rPr>
          <w:rFonts w:ascii="Century Gothic" w:hAnsi="Century Gothic"/>
          <w:sz w:val="20"/>
          <w:lang w:val="es-ES"/>
        </w:rPr>
        <w:t>Fuent</w:t>
      </w:r>
      <w:r w:rsidR="00336769" w:rsidRPr="003B578E">
        <w:rPr>
          <w:rFonts w:ascii="Century Gothic" w:hAnsi="Century Gothic"/>
          <w:sz w:val="20"/>
          <w:lang w:val="es-ES"/>
        </w:rPr>
        <w:t>e: Secretaría de Hacienda, 2018</w:t>
      </w:r>
    </w:p>
    <w:p w14:paraId="709091B3" w14:textId="5A8A1A2C" w:rsidR="0089238E" w:rsidRPr="003B578E" w:rsidRDefault="0089238E" w:rsidP="0089238E">
      <w:pPr>
        <w:jc w:val="both"/>
        <w:rPr>
          <w:rFonts w:ascii="Century Gothic" w:hAnsi="Century Gothic"/>
          <w:lang w:val="es-ES"/>
        </w:rPr>
      </w:pPr>
      <w:r w:rsidRPr="003B578E">
        <w:rPr>
          <w:rFonts w:ascii="Century Gothic" w:hAnsi="Century Gothic"/>
          <w:lang w:val="es-ES"/>
        </w:rPr>
        <w:t>Los ingresos no tributarios, sin los fondos, se aforaron definitiv</w:t>
      </w:r>
      <w:r w:rsidR="00DC76A6" w:rsidRPr="003B578E">
        <w:rPr>
          <w:rFonts w:ascii="Century Gothic" w:hAnsi="Century Gothic"/>
          <w:lang w:val="es-ES"/>
        </w:rPr>
        <w:t>amente</w:t>
      </w:r>
      <w:r w:rsidRPr="003B578E">
        <w:rPr>
          <w:rFonts w:ascii="Century Gothic" w:hAnsi="Century Gothic"/>
          <w:lang w:val="es-ES"/>
        </w:rPr>
        <w:t xml:space="preserve"> en $209.888 </w:t>
      </w:r>
      <w:r w:rsidR="003B578E" w:rsidRPr="003B578E">
        <w:rPr>
          <w:rFonts w:ascii="Century Gothic" w:hAnsi="Century Gothic"/>
          <w:lang w:val="es-ES"/>
        </w:rPr>
        <w:t xml:space="preserve">millones, </w:t>
      </w:r>
      <w:r w:rsidRPr="003B578E">
        <w:rPr>
          <w:rFonts w:ascii="Century Gothic" w:hAnsi="Century Gothic"/>
          <w:lang w:val="es-ES"/>
        </w:rPr>
        <w:t xml:space="preserve">con una participación del 39,9 por ciento y con un recaudo del 98,8 por ciento. </w:t>
      </w:r>
    </w:p>
    <w:p w14:paraId="28F4A5CD" w14:textId="523B2E33" w:rsidR="00735A58" w:rsidRDefault="0089238E" w:rsidP="0089238E">
      <w:pPr>
        <w:jc w:val="both"/>
        <w:rPr>
          <w:rFonts w:ascii="Century Gothic" w:hAnsi="Century Gothic"/>
          <w:lang w:val="es-ES"/>
        </w:rPr>
      </w:pPr>
      <w:r w:rsidRPr="003B578E">
        <w:rPr>
          <w:rFonts w:ascii="Century Gothic" w:hAnsi="Century Gothic"/>
          <w:lang w:val="es-ES"/>
        </w:rPr>
        <w:t>Los ingresos no tributarios de los fondos alcanzaron un valor definitivo de $194.658</w:t>
      </w:r>
      <w:r w:rsidR="003B578E" w:rsidRPr="003B578E">
        <w:rPr>
          <w:rFonts w:ascii="Century Gothic" w:hAnsi="Century Gothic"/>
          <w:lang w:val="es-ES"/>
        </w:rPr>
        <w:t xml:space="preserve"> millones</w:t>
      </w:r>
      <w:r w:rsidRPr="003B578E">
        <w:rPr>
          <w:rFonts w:ascii="Century Gothic" w:hAnsi="Century Gothic"/>
          <w:lang w:val="es-ES"/>
        </w:rPr>
        <w:t xml:space="preserve">, con un recaudo del 99,9 por ciento, los de mayor participación son los </w:t>
      </w:r>
      <w:r w:rsidRPr="003B578E">
        <w:rPr>
          <w:rFonts w:ascii="Century Gothic" w:hAnsi="Century Gothic"/>
          <w:lang w:val="es-ES"/>
        </w:rPr>
        <w:lastRenderedPageBreak/>
        <w:t>del Fondo Local de Salud</w:t>
      </w:r>
      <w:r w:rsidR="00D92249" w:rsidRPr="003B578E">
        <w:rPr>
          <w:rFonts w:ascii="Century Gothic" w:hAnsi="Century Gothic"/>
          <w:lang w:val="es-ES"/>
        </w:rPr>
        <w:t>,</w:t>
      </w:r>
      <w:r w:rsidRPr="003B578E">
        <w:rPr>
          <w:rFonts w:ascii="Century Gothic" w:hAnsi="Century Gothic"/>
          <w:lang w:val="es-ES"/>
        </w:rPr>
        <w:t xml:space="preserve"> en </w:t>
      </w:r>
      <w:r w:rsidR="00D92249" w:rsidRPr="003B578E">
        <w:rPr>
          <w:rFonts w:ascii="Century Gothic" w:hAnsi="Century Gothic"/>
          <w:lang w:val="es-ES"/>
        </w:rPr>
        <w:t xml:space="preserve">donde </w:t>
      </w:r>
      <w:r w:rsidRPr="003B578E">
        <w:rPr>
          <w:rFonts w:ascii="Century Gothic" w:hAnsi="Century Gothic"/>
          <w:lang w:val="es-ES"/>
        </w:rPr>
        <w:t>se contemplan los recursos del Sistema General de Participaciones</w:t>
      </w:r>
      <w:r w:rsidR="003B578E" w:rsidRPr="003B578E">
        <w:rPr>
          <w:rFonts w:ascii="Century Gothic" w:hAnsi="Century Gothic"/>
          <w:lang w:val="es-ES"/>
        </w:rPr>
        <w:t xml:space="preserve"> –</w:t>
      </w:r>
      <w:r w:rsidRPr="003B578E">
        <w:rPr>
          <w:rFonts w:ascii="Century Gothic" w:hAnsi="Century Gothic"/>
          <w:lang w:val="es-ES"/>
        </w:rPr>
        <w:t xml:space="preserve"> FOSYGA.</w:t>
      </w:r>
    </w:p>
    <w:p w14:paraId="15257610" w14:textId="410B8784" w:rsidR="00764DC0" w:rsidRPr="003B578E" w:rsidRDefault="00764DC0" w:rsidP="00764DC0">
      <w:pPr>
        <w:spacing w:after="0"/>
        <w:jc w:val="center"/>
        <w:rPr>
          <w:rFonts w:ascii="Century Gothic" w:hAnsi="Century Gothic"/>
          <w:noProof/>
          <w:lang w:val="es-ES"/>
        </w:rPr>
      </w:pPr>
      <w:bookmarkStart w:id="17" w:name="_Toc532570500"/>
      <w:r w:rsidRPr="003B578E">
        <w:rPr>
          <w:rFonts w:ascii="Century Gothic" w:hAnsi="Century Gothic"/>
          <w:lang w:val="es-ES"/>
        </w:rPr>
        <w:t xml:space="preserve">Tabla </w:t>
      </w:r>
      <w:r w:rsidRPr="003B578E">
        <w:rPr>
          <w:rFonts w:ascii="Century Gothic" w:hAnsi="Century Gothic"/>
          <w:lang w:val="es-ES"/>
        </w:rPr>
        <w:fldChar w:fldCharType="begin"/>
      </w:r>
      <w:r w:rsidRPr="003B578E">
        <w:rPr>
          <w:rFonts w:ascii="Century Gothic" w:hAnsi="Century Gothic"/>
          <w:lang w:val="es-ES"/>
        </w:rPr>
        <w:instrText xml:space="preserve"> SEQ Tabla \* ARABIC </w:instrText>
      </w:r>
      <w:r w:rsidRPr="003B578E">
        <w:rPr>
          <w:rFonts w:ascii="Century Gothic" w:hAnsi="Century Gothic"/>
          <w:lang w:val="es-ES"/>
        </w:rPr>
        <w:fldChar w:fldCharType="separate"/>
      </w:r>
      <w:r w:rsidR="00934BA3">
        <w:rPr>
          <w:rFonts w:ascii="Century Gothic" w:hAnsi="Century Gothic"/>
          <w:noProof/>
          <w:lang w:val="es-ES"/>
        </w:rPr>
        <w:t>9</w:t>
      </w:r>
      <w:r w:rsidRPr="003B578E">
        <w:rPr>
          <w:rFonts w:ascii="Century Gothic" w:hAnsi="Century Gothic"/>
          <w:lang w:val="es-ES"/>
        </w:rPr>
        <w:fldChar w:fldCharType="end"/>
      </w:r>
      <w:r w:rsidRPr="003B578E">
        <w:rPr>
          <w:rFonts w:ascii="Century Gothic" w:hAnsi="Century Gothic"/>
          <w:lang w:val="es-ES"/>
        </w:rPr>
        <w:t xml:space="preserve">. Composición </w:t>
      </w:r>
      <w:r w:rsidR="0089238E" w:rsidRPr="003B578E">
        <w:rPr>
          <w:rFonts w:ascii="Century Gothic" w:hAnsi="Century Gothic"/>
          <w:lang w:val="es-ES"/>
        </w:rPr>
        <w:t xml:space="preserve">ingresos corrientes </w:t>
      </w:r>
      <w:r w:rsidR="00732447" w:rsidRPr="003B578E">
        <w:rPr>
          <w:rFonts w:ascii="Century Gothic" w:hAnsi="Century Gothic"/>
          <w:lang w:val="es-ES"/>
        </w:rPr>
        <w:t xml:space="preserve">2017 </w:t>
      </w:r>
      <w:r w:rsidRPr="003B578E">
        <w:rPr>
          <w:rFonts w:ascii="Century Gothic" w:hAnsi="Century Gothic"/>
          <w:lang w:val="es-ES"/>
        </w:rPr>
        <w:t>(millones de pesos)</w:t>
      </w:r>
      <w:bookmarkEnd w:id="17"/>
    </w:p>
    <w:p w14:paraId="644D6EC9" w14:textId="1BCE45FF" w:rsidR="00764DC0" w:rsidRPr="003B578E" w:rsidRDefault="00764DC0" w:rsidP="00764DC0">
      <w:pPr>
        <w:spacing w:after="0"/>
        <w:jc w:val="center"/>
        <w:rPr>
          <w:rFonts w:ascii="Century Gothic" w:hAnsi="Century Gothic"/>
          <w:sz w:val="20"/>
          <w:lang w:val="es-ES"/>
        </w:rPr>
      </w:pPr>
      <w:r w:rsidRPr="003B578E">
        <w:rPr>
          <w:rFonts w:ascii="Century Gothic" w:hAnsi="Century Gothic"/>
          <w:sz w:val="20"/>
          <w:lang w:val="es-ES"/>
        </w:rPr>
        <w:t>(No incluye Establecimientos Públicos y Unidad Administrativa)</w:t>
      </w:r>
    </w:p>
    <w:p w14:paraId="2D304D4D" w14:textId="7F4EFA69" w:rsidR="00D92249" w:rsidRPr="006515AA" w:rsidRDefault="00D92249" w:rsidP="00764DC0">
      <w:pPr>
        <w:spacing w:after="0"/>
        <w:jc w:val="center"/>
        <w:rPr>
          <w:rFonts w:ascii="Century Gothic" w:hAnsi="Century Gothic"/>
          <w:lang w:val="es-ES"/>
        </w:rPr>
      </w:pPr>
      <w:r w:rsidRPr="006515AA">
        <w:rPr>
          <w:rFonts w:ascii="Century Gothic" w:hAnsi="Century Gothic"/>
          <w:noProof/>
          <w:lang w:val="es-ES" w:eastAsia="es-ES"/>
        </w:rPr>
        <w:drawing>
          <wp:inline distT="0" distB="0" distL="0" distR="0" wp14:anchorId="3B7EA34C" wp14:editId="6B1F1064">
            <wp:extent cx="5607734" cy="1055076"/>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b="50021"/>
                    <a:stretch/>
                  </pic:blipFill>
                  <pic:spPr bwMode="auto">
                    <a:xfrm>
                      <a:off x="0" y="0"/>
                      <a:ext cx="5612130" cy="1055903"/>
                    </a:xfrm>
                    <a:prstGeom prst="rect">
                      <a:avLst/>
                    </a:prstGeom>
                    <a:noFill/>
                    <a:ln>
                      <a:noFill/>
                    </a:ln>
                    <a:extLst>
                      <a:ext uri="{53640926-AAD7-44D8-BBD7-CCE9431645EC}">
                        <a14:shadowObscured xmlns:a14="http://schemas.microsoft.com/office/drawing/2010/main"/>
                      </a:ext>
                    </a:extLst>
                  </pic:spPr>
                </pic:pic>
              </a:graphicData>
            </a:graphic>
          </wp:inline>
        </w:drawing>
      </w:r>
    </w:p>
    <w:p w14:paraId="13E99A43" w14:textId="0367C79E" w:rsidR="00D92249" w:rsidRPr="006515AA" w:rsidRDefault="00D92249" w:rsidP="00D92249">
      <w:pPr>
        <w:spacing w:after="0" w:line="240" w:lineRule="auto"/>
        <w:jc w:val="center"/>
        <w:rPr>
          <w:rFonts w:ascii="Century Gothic" w:hAnsi="Century Gothic"/>
          <w:lang w:val="es-ES"/>
        </w:rPr>
      </w:pPr>
      <w:r w:rsidRPr="006515AA">
        <w:rPr>
          <w:rFonts w:ascii="Century Gothic" w:hAnsi="Century Gothic"/>
          <w:noProof/>
          <w:lang w:val="es-ES" w:eastAsia="es-ES"/>
        </w:rPr>
        <w:drawing>
          <wp:inline distT="0" distB="0" distL="0" distR="0" wp14:anchorId="3F61AE7F" wp14:editId="16391A29">
            <wp:extent cx="5605922" cy="532562"/>
            <wp:effectExtent l="0" t="0" r="0" b="127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b="74764"/>
                    <a:stretch/>
                  </pic:blipFill>
                  <pic:spPr bwMode="auto">
                    <a:xfrm>
                      <a:off x="0" y="0"/>
                      <a:ext cx="5612130" cy="533152"/>
                    </a:xfrm>
                    <a:prstGeom prst="rect">
                      <a:avLst/>
                    </a:prstGeom>
                    <a:noFill/>
                    <a:ln>
                      <a:noFill/>
                    </a:ln>
                    <a:extLst>
                      <a:ext uri="{53640926-AAD7-44D8-BBD7-CCE9431645EC}">
                        <a14:shadowObscured xmlns:a14="http://schemas.microsoft.com/office/drawing/2010/main"/>
                      </a:ext>
                    </a:extLst>
                  </pic:spPr>
                </pic:pic>
              </a:graphicData>
            </a:graphic>
          </wp:inline>
        </w:drawing>
      </w:r>
    </w:p>
    <w:p w14:paraId="536007D9" w14:textId="17798D59" w:rsidR="00764DC0" w:rsidRPr="006515AA" w:rsidRDefault="00764DC0" w:rsidP="00D92249">
      <w:pPr>
        <w:spacing w:after="0" w:line="240" w:lineRule="auto"/>
        <w:jc w:val="center"/>
        <w:rPr>
          <w:rFonts w:ascii="Century Gothic" w:hAnsi="Century Gothic"/>
          <w:lang w:val="es-ES"/>
        </w:rPr>
      </w:pPr>
      <w:r w:rsidRPr="006515AA">
        <w:rPr>
          <w:rFonts w:ascii="Century Gothic" w:hAnsi="Century Gothic"/>
          <w:noProof/>
          <w:lang w:val="es-ES" w:eastAsia="es-ES"/>
        </w:rPr>
        <w:drawing>
          <wp:inline distT="0" distB="0" distL="0" distR="0" wp14:anchorId="4EFA710E" wp14:editId="45233182">
            <wp:extent cx="5611713" cy="1057568"/>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49941"/>
                    <a:stretch/>
                  </pic:blipFill>
                  <pic:spPr bwMode="auto">
                    <a:xfrm>
                      <a:off x="0" y="0"/>
                      <a:ext cx="5612130" cy="1057647"/>
                    </a:xfrm>
                    <a:prstGeom prst="rect">
                      <a:avLst/>
                    </a:prstGeom>
                    <a:noFill/>
                    <a:ln>
                      <a:noFill/>
                    </a:ln>
                    <a:extLst>
                      <a:ext uri="{53640926-AAD7-44D8-BBD7-CCE9431645EC}">
                        <a14:shadowObscured xmlns:a14="http://schemas.microsoft.com/office/drawing/2010/main"/>
                      </a:ext>
                    </a:extLst>
                  </pic:spPr>
                </pic:pic>
              </a:graphicData>
            </a:graphic>
          </wp:inline>
        </w:drawing>
      </w:r>
    </w:p>
    <w:p w14:paraId="4EC0DB52" w14:textId="7D9E75AC" w:rsidR="00764DC0" w:rsidRPr="006515AA" w:rsidRDefault="00764DC0" w:rsidP="00764DC0">
      <w:pPr>
        <w:jc w:val="center"/>
        <w:rPr>
          <w:rFonts w:ascii="Century Gothic" w:hAnsi="Century Gothic"/>
          <w:sz w:val="20"/>
          <w:lang w:val="es-ES"/>
        </w:rPr>
      </w:pPr>
      <w:r w:rsidRPr="006515AA">
        <w:rPr>
          <w:rFonts w:ascii="Century Gothic" w:hAnsi="Century Gothic"/>
          <w:sz w:val="20"/>
          <w:lang w:val="es-ES"/>
        </w:rPr>
        <w:t>Fuent</w:t>
      </w:r>
      <w:r w:rsidR="00A1717F" w:rsidRPr="006515AA">
        <w:rPr>
          <w:rFonts w:ascii="Century Gothic" w:hAnsi="Century Gothic"/>
          <w:sz w:val="20"/>
          <w:lang w:val="es-ES"/>
        </w:rPr>
        <w:t>e: Secretaría de Hacienda, 2018</w:t>
      </w:r>
    </w:p>
    <w:p w14:paraId="1AB6C556" w14:textId="3A96B45C" w:rsidR="00764DC0" w:rsidRPr="006515AA" w:rsidRDefault="003B578E" w:rsidP="00764DC0">
      <w:pPr>
        <w:jc w:val="both"/>
        <w:rPr>
          <w:rFonts w:ascii="Century Gothic" w:hAnsi="Century Gothic"/>
          <w:lang w:val="es-ES"/>
        </w:rPr>
      </w:pPr>
      <w:r w:rsidRPr="006515AA">
        <w:rPr>
          <w:rFonts w:ascii="Century Gothic" w:hAnsi="Century Gothic"/>
          <w:lang w:val="es-ES"/>
        </w:rPr>
        <w:t>De l</w:t>
      </w:r>
      <w:r w:rsidR="00764DC0" w:rsidRPr="006515AA">
        <w:rPr>
          <w:rFonts w:ascii="Century Gothic" w:hAnsi="Century Gothic"/>
          <w:lang w:val="es-ES"/>
        </w:rPr>
        <w:t xml:space="preserve">os ingresos no tributarios </w:t>
      </w:r>
      <w:r w:rsidRPr="006515AA">
        <w:rPr>
          <w:rFonts w:ascii="Century Gothic" w:hAnsi="Century Gothic"/>
          <w:lang w:val="es-ES"/>
        </w:rPr>
        <w:t xml:space="preserve">se destacan </w:t>
      </w:r>
      <w:r w:rsidR="00764DC0" w:rsidRPr="006515AA">
        <w:rPr>
          <w:rFonts w:ascii="Century Gothic" w:hAnsi="Century Gothic"/>
          <w:lang w:val="es-ES"/>
        </w:rPr>
        <w:t xml:space="preserve">las transferencias </w:t>
      </w:r>
      <w:r w:rsidRPr="006515AA">
        <w:rPr>
          <w:rFonts w:ascii="Century Gothic" w:hAnsi="Century Gothic"/>
          <w:lang w:val="es-ES"/>
        </w:rPr>
        <w:t xml:space="preserve">realizadas </w:t>
      </w:r>
      <w:r w:rsidR="00764DC0" w:rsidRPr="006515AA">
        <w:rPr>
          <w:rFonts w:ascii="Century Gothic" w:hAnsi="Century Gothic"/>
          <w:lang w:val="es-ES"/>
        </w:rPr>
        <w:t xml:space="preserve">por concepto del </w:t>
      </w:r>
      <w:r w:rsidR="00732447" w:rsidRPr="006515AA">
        <w:rPr>
          <w:rFonts w:ascii="Century Gothic" w:hAnsi="Century Gothic"/>
          <w:lang w:val="es-ES"/>
        </w:rPr>
        <w:t xml:space="preserve">Sistema General </w:t>
      </w:r>
      <w:r w:rsidR="00764DC0" w:rsidRPr="006515AA">
        <w:rPr>
          <w:rFonts w:ascii="Century Gothic" w:hAnsi="Century Gothic"/>
          <w:lang w:val="es-ES"/>
        </w:rPr>
        <w:t xml:space="preserve">de </w:t>
      </w:r>
      <w:r w:rsidR="00732447" w:rsidRPr="006515AA">
        <w:rPr>
          <w:rFonts w:ascii="Century Gothic" w:hAnsi="Century Gothic"/>
          <w:lang w:val="es-ES"/>
        </w:rPr>
        <w:t>Participaciones</w:t>
      </w:r>
      <w:r w:rsidR="00764DC0" w:rsidRPr="006515AA">
        <w:rPr>
          <w:rFonts w:ascii="Century Gothic" w:hAnsi="Century Gothic"/>
          <w:lang w:val="es-ES"/>
        </w:rPr>
        <w:t xml:space="preserve">, </w:t>
      </w:r>
      <w:r w:rsidRPr="006515AA">
        <w:rPr>
          <w:rFonts w:ascii="Century Gothic" w:hAnsi="Century Gothic"/>
          <w:lang w:val="es-ES"/>
        </w:rPr>
        <w:t xml:space="preserve">destinadas a </w:t>
      </w:r>
      <w:r w:rsidR="00764DC0" w:rsidRPr="006515AA">
        <w:rPr>
          <w:rFonts w:ascii="Century Gothic" w:hAnsi="Century Gothic"/>
          <w:lang w:val="es-ES"/>
        </w:rPr>
        <w:t>salud, educación y agua potable y saneamiento básico</w:t>
      </w:r>
      <w:r w:rsidRPr="006515AA">
        <w:rPr>
          <w:rFonts w:ascii="Century Gothic" w:hAnsi="Century Gothic"/>
          <w:lang w:val="es-ES"/>
        </w:rPr>
        <w:t xml:space="preserve">; para la </w:t>
      </w:r>
      <w:r w:rsidR="00764DC0" w:rsidRPr="006515AA">
        <w:rPr>
          <w:rFonts w:ascii="Century Gothic" w:hAnsi="Century Gothic"/>
          <w:lang w:val="es-ES"/>
        </w:rPr>
        <w:t xml:space="preserve">vigencia 2017 </w:t>
      </w:r>
      <w:r w:rsidRPr="006515AA">
        <w:rPr>
          <w:rFonts w:ascii="Century Gothic" w:hAnsi="Century Gothic"/>
          <w:lang w:val="es-ES"/>
        </w:rPr>
        <w:t xml:space="preserve">se </w:t>
      </w:r>
      <w:r w:rsidR="00732447" w:rsidRPr="006515AA">
        <w:rPr>
          <w:rFonts w:ascii="Century Gothic" w:hAnsi="Century Gothic"/>
          <w:lang w:val="es-ES"/>
        </w:rPr>
        <w:t>present</w:t>
      </w:r>
      <w:r w:rsidRPr="006515AA">
        <w:rPr>
          <w:rFonts w:ascii="Century Gothic" w:hAnsi="Century Gothic"/>
          <w:lang w:val="es-ES"/>
        </w:rPr>
        <w:t xml:space="preserve">ó </w:t>
      </w:r>
      <w:r w:rsidR="00732447" w:rsidRPr="006515AA">
        <w:rPr>
          <w:rFonts w:ascii="Century Gothic" w:hAnsi="Century Gothic"/>
          <w:lang w:val="es-ES"/>
        </w:rPr>
        <w:t>un recaudo del 100 por ciento</w:t>
      </w:r>
      <w:r w:rsidR="00C76A04" w:rsidRPr="006515AA">
        <w:rPr>
          <w:rFonts w:ascii="Century Gothic" w:hAnsi="Century Gothic"/>
          <w:lang w:val="es-ES"/>
        </w:rPr>
        <w:t xml:space="preserve">, </w:t>
      </w:r>
      <w:r w:rsidRPr="006515AA">
        <w:rPr>
          <w:rFonts w:ascii="Century Gothic" w:hAnsi="Century Gothic"/>
          <w:lang w:val="es-ES"/>
        </w:rPr>
        <w:t xml:space="preserve">su </w:t>
      </w:r>
      <w:r w:rsidR="00764DC0" w:rsidRPr="006515AA">
        <w:rPr>
          <w:rFonts w:ascii="Century Gothic" w:hAnsi="Century Gothic"/>
          <w:lang w:val="es-ES"/>
        </w:rPr>
        <w:t xml:space="preserve">participación en el presupuesto del </w:t>
      </w:r>
      <w:r w:rsidR="004722AA" w:rsidRPr="006515AA">
        <w:rPr>
          <w:rFonts w:ascii="Century Gothic" w:hAnsi="Century Gothic"/>
          <w:lang w:val="es-ES"/>
        </w:rPr>
        <w:t>m</w:t>
      </w:r>
      <w:r w:rsidR="00764DC0" w:rsidRPr="006515AA">
        <w:rPr>
          <w:rFonts w:ascii="Century Gothic" w:hAnsi="Century Gothic"/>
          <w:lang w:val="es-ES"/>
        </w:rPr>
        <w:t>unicipio alcanz</w:t>
      </w:r>
      <w:r w:rsidR="00D92249" w:rsidRPr="006515AA">
        <w:rPr>
          <w:rFonts w:ascii="Century Gothic" w:hAnsi="Century Gothic"/>
          <w:lang w:val="es-ES"/>
        </w:rPr>
        <w:t>ó</w:t>
      </w:r>
      <w:r w:rsidR="00764DC0" w:rsidRPr="006515AA">
        <w:rPr>
          <w:rFonts w:ascii="Century Gothic" w:hAnsi="Century Gothic"/>
          <w:lang w:val="es-ES"/>
        </w:rPr>
        <w:t xml:space="preserve"> el 39,1</w:t>
      </w:r>
      <w:r w:rsidR="00887EF9" w:rsidRPr="006515AA">
        <w:rPr>
          <w:rFonts w:ascii="Century Gothic" w:hAnsi="Century Gothic"/>
          <w:lang w:val="es-ES"/>
        </w:rPr>
        <w:t xml:space="preserve"> por ciento</w:t>
      </w:r>
      <w:r w:rsidR="00C76A04" w:rsidRPr="006515AA">
        <w:rPr>
          <w:rFonts w:ascii="Century Gothic" w:hAnsi="Century Gothic"/>
          <w:lang w:val="es-ES"/>
        </w:rPr>
        <w:t>, obteniendo un13 por ciento más, f</w:t>
      </w:r>
      <w:r w:rsidR="00764DC0" w:rsidRPr="006515AA">
        <w:rPr>
          <w:rFonts w:ascii="Century Gothic" w:hAnsi="Century Gothic"/>
          <w:lang w:val="es-ES"/>
        </w:rPr>
        <w:t>rente a la vigencia 2016.</w:t>
      </w:r>
    </w:p>
    <w:p w14:paraId="70BD29D1" w14:textId="6352C79F" w:rsidR="006515AA" w:rsidRPr="006515AA" w:rsidRDefault="00C76A04" w:rsidP="00764DC0">
      <w:pPr>
        <w:jc w:val="both"/>
        <w:rPr>
          <w:rFonts w:ascii="Century Gothic" w:hAnsi="Century Gothic"/>
          <w:lang w:val="es-ES"/>
        </w:rPr>
      </w:pPr>
      <w:r w:rsidRPr="006515AA">
        <w:rPr>
          <w:rFonts w:ascii="Century Gothic" w:hAnsi="Century Gothic"/>
          <w:lang w:val="es-ES"/>
        </w:rPr>
        <w:t>D</w:t>
      </w:r>
      <w:r w:rsidR="00764DC0" w:rsidRPr="006515AA">
        <w:rPr>
          <w:rFonts w:ascii="Century Gothic" w:hAnsi="Century Gothic"/>
          <w:lang w:val="es-ES"/>
        </w:rPr>
        <w:t>el total de las transferencias</w:t>
      </w:r>
      <w:r w:rsidRPr="006515AA">
        <w:rPr>
          <w:rFonts w:ascii="Century Gothic" w:hAnsi="Century Gothic"/>
          <w:lang w:val="es-ES"/>
        </w:rPr>
        <w:t>,</w:t>
      </w:r>
      <w:r w:rsidR="00764DC0" w:rsidRPr="006515AA">
        <w:rPr>
          <w:rFonts w:ascii="Century Gothic" w:hAnsi="Century Gothic"/>
          <w:lang w:val="es-ES"/>
        </w:rPr>
        <w:t xml:space="preserve"> el 66,8</w:t>
      </w:r>
      <w:r w:rsidR="00887EF9" w:rsidRPr="006515AA">
        <w:rPr>
          <w:rFonts w:ascii="Century Gothic" w:hAnsi="Century Gothic"/>
          <w:lang w:val="es-ES"/>
        </w:rPr>
        <w:t xml:space="preserve"> por ciento</w:t>
      </w:r>
      <w:r w:rsidR="00764DC0" w:rsidRPr="006515AA">
        <w:rPr>
          <w:rFonts w:ascii="Century Gothic" w:hAnsi="Century Gothic"/>
          <w:lang w:val="es-ES"/>
        </w:rPr>
        <w:t xml:space="preserve"> corresponden a educación</w:t>
      </w:r>
      <w:r w:rsidRPr="006515AA">
        <w:rPr>
          <w:rFonts w:ascii="Century Gothic" w:hAnsi="Century Gothic"/>
          <w:lang w:val="es-ES"/>
        </w:rPr>
        <w:t>,</w:t>
      </w:r>
      <w:r w:rsidR="00764DC0" w:rsidRPr="006515AA">
        <w:rPr>
          <w:rFonts w:ascii="Century Gothic" w:hAnsi="Century Gothic"/>
          <w:lang w:val="es-ES"/>
        </w:rPr>
        <w:t xml:space="preserve"> dentro de estas</w:t>
      </w:r>
      <w:r w:rsidRPr="006515AA">
        <w:rPr>
          <w:rFonts w:ascii="Century Gothic" w:hAnsi="Century Gothic"/>
          <w:lang w:val="es-ES"/>
        </w:rPr>
        <w:t>,</w:t>
      </w:r>
      <w:r w:rsidR="00764DC0" w:rsidRPr="006515AA">
        <w:rPr>
          <w:rFonts w:ascii="Century Gothic" w:hAnsi="Century Gothic"/>
          <w:lang w:val="es-ES"/>
        </w:rPr>
        <w:t xml:space="preserve"> la asignación con mayor par</w:t>
      </w:r>
      <w:r w:rsidRPr="006515AA">
        <w:rPr>
          <w:rFonts w:ascii="Century Gothic" w:hAnsi="Century Gothic"/>
          <w:lang w:val="es-ES"/>
        </w:rPr>
        <w:t xml:space="preserve">ticipación son los recursos de </w:t>
      </w:r>
      <w:r w:rsidR="00764DC0" w:rsidRPr="006515AA">
        <w:rPr>
          <w:rFonts w:ascii="Century Gothic" w:hAnsi="Century Gothic"/>
          <w:lang w:val="es-ES"/>
        </w:rPr>
        <w:t>prestación de servicios, recursos que</w:t>
      </w:r>
      <w:r w:rsidRPr="006515AA">
        <w:rPr>
          <w:rFonts w:ascii="Century Gothic" w:hAnsi="Century Gothic"/>
          <w:lang w:val="es-ES"/>
        </w:rPr>
        <w:t>, en un alto porcentaje,</w:t>
      </w:r>
      <w:r w:rsidR="00764DC0" w:rsidRPr="006515AA">
        <w:rPr>
          <w:rFonts w:ascii="Century Gothic" w:hAnsi="Century Gothic"/>
          <w:lang w:val="es-ES"/>
        </w:rPr>
        <w:t xml:space="preserve"> son para el pago de los docentes</w:t>
      </w:r>
      <w:r w:rsidRPr="006515AA">
        <w:rPr>
          <w:rFonts w:ascii="Century Gothic" w:hAnsi="Century Gothic"/>
          <w:lang w:val="es-ES"/>
        </w:rPr>
        <w:t>;</w:t>
      </w:r>
      <w:r w:rsidR="00764DC0" w:rsidRPr="006515AA">
        <w:rPr>
          <w:rFonts w:ascii="Century Gothic" w:hAnsi="Century Gothic"/>
          <w:lang w:val="es-ES"/>
        </w:rPr>
        <w:t xml:space="preserve"> la </w:t>
      </w:r>
      <w:r w:rsidRPr="006515AA">
        <w:rPr>
          <w:rFonts w:ascii="Century Gothic" w:hAnsi="Century Gothic"/>
          <w:lang w:val="es-ES"/>
        </w:rPr>
        <w:t xml:space="preserve">siguiente </w:t>
      </w:r>
      <w:r w:rsidR="00764DC0" w:rsidRPr="006515AA">
        <w:rPr>
          <w:rFonts w:ascii="Century Gothic" w:hAnsi="Century Gothic"/>
          <w:lang w:val="es-ES"/>
        </w:rPr>
        <w:t>asignación es la de salud</w:t>
      </w:r>
      <w:r w:rsidRPr="006515AA">
        <w:rPr>
          <w:rFonts w:ascii="Century Gothic" w:hAnsi="Century Gothic"/>
          <w:lang w:val="es-ES"/>
        </w:rPr>
        <w:t>,</w:t>
      </w:r>
      <w:r w:rsidR="00764DC0" w:rsidRPr="006515AA">
        <w:rPr>
          <w:rFonts w:ascii="Century Gothic" w:hAnsi="Century Gothic"/>
          <w:lang w:val="es-ES"/>
        </w:rPr>
        <w:t xml:space="preserve"> con un 25</w:t>
      </w:r>
      <w:r w:rsidR="00887EF9" w:rsidRPr="006515AA">
        <w:rPr>
          <w:rFonts w:ascii="Century Gothic" w:hAnsi="Century Gothic"/>
          <w:lang w:val="es-ES"/>
        </w:rPr>
        <w:t xml:space="preserve"> por ciento</w:t>
      </w:r>
      <w:r w:rsidR="00764DC0" w:rsidRPr="006515AA">
        <w:rPr>
          <w:rFonts w:ascii="Century Gothic" w:hAnsi="Century Gothic"/>
          <w:lang w:val="es-ES"/>
        </w:rPr>
        <w:t>, de los cuales</w:t>
      </w:r>
      <w:r w:rsidRPr="006515AA">
        <w:rPr>
          <w:rFonts w:ascii="Century Gothic" w:hAnsi="Century Gothic"/>
          <w:lang w:val="es-ES"/>
        </w:rPr>
        <w:t>,</w:t>
      </w:r>
      <w:r w:rsidR="00764DC0" w:rsidRPr="006515AA">
        <w:rPr>
          <w:rFonts w:ascii="Century Gothic" w:hAnsi="Century Gothic"/>
          <w:lang w:val="es-ES"/>
        </w:rPr>
        <w:t xml:space="preserve"> los recursos para demanda alcanza</w:t>
      </w:r>
      <w:r w:rsidRPr="006515AA">
        <w:rPr>
          <w:rFonts w:ascii="Century Gothic" w:hAnsi="Century Gothic"/>
          <w:lang w:val="es-ES"/>
        </w:rPr>
        <w:t>n</w:t>
      </w:r>
      <w:r w:rsidR="00764DC0" w:rsidRPr="006515AA">
        <w:rPr>
          <w:rFonts w:ascii="Century Gothic" w:hAnsi="Century Gothic"/>
          <w:lang w:val="es-ES"/>
        </w:rPr>
        <w:t xml:space="preserve"> el 95</w:t>
      </w:r>
      <w:r w:rsidR="00887EF9" w:rsidRPr="006515AA">
        <w:rPr>
          <w:rFonts w:ascii="Century Gothic" w:hAnsi="Century Gothic"/>
          <w:lang w:val="es-ES"/>
        </w:rPr>
        <w:t xml:space="preserve"> por ciento</w:t>
      </w:r>
      <w:r w:rsidR="00E10549" w:rsidRPr="006515AA">
        <w:rPr>
          <w:rFonts w:ascii="Century Gothic" w:hAnsi="Century Gothic"/>
          <w:lang w:val="es-ES"/>
        </w:rPr>
        <w:t>;</w:t>
      </w:r>
      <w:r w:rsidR="00764DC0" w:rsidRPr="006515AA">
        <w:rPr>
          <w:rFonts w:ascii="Century Gothic" w:hAnsi="Century Gothic"/>
          <w:lang w:val="es-ES"/>
        </w:rPr>
        <w:t xml:space="preserve"> seguido por la asignación de propósito general con el 4,3</w:t>
      </w:r>
      <w:r w:rsidR="00887EF9" w:rsidRPr="006515AA">
        <w:rPr>
          <w:rFonts w:ascii="Century Gothic" w:hAnsi="Century Gothic"/>
          <w:lang w:val="es-ES"/>
        </w:rPr>
        <w:t xml:space="preserve"> por ciento</w:t>
      </w:r>
      <w:r w:rsidR="00E10549" w:rsidRPr="006515AA">
        <w:rPr>
          <w:rFonts w:ascii="Century Gothic" w:hAnsi="Century Gothic"/>
          <w:lang w:val="es-ES"/>
        </w:rPr>
        <w:t xml:space="preserve">; </w:t>
      </w:r>
      <w:r w:rsidR="00764DC0" w:rsidRPr="006515AA">
        <w:rPr>
          <w:rFonts w:ascii="Century Gothic" w:hAnsi="Century Gothic"/>
          <w:lang w:val="es-ES"/>
        </w:rPr>
        <w:t>agua potable 3,3</w:t>
      </w:r>
      <w:r w:rsidR="00887EF9" w:rsidRPr="006515AA">
        <w:rPr>
          <w:rFonts w:ascii="Century Gothic" w:hAnsi="Century Gothic"/>
          <w:lang w:val="es-ES"/>
        </w:rPr>
        <w:t xml:space="preserve"> por ciento</w:t>
      </w:r>
      <w:r w:rsidR="00E10549" w:rsidRPr="006515AA">
        <w:rPr>
          <w:rFonts w:ascii="Century Gothic" w:hAnsi="Century Gothic"/>
          <w:lang w:val="es-ES"/>
        </w:rPr>
        <w:t>;</w:t>
      </w:r>
      <w:r w:rsidR="00764DC0" w:rsidRPr="006515AA">
        <w:rPr>
          <w:rFonts w:ascii="Century Gothic" w:hAnsi="Century Gothic"/>
          <w:lang w:val="es-ES"/>
        </w:rPr>
        <w:t xml:space="preserve"> alimentación escolar 0,3</w:t>
      </w:r>
      <w:r w:rsidR="00887EF9" w:rsidRPr="006515AA">
        <w:rPr>
          <w:rFonts w:ascii="Century Gothic" w:hAnsi="Century Gothic"/>
          <w:lang w:val="es-ES"/>
        </w:rPr>
        <w:t xml:space="preserve"> por ciento</w:t>
      </w:r>
      <w:r w:rsidR="00764DC0" w:rsidRPr="006515AA">
        <w:rPr>
          <w:rFonts w:ascii="Century Gothic" w:hAnsi="Century Gothic"/>
          <w:lang w:val="es-ES"/>
        </w:rPr>
        <w:t xml:space="preserve"> y finalmente los recursos de primera infancia con el 0,2</w:t>
      </w:r>
      <w:r w:rsidR="00887EF9" w:rsidRPr="006515AA">
        <w:rPr>
          <w:rFonts w:ascii="Century Gothic" w:hAnsi="Century Gothic"/>
          <w:lang w:val="es-ES"/>
        </w:rPr>
        <w:t xml:space="preserve"> por ciento</w:t>
      </w:r>
      <w:r w:rsidR="00764DC0" w:rsidRPr="006515AA">
        <w:rPr>
          <w:rFonts w:ascii="Century Gothic" w:hAnsi="Century Gothic"/>
          <w:lang w:val="es-ES"/>
        </w:rPr>
        <w:t>.</w:t>
      </w:r>
      <w:r w:rsidR="004722AA" w:rsidRPr="006515AA">
        <w:rPr>
          <w:rFonts w:ascii="Century Gothic" w:hAnsi="Century Gothic"/>
          <w:lang w:val="es-ES"/>
        </w:rPr>
        <w:t xml:space="preserve"> </w:t>
      </w:r>
    </w:p>
    <w:p w14:paraId="79C11AD7" w14:textId="77777777" w:rsidR="006515AA" w:rsidRPr="006515AA" w:rsidRDefault="006515AA">
      <w:pPr>
        <w:rPr>
          <w:rFonts w:ascii="Century Gothic" w:hAnsi="Century Gothic"/>
          <w:lang w:val="es-ES"/>
        </w:rPr>
      </w:pPr>
      <w:r w:rsidRPr="006515AA">
        <w:rPr>
          <w:rFonts w:ascii="Century Gothic" w:hAnsi="Century Gothic"/>
          <w:lang w:val="es-ES"/>
        </w:rPr>
        <w:br w:type="page"/>
      </w:r>
    </w:p>
    <w:p w14:paraId="485B642D" w14:textId="36E87F42" w:rsidR="00764DC0" w:rsidRPr="006515AA" w:rsidRDefault="00764DC0" w:rsidP="00764DC0">
      <w:pPr>
        <w:spacing w:after="0"/>
        <w:jc w:val="center"/>
        <w:rPr>
          <w:rFonts w:ascii="Century Gothic" w:hAnsi="Century Gothic"/>
          <w:noProof/>
          <w:lang w:val="es-ES"/>
        </w:rPr>
      </w:pPr>
      <w:bookmarkStart w:id="18" w:name="_Toc532570501"/>
      <w:r w:rsidRPr="006515AA">
        <w:rPr>
          <w:rFonts w:ascii="Century Gothic" w:hAnsi="Century Gothic"/>
          <w:lang w:val="es-ES"/>
        </w:rPr>
        <w:lastRenderedPageBreak/>
        <w:t xml:space="preserve">Tabla </w:t>
      </w:r>
      <w:r w:rsidRPr="006515AA">
        <w:rPr>
          <w:rFonts w:ascii="Century Gothic" w:hAnsi="Century Gothic"/>
          <w:lang w:val="es-ES"/>
        </w:rPr>
        <w:fldChar w:fldCharType="begin"/>
      </w:r>
      <w:r w:rsidRPr="006515AA">
        <w:rPr>
          <w:rFonts w:ascii="Century Gothic" w:hAnsi="Century Gothic"/>
          <w:lang w:val="es-ES"/>
        </w:rPr>
        <w:instrText xml:space="preserve"> SEQ Tabla \* ARABIC </w:instrText>
      </w:r>
      <w:r w:rsidRPr="006515AA">
        <w:rPr>
          <w:rFonts w:ascii="Century Gothic" w:hAnsi="Century Gothic"/>
          <w:lang w:val="es-ES"/>
        </w:rPr>
        <w:fldChar w:fldCharType="separate"/>
      </w:r>
      <w:r w:rsidR="00934BA3">
        <w:rPr>
          <w:rFonts w:ascii="Century Gothic" w:hAnsi="Century Gothic"/>
          <w:noProof/>
          <w:lang w:val="es-ES"/>
        </w:rPr>
        <w:t>10</w:t>
      </w:r>
      <w:r w:rsidRPr="006515AA">
        <w:rPr>
          <w:rFonts w:ascii="Century Gothic" w:hAnsi="Century Gothic"/>
          <w:lang w:val="es-ES"/>
        </w:rPr>
        <w:fldChar w:fldCharType="end"/>
      </w:r>
      <w:r w:rsidRPr="006515AA">
        <w:rPr>
          <w:rFonts w:ascii="Century Gothic" w:hAnsi="Century Gothic"/>
          <w:lang w:val="es-ES"/>
        </w:rPr>
        <w:t>. Sistema General de Participaciones a diciembre 2017 (millones de pesos)</w:t>
      </w:r>
      <w:bookmarkEnd w:id="18"/>
    </w:p>
    <w:p w14:paraId="6A7DFBF8" w14:textId="77777777" w:rsidR="00D92249" w:rsidRPr="006515AA" w:rsidRDefault="00D92249" w:rsidP="00D92249">
      <w:pPr>
        <w:tabs>
          <w:tab w:val="left" w:pos="1230"/>
        </w:tabs>
        <w:spacing w:after="0"/>
        <w:jc w:val="center"/>
        <w:rPr>
          <w:rFonts w:ascii="Century Gothic" w:hAnsi="Century Gothic"/>
          <w:lang w:val="es-ES"/>
        </w:rPr>
      </w:pPr>
      <w:r w:rsidRPr="006515AA">
        <w:rPr>
          <w:rFonts w:ascii="Century Gothic" w:hAnsi="Century Gothic"/>
          <w:noProof/>
          <w:lang w:val="es-ES" w:eastAsia="es-ES"/>
        </w:rPr>
        <w:drawing>
          <wp:inline distT="0" distB="0" distL="0" distR="0" wp14:anchorId="72C2FD59" wp14:editId="440A0192">
            <wp:extent cx="5390992" cy="1969477"/>
            <wp:effectExtent l="0" t="0" r="63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b="37571"/>
                    <a:stretch/>
                  </pic:blipFill>
                  <pic:spPr bwMode="auto">
                    <a:xfrm>
                      <a:off x="0" y="0"/>
                      <a:ext cx="5390992" cy="1969477"/>
                    </a:xfrm>
                    <a:prstGeom prst="rect">
                      <a:avLst/>
                    </a:prstGeom>
                    <a:noFill/>
                    <a:ln>
                      <a:noFill/>
                    </a:ln>
                    <a:extLst>
                      <a:ext uri="{53640926-AAD7-44D8-BBD7-CCE9431645EC}">
                        <a14:shadowObscured xmlns:a14="http://schemas.microsoft.com/office/drawing/2010/main"/>
                      </a:ext>
                    </a:extLst>
                  </pic:spPr>
                </pic:pic>
              </a:graphicData>
            </a:graphic>
          </wp:inline>
        </w:drawing>
      </w:r>
    </w:p>
    <w:p w14:paraId="08974C58" w14:textId="15602B78" w:rsidR="00D92249" w:rsidRPr="006515AA" w:rsidRDefault="00D92249" w:rsidP="00D92249">
      <w:pPr>
        <w:tabs>
          <w:tab w:val="left" w:pos="1230"/>
        </w:tabs>
        <w:spacing w:after="0"/>
        <w:jc w:val="center"/>
        <w:rPr>
          <w:rFonts w:ascii="Century Gothic" w:hAnsi="Century Gothic"/>
          <w:lang w:val="es-ES"/>
        </w:rPr>
      </w:pPr>
      <w:r w:rsidRPr="006515AA">
        <w:rPr>
          <w:rFonts w:ascii="Century Gothic" w:hAnsi="Century Gothic"/>
          <w:noProof/>
          <w:lang w:val="es-ES" w:eastAsia="es-ES"/>
        </w:rPr>
        <w:drawing>
          <wp:inline distT="0" distB="0" distL="0" distR="0" wp14:anchorId="6FA6A0FD" wp14:editId="50A28573">
            <wp:extent cx="5378332" cy="361350"/>
            <wp:effectExtent l="0" t="0" r="0" b="635"/>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t="1916" b="86603"/>
                    <a:stretch/>
                  </pic:blipFill>
                  <pic:spPr bwMode="auto">
                    <a:xfrm>
                      <a:off x="0" y="0"/>
                      <a:ext cx="5390055" cy="362138"/>
                    </a:xfrm>
                    <a:prstGeom prst="rect">
                      <a:avLst/>
                    </a:prstGeom>
                    <a:noFill/>
                    <a:ln>
                      <a:noFill/>
                    </a:ln>
                    <a:extLst>
                      <a:ext uri="{53640926-AAD7-44D8-BBD7-CCE9431645EC}">
                        <a14:shadowObscured xmlns:a14="http://schemas.microsoft.com/office/drawing/2010/main"/>
                      </a:ext>
                    </a:extLst>
                  </pic:spPr>
                </pic:pic>
              </a:graphicData>
            </a:graphic>
          </wp:inline>
        </w:drawing>
      </w:r>
      <w:r w:rsidRPr="006515AA">
        <w:rPr>
          <w:rFonts w:ascii="Century Gothic" w:hAnsi="Century Gothic"/>
          <w:noProof/>
          <w:lang w:val="es-ES" w:eastAsia="es-ES"/>
        </w:rPr>
        <w:drawing>
          <wp:inline distT="0" distB="0" distL="0" distR="0" wp14:anchorId="25705112" wp14:editId="494F497F">
            <wp:extent cx="5389197" cy="1335929"/>
            <wp:effectExtent l="0" t="0" r="254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t="57671" b="-31"/>
                    <a:stretch/>
                  </pic:blipFill>
                  <pic:spPr bwMode="auto">
                    <a:xfrm>
                      <a:off x="0" y="0"/>
                      <a:ext cx="5401543" cy="1338989"/>
                    </a:xfrm>
                    <a:prstGeom prst="rect">
                      <a:avLst/>
                    </a:prstGeom>
                    <a:noFill/>
                    <a:ln>
                      <a:noFill/>
                    </a:ln>
                    <a:extLst>
                      <a:ext uri="{53640926-AAD7-44D8-BBD7-CCE9431645EC}">
                        <a14:shadowObscured xmlns:a14="http://schemas.microsoft.com/office/drawing/2010/main"/>
                      </a:ext>
                    </a:extLst>
                  </pic:spPr>
                </pic:pic>
              </a:graphicData>
            </a:graphic>
          </wp:inline>
        </w:drawing>
      </w:r>
    </w:p>
    <w:p w14:paraId="685F2C70" w14:textId="0B40D2BF" w:rsidR="00764DC0" w:rsidRPr="006515AA" w:rsidRDefault="00764DC0" w:rsidP="00764DC0">
      <w:pPr>
        <w:jc w:val="center"/>
        <w:rPr>
          <w:rFonts w:ascii="Century Gothic" w:hAnsi="Century Gothic"/>
          <w:sz w:val="20"/>
          <w:lang w:val="es-ES"/>
        </w:rPr>
      </w:pPr>
      <w:r w:rsidRPr="006515AA">
        <w:rPr>
          <w:rFonts w:ascii="Century Gothic" w:hAnsi="Century Gothic"/>
          <w:sz w:val="20"/>
          <w:lang w:val="es-ES"/>
        </w:rPr>
        <w:t>Fuent</w:t>
      </w:r>
      <w:r w:rsidR="00A1717F" w:rsidRPr="006515AA">
        <w:rPr>
          <w:rFonts w:ascii="Century Gothic" w:hAnsi="Century Gothic"/>
          <w:sz w:val="20"/>
          <w:lang w:val="es-ES"/>
        </w:rPr>
        <w:t>e: Secretaría de Hacienda, 2018</w:t>
      </w:r>
    </w:p>
    <w:p w14:paraId="5AA163D0" w14:textId="002FA285" w:rsidR="00764DC0" w:rsidRPr="006515AA" w:rsidRDefault="00764DC0" w:rsidP="00764DC0">
      <w:pPr>
        <w:jc w:val="both"/>
        <w:rPr>
          <w:rFonts w:ascii="Century Gothic" w:hAnsi="Century Gothic"/>
          <w:lang w:val="es-ES"/>
        </w:rPr>
      </w:pPr>
      <w:r w:rsidRPr="006515AA">
        <w:rPr>
          <w:rFonts w:ascii="Century Gothic" w:hAnsi="Century Gothic"/>
          <w:lang w:val="es-ES"/>
        </w:rPr>
        <w:t xml:space="preserve">En el </w:t>
      </w:r>
      <w:r w:rsidR="00E10549" w:rsidRPr="006515AA">
        <w:rPr>
          <w:rFonts w:ascii="Century Gothic" w:hAnsi="Century Gothic"/>
          <w:lang w:val="es-ES"/>
        </w:rPr>
        <w:t xml:space="preserve">presupuesto </w:t>
      </w:r>
      <w:r w:rsidRPr="006515AA">
        <w:rPr>
          <w:rFonts w:ascii="Century Gothic" w:hAnsi="Century Gothic"/>
          <w:lang w:val="es-ES"/>
        </w:rPr>
        <w:t>del Municipio</w:t>
      </w:r>
      <w:r w:rsidR="00E10549" w:rsidRPr="006515AA">
        <w:rPr>
          <w:rFonts w:ascii="Century Gothic" w:hAnsi="Century Gothic"/>
          <w:lang w:val="es-ES"/>
        </w:rPr>
        <w:t>,</w:t>
      </w:r>
      <w:r w:rsidRPr="006515AA">
        <w:rPr>
          <w:rFonts w:ascii="Century Gothic" w:hAnsi="Century Gothic"/>
          <w:lang w:val="es-ES"/>
        </w:rPr>
        <w:t xml:space="preserve"> los ingresos correspondientes a </w:t>
      </w:r>
      <w:r w:rsidR="00E10549" w:rsidRPr="006515AA">
        <w:rPr>
          <w:rFonts w:ascii="Century Gothic" w:hAnsi="Century Gothic"/>
          <w:lang w:val="es-ES"/>
        </w:rPr>
        <w:t xml:space="preserve">Sistema General </w:t>
      </w:r>
      <w:r w:rsidRPr="006515AA">
        <w:rPr>
          <w:rFonts w:ascii="Century Gothic" w:hAnsi="Century Gothic"/>
          <w:lang w:val="es-ES"/>
        </w:rPr>
        <w:t xml:space="preserve">de </w:t>
      </w:r>
      <w:r w:rsidR="00E10549" w:rsidRPr="006515AA">
        <w:rPr>
          <w:rFonts w:ascii="Century Gothic" w:hAnsi="Century Gothic"/>
          <w:lang w:val="es-ES"/>
        </w:rPr>
        <w:t xml:space="preserve">Participaciones </w:t>
      </w:r>
      <w:r w:rsidRPr="006515AA">
        <w:rPr>
          <w:rFonts w:ascii="Century Gothic" w:hAnsi="Century Gothic"/>
          <w:lang w:val="es-ES"/>
        </w:rPr>
        <w:t>agua potable y saneamiento básico se encuentra</w:t>
      </w:r>
      <w:r w:rsidR="00E10549" w:rsidRPr="006515AA">
        <w:rPr>
          <w:rFonts w:ascii="Century Gothic" w:hAnsi="Century Gothic"/>
          <w:lang w:val="es-ES"/>
        </w:rPr>
        <w:t>n contemplados en dos rubros:</w:t>
      </w:r>
      <w:r w:rsidRPr="006515AA">
        <w:rPr>
          <w:rFonts w:ascii="Century Gothic" w:hAnsi="Century Gothic"/>
          <w:lang w:val="es-ES"/>
        </w:rPr>
        <w:t xml:space="preserve"> en un código se contemplan los que amparan la inversión y el pago del servicio de deuda y en el Fondo de Redistribución del Ingreso los que se utilizan para cubrir los subsidios de aseo, acueducto y alcantarillado para los estratos 1,</w:t>
      </w:r>
      <w:r w:rsidR="00E10549" w:rsidRPr="006515AA">
        <w:rPr>
          <w:rFonts w:ascii="Century Gothic" w:hAnsi="Century Gothic"/>
          <w:lang w:val="es-ES"/>
        </w:rPr>
        <w:t xml:space="preserve"> </w:t>
      </w:r>
      <w:r w:rsidRPr="006515AA">
        <w:rPr>
          <w:rFonts w:ascii="Century Gothic" w:hAnsi="Century Gothic"/>
          <w:lang w:val="es-ES"/>
        </w:rPr>
        <w:t>2 y 3. Los que corresponden a Salud se encuentran contemplados en el Fondo Local de Salud.</w:t>
      </w:r>
    </w:p>
    <w:p w14:paraId="77EE263D" w14:textId="77777777" w:rsidR="002E4C0F" w:rsidRPr="00090068" w:rsidRDefault="002E4C0F" w:rsidP="00E10549">
      <w:pPr>
        <w:pStyle w:val="Ttulo3"/>
        <w:rPr>
          <w:lang w:val="es-ES"/>
        </w:rPr>
      </w:pPr>
      <w:bookmarkStart w:id="19" w:name="_Toc532565920"/>
      <w:r w:rsidRPr="00090068">
        <w:rPr>
          <w:lang w:val="es-ES"/>
        </w:rPr>
        <w:t>Ingresos fondos</w:t>
      </w:r>
      <w:bookmarkEnd w:id="19"/>
      <w:r w:rsidRPr="00090068">
        <w:rPr>
          <w:lang w:val="es-ES"/>
        </w:rPr>
        <w:t xml:space="preserve"> </w:t>
      </w:r>
    </w:p>
    <w:p w14:paraId="5BBCB17F" w14:textId="1B536D5E" w:rsidR="002E4C0F" w:rsidRPr="00090068" w:rsidRDefault="002E4C0F" w:rsidP="00E10549">
      <w:pPr>
        <w:pStyle w:val="Ttulo4"/>
        <w:rPr>
          <w:lang w:val="es-ES"/>
        </w:rPr>
      </w:pPr>
      <w:r w:rsidRPr="00090068">
        <w:rPr>
          <w:lang w:val="es-ES"/>
        </w:rPr>
        <w:t xml:space="preserve">Fondo de </w:t>
      </w:r>
      <w:r w:rsidR="00EF0CE3" w:rsidRPr="00090068">
        <w:rPr>
          <w:lang w:val="es-ES"/>
        </w:rPr>
        <w:t>Seguridad</w:t>
      </w:r>
    </w:p>
    <w:p w14:paraId="61CD6B2B" w14:textId="70C20B9D" w:rsidR="00C85813" w:rsidRPr="00090068" w:rsidRDefault="00C85813" w:rsidP="00C85813">
      <w:pPr>
        <w:jc w:val="both"/>
        <w:rPr>
          <w:rFonts w:ascii="Century Gothic" w:hAnsi="Century Gothic"/>
          <w:lang w:val="es-ES"/>
        </w:rPr>
      </w:pPr>
      <w:r w:rsidRPr="00090068">
        <w:rPr>
          <w:rFonts w:ascii="Century Gothic" w:hAnsi="Century Gothic"/>
          <w:lang w:val="es-ES"/>
        </w:rPr>
        <w:t>El Fondo de Seguridad se alimenta principalmente de los ingresos que se perciben por las contribuciones de los contratos de obra pública, se aforó en ingresos corrientes el valor de $</w:t>
      </w:r>
      <w:r w:rsidR="00E10549" w:rsidRPr="00090068">
        <w:rPr>
          <w:rFonts w:ascii="Century Gothic" w:hAnsi="Century Gothic"/>
          <w:lang w:val="es-ES"/>
        </w:rPr>
        <w:t>2.</w:t>
      </w:r>
      <w:r w:rsidRPr="00090068">
        <w:rPr>
          <w:rFonts w:ascii="Century Gothic" w:hAnsi="Century Gothic"/>
          <w:lang w:val="es-ES"/>
        </w:rPr>
        <w:t>625 millones</w:t>
      </w:r>
      <w:r w:rsidR="00E10549" w:rsidRPr="00090068">
        <w:rPr>
          <w:rFonts w:ascii="Century Gothic" w:hAnsi="Century Gothic"/>
          <w:lang w:val="es-ES"/>
        </w:rPr>
        <w:t>,</w:t>
      </w:r>
      <w:r w:rsidRPr="00090068">
        <w:rPr>
          <w:rFonts w:ascii="Century Gothic" w:hAnsi="Century Gothic"/>
          <w:lang w:val="es-ES"/>
        </w:rPr>
        <w:t xml:space="preserve"> con un recaudo del 84,6 por ciento</w:t>
      </w:r>
      <w:r w:rsidR="00E10549" w:rsidRPr="00090068">
        <w:rPr>
          <w:rFonts w:ascii="Century Gothic" w:hAnsi="Century Gothic"/>
          <w:lang w:val="es-ES"/>
        </w:rPr>
        <w:t>;</w:t>
      </w:r>
      <w:r w:rsidRPr="00090068">
        <w:rPr>
          <w:rFonts w:ascii="Century Gothic" w:hAnsi="Century Gothic"/>
          <w:lang w:val="es-ES"/>
        </w:rPr>
        <w:t xml:space="preserve"> durante e</w:t>
      </w:r>
      <w:r w:rsidR="006A0D59" w:rsidRPr="00090068">
        <w:rPr>
          <w:rFonts w:ascii="Century Gothic" w:hAnsi="Century Gothic"/>
          <w:lang w:val="es-ES"/>
        </w:rPr>
        <w:t xml:space="preserve">l </w:t>
      </w:r>
      <w:r w:rsidRPr="00090068">
        <w:rPr>
          <w:rFonts w:ascii="Century Gothic" w:hAnsi="Century Gothic"/>
          <w:lang w:val="es-ES"/>
        </w:rPr>
        <w:t xml:space="preserve">año </w:t>
      </w:r>
      <w:r w:rsidR="006A0D59" w:rsidRPr="00090068">
        <w:rPr>
          <w:rFonts w:ascii="Century Gothic" w:hAnsi="Century Gothic"/>
          <w:lang w:val="es-ES"/>
        </w:rPr>
        <w:t xml:space="preserve">2017 </w:t>
      </w:r>
      <w:r w:rsidRPr="00090068">
        <w:rPr>
          <w:rFonts w:ascii="Century Gothic" w:hAnsi="Century Gothic"/>
          <w:lang w:val="es-ES"/>
        </w:rPr>
        <w:t xml:space="preserve">se recaudaron 24 millones provenientes de las multas del </w:t>
      </w:r>
      <w:r w:rsidR="00E10549" w:rsidRPr="00090068">
        <w:rPr>
          <w:rFonts w:ascii="Century Gothic" w:hAnsi="Century Gothic"/>
          <w:lang w:val="es-ES"/>
        </w:rPr>
        <w:t xml:space="preserve">Código </w:t>
      </w:r>
      <w:r w:rsidRPr="00090068">
        <w:rPr>
          <w:rFonts w:ascii="Century Gothic" w:hAnsi="Century Gothic"/>
          <w:lang w:val="es-ES"/>
        </w:rPr>
        <w:t xml:space="preserve">de </w:t>
      </w:r>
      <w:r w:rsidR="00E10549" w:rsidRPr="00090068">
        <w:rPr>
          <w:rFonts w:ascii="Century Gothic" w:hAnsi="Century Gothic"/>
          <w:lang w:val="es-ES"/>
        </w:rPr>
        <w:t xml:space="preserve">Policía </w:t>
      </w:r>
      <w:r w:rsidRPr="00090068">
        <w:rPr>
          <w:rFonts w:ascii="Century Gothic" w:hAnsi="Century Gothic"/>
          <w:lang w:val="es-ES"/>
        </w:rPr>
        <w:t>y los recursos de capital que alcanzan un valor d</w:t>
      </w:r>
      <w:r w:rsidR="00E10549" w:rsidRPr="00090068">
        <w:rPr>
          <w:rFonts w:ascii="Century Gothic" w:hAnsi="Century Gothic"/>
          <w:lang w:val="es-ES"/>
        </w:rPr>
        <w:t>e $3.</w:t>
      </w:r>
      <w:r w:rsidRPr="00090068">
        <w:rPr>
          <w:rFonts w:ascii="Century Gothic" w:hAnsi="Century Gothic"/>
          <w:lang w:val="es-ES"/>
        </w:rPr>
        <w:t>127 millones</w:t>
      </w:r>
      <w:r w:rsidR="00E10549" w:rsidRPr="00090068">
        <w:rPr>
          <w:rFonts w:ascii="Century Gothic" w:hAnsi="Century Gothic"/>
          <w:lang w:val="es-ES"/>
        </w:rPr>
        <w:t>,</w:t>
      </w:r>
      <w:r w:rsidRPr="00090068">
        <w:rPr>
          <w:rFonts w:ascii="Century Gothic" w:hAnsi="Century Gothic"/>
          <w:lang w:val="es-ES"/>
        </w:rPr>
        <w:t xml:space="preserve"> con </w:t>
      </w:r>
      <w:r w:rsidR="00E10549" w:rsidRPr="00090068">
        <w:rPr>
          <w:rFonts w:ascii="Century Gothic" w:hAnsi="Century Gothic"/>
          <w:lang w:val="es-ES"/>
        </w:rPr>
        <w:t xml:space="preserve">un </w:t>
      </w:r>
      <w:r w:rsidR="00090068" w:rsidRPr="00090068">
        <w:rPr>
          <w:rFonts w:ascii="Century Gothic" w:hAnsi="Century Gothic"/>
          <w:lang w:val="es-ES"/>
        </w:rPr>
        <w:lastRenderedPageBreak/>
        <w:t>100</w:t>
      </w:r>
      <w:r w:rsidR="00E10549" w:rsidRPr="00090068">
        <w:rPr>
          <w:rFonts w:ascii="Century Gothic" w:hAnsi="Century Gothic"/>
          <w:lang w:val="es-ES"/>
        </w:rPr>
        <w:t xml:space="preserve"> </w:t>
      </w:r>
      <w:r w:rsidRPr="00090068">
        <w:rPr>
          <w:rFonts w:ascii="Century Gothic" w:hAnsi="Century Gothic"/>
          <w:lang w:val="es-ES"/>
        </w:rPr>
        <w:t>por ciento de recaudo</w:t>
      </w:r>
      <w:r w:rsidR="00E10549" w:rsidRPr="00090068">
        <w:rPr>
          <w:rFonts w:ascii="Century Gothic" w:hAnsi="Century Gothic"/>
          <w:lang w:val="es-ES"/>
        </w:rPr>
        <w:t>,</w:t>
      </w:r>
      <w:r w:rsidRPr="00090068">
        <w:rPr>
          <w:rFonts w:ascii="Century Gothic" w:hAnsi="Century Gothic"/>
          <w:lang w:val="es-ES"/>
        </w:rPr>
        <w:t xml:space="preserve"> </w:t>
      </w:r>
      <w:r w:rsidR="00E10549" w:rsidRPr="00090068">
        <w:rPr>
          <w:rFonts w:ascii="Century Gothic" w:hAnsi="Century Gothic"/>
          <w:lang w:val="es-ES"/>
        </w:rPr>
        <w:t>lo que corresponde a un gran porcentaje de</w:t>
      </w:r>
      <w:r w:rsidRPr="00090068">
        <w:rPr>
          <w:rFonts w:ascii="Century Gothic" w:hAnsi="Century Gothic"/>
          <w:lang w:val="es-ES"/>
        </w:rPr>
        <w:t xml:space="preserve"> recursos del balance.</w:t>
      </w:r>
    </w:p>
    <w:p w14:paraId="209538D9" w14:textId="77777777" w:rsidR="00C85813" w:rsidRPr="00090068" w:rsidRDefault="00C85813" w:rsidP="00C85813">
      <w:pPr>
        <w:spacing w:after="0"/>
        <w:jc w:val="center"/>
        <w:rPr>
          <w:rFonts w:ascii="Century Gothic" w:hAnsi="Century Gothic"/>
          <w:noProof/>
          <w:lang w:val="es-ES"/>
        </w:rPr>
      </w:pPr>
      <w:bookmarkStart w:id="20" w:name="_Toc532570502"/>
      <w:r w:rsidRPr="00090068">
        <w:rPr>
          <w:rFonts w:ascii="Century Gothic" w:hAnsi="Century Gothic"/>
          <w:lang w:val="es-ES"/>
        </w:rPr>
        <w:t xml:space="preserve">Tabla </w:t>
      </w:r>
      <w:r w:rsidRPr="00090068">
        <w:rPr>
          <w:rFonts w:ascii="Century Gothic" w:hAnsi="Century Gothic"/>
          <w:lang w:val="es-ES"/>
        </w:rPr>
        <w:fldChar w:fldCharType="begin"/>
      </w:r>
      <w:r w:rsidRPr="00090068">
        <w:rPr>
          <w:rFonts w:ascii="Century Gothic" w:hAnsi="Century Gothic"/>
          <w:lang w:val="es-ES"/>
        </w:rPr>
        <w:instrText xml:space="preserve"> SEQ Tabla \* ARABIC </w:instrText>
      </w:r>
      <w:r w:rsidRPr="00090068">
        <w:rPr>
          <w:rFonts w:ascii="Century Gothic" w:hAnsi="Century Gothic"/>
          <w:lang w:val="es-ES"/>
        </w:rPr>
        <w:fldChar w:fldCharType="separate"/>
      </w:r>
      <w:r w:rsidR="00934BA3">
        <w:rPr>
          <w:rFonts w:ascii="Century Gothic" w:hAnsi="Century Gothic"/>
          <w:noProof/>
          <w:lang w:val="es-ES"/>
        </w:rPr>
        <w:t>11</w:t>
      </w:r>
      <w:r w:rsidRPr="00090068">
        <w:rPr>
          <w:rFonts w:ascii="Century Gothic" w:hAnsi="Century Gothic"/>
          <w:lang w:val="es-ES"/>
        </w:rPr>
        <w:fldChar w:fldCharType="end"/>
      </w:r>
      <w:r w:rsidRPr="00090068">
        <w:rPr>
          <w:rFonts w:ascii="Century Gothic" w:hAnsi="Century Gothic"/>
          <w:lang w:val="es-ES"/>
        </w:rPr>
        <w:t>. Ejecución ingresos Fondo de Seguridad 2017 (millones de pesos)</w:t>
      </w:r>
      <w:bookmarkEnd w:id="20"/>
    </w:p>
    <w:p w14:paraId="17B2A9B6" w14:textId="77777777" w:rsidR="00C85813" w:rsidRPr="00090068" w:rsidRDefault="00C85813" w:rsidP="00C85813">
      <w:pPr>
        <w:spacing w:after="0"/>
        <w:jc w:val="both"/>
        <w:rPr>
          <w:rFonts w:ascii="Century Gothic" w:hAnsi="Century Gothic"/>
          <w:lang w:val="es-ES"/>
        </w:rPr>
      </w:pPr>
      <w:r w:rsidRPr="00090068">
        <w:rPr>
          <w:rFonts w:ascii="Century Gothic" w:hAnsi="Century Gothic"/>
          <w:noProof/>
          <w:lang w:val="es-ES" w:eastAsia="es-ES"/>
        </w:rPr>
        <w:drawing>
          <wp:inline distT="0" distB="0" distL="0" distR="0" wp14:anchorId="02C166D7" wp14:editId="5EF886A9">
            <wp:extent cx="5612130" cy="895866"/>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t="15215"/>
                    <a:stretch/>
                  </pic:blipFill>
                  <pic:spPr bwMode="auto">
                    <a:xfrm>
                      <a:off x="0" y="0"/>
                      <a:ext cx="5612130" cy="895866"/>
                    </a:xfrm>
                    <a:prstGeom prst="rect">
                      <a:avLst/>
                    </a:prstGeom>
                    <a:noFill/>
                    <a:ln>
                      <a:noFill/>
                    </a:ln>
                    <a:extLst>
                      <a:ext uri="{53640926-AAD7-44D8-BBD7-CCE9431645EC}">
                        <a14:shadowObscured xmlns:a14="http://schemas.microsoft.com/office/drawing/2010/main"/>
                      </a:ext>
                    </a:extLst>
                  </pic:spPr>
                </pic:pic>
              </a:graphicData>
            </a:graphic>
          </wp:inline>
        </w:drawing>
      </w:r>
    </w:p>
    <w:p w14:paraId="3C256C88" w14:textId="3283E53B" w:rsidR="00C85813" w:rsidRPr="00090068" w:rsidRDefault="00C85813" w:rsidP="00C85813">
      <w:pPr>
        <w:jc w:val="center"/>
        <w:rPr>
          <w:rFonts w:ascii="Century Gothic" w:hAnsi="Century Gothic"/>
          <w:sz w:val="20"/>
          <w:lang w:val="es-ES"/>
        </w:rPr>
      </w:pPr>
      <w:r w:rsidRPr="00090068">
        <w:rPr>
          <w:rFonts w:ascii="Century Gothic" w:hAnsi="Century Gothic"/>
          <w:sz w:val="20"/>
          <w:lang w:val="es-ES"/>
        </w:rPr>
        <w:t>Fuent</w:t>
      </w:r>
      <w:r w:rsidR="00A1717F" w:rsidRPr="00090068">
        <w:rPr>
          <w:rFonts w:ascii="Century Gothic" w:hAnsi="Century Gothic"/>
          <w:sz w:val="20"/>
          <w:lang w:val="es-ES"/>
        </w:rPr>
        <w:t>e: Secretaría de Hacienda, 2018</w:t>
      </w:r>
    </w:p>
    <w:p w14:paraId="4C5A01BB" w14:textId="77777777" w:rsidR="00870C41" w:rsidRPr="00090068" w:rsidRDefault="00870C41" w:rsidP="00E10549">
      <w:pPr>
        <w:pStyle w:val="Ttulo4"/>
        <w:rPr>
          <w:lang w:val="es-ES"/>
        </w:rPr>
      </w:pPr>
      <w:r w:rsidRPr="00090068">
        <w:rPr>
          <w:lang w:val="es-ES"/>
        </w:rPr>
        <w:t>Fondo de Infraestructura y Valorización</w:t>
      </w:r>
    </w:p>
    <w:p w14:paraId="0C34006B" w14:textId="51AB7D0F" w:rsidR="00C85813" w:rsidRPr="00090068" w:rsidRDefault="00C85813" w:rsidP="00C85813">
      <w:pPr>
        <w:jc w:val="both"/>
        <w:rPr>
          <w:rFonts w:ascii="Century Gothic" w:hAnsi="Century Gothic"/>
          <w:lang w:val="es-ES"/>
        </w:rPr>
      </w:pPr>
      <w:r w:rsidRPr="00090068">
        <w:rPr>
          <w:rFonts w:ascii="Century Gothic" w:hAnsi="Century Gothic"/>
          <w:lang w:val="es-ES"/>
        </w:rPr>
        <w:t xml:space="preserve">Durante la vigencia 2017, </w:t>
      </w:r>
      <w:r w:rsidR="006A0D59" w:rsidRPr="00090068">
        <w:rPr>
          <w:rFonts w:ascii="Century Gothic" w:hAnsi="Century Gothic"/>
          <w:lang w:val="es-ES"/>
        </w:rPr>
        <w:t>el recaudo</w:t>
      </w:r>
      <w:r w:rsidRPr="00090068">
        <w:rPr>
          <w:rFonts w:ascii="Century Gothic" w:hAnsi="Century Gothic"/>
          <w:lang w:val="es-ES"/>
        </w:rPr>
        <w:t xml:space="preserve"> de ingresos corrientes de este fondo </w:t>
      </w:r>
      <w:r w:rsidR="006A0D59" w:rsidRPr="00090068">
        <w:rPr>
          <w:rFonts w:ascii="Century Gothic" w:hAnsi="Century Gothic"/>
          <w:lang w:val="es-ES"/>
        </w:rPr>
        <w:t xml:space="preserve">ascendió a la suma de </w:t>
      </w:r>
      <w:r w:rsidRPr="00090068">
        <w:rPr>
          <w:rFonts w:ascii="Century Gothic" w:hAnsi="Century Gothic"/>
          <w:lang w:val="es-ES"/>
        </w:rPr>
        <w:t xml:space="preserve">$6.895 millones </w:t>
      </w:r>
      <w:r w:rsidR="006A0D59" w:rsidRPr="00090068">
        <w:rPr>
          <w:rFonts w:ascii="Century Gothic" w:hAnsi="Century Gothic"/>
          <w:lang w:val="es-ES"/>
        </w:rPr>
        <w:t xml:space="preserve">(90,4%), producto del </w:t>
      </w:r>
      <w:r w:rsidRPr="00090068">
        <w:rPr>
          <w:rFonts w:ascii="Century Gothic" w:hAnsi="Century Gothic"/>
          <w:lang w:val="es-ES"/>
        </w:rPr>
        <w:t>riego para el cobro de la contribución de valorización de las obras del Plan Maestro de Movi</w:t>
      </w:r>
      <w:r w:rsidR="002B18BE" w:rsidRPr="00090068">
        <w:rPr>
          <w:rFonts w:ascii="Century Gothic" w:hAnsi="Century Gothic"/>
          <w:lang w:val="es-ES"/>
        </w:rPr>
        <w:t xml:space="preserve">lidad, los recursos de capital </w:t>
      </w:r>
      <w:r w:rsidR="00090068" w:rsidRPr="00090068">
        <w:rPr>
          <w:rFonts w:ascii="Century Gothic" w:hAnsi="Century Gothic"/>
          <w:lang w:val="es-ES"/>
        </w:rPr>
        <w:t xml:space="preserve">respecto al total de la ejecución de los ingresos </w:t>
      </w:r>
      <w:r w:rsidRPr="00090068">
        <w:rPr>
          <w:rFonts w:ascii="Century Gothic" w:hAnsi="Century Gothic"/>
          <w:lang w:val="es-ES"/>
        </w:rPr>
        <w:t>representan el 6,7 por ciento.</w:t>
      </w:r>
    </w:p>
    <w:p w14:paraId="4200D23A" w14:textId="008BD720" w:rsidR="00C85813" w:rsidRPr="00090068" w:rsidRDefault="00C85813" w:rsidP="00C85813">
      <w:pPr>
        <w:spacing w:after="0"/>
        <w:jc w:val="center"/>
        <w:rPr>
          <w:rFonts w:ascii="Century Gothic" w:hAnsi="Century Gothic"/>
          <w:lang w:val="es-ES"/>
        </w:rPr>
      </w:pPr>
      <w:bookmarkStart w:id="21" w:name="_Toc532570503"/>
      <w:r w:rsidRPr="00090068">
        <w:rPr>
          <w:rFonts w:ascii="Century Gothic" w:hAnsi="Century Gothic"/>
          <w:lang w:val="es-ES"/>
        </w:rPr>
        <w:t xml:space="preserve">Tabla </w:t>
      </w:r>
      <w:r w:rsidRPr="00090068">
        <w:rPr>
          <w:rFonts w:ascii="Century Gothic" w:hAnsi="Century Gothic"/>
          <w:lang w:val="es-ES"/>
        </w:rPr>
        <w:fldChar w:fldCharType="begin"/>
      </w:r>
      <w:r w:rsidRPr="00090068">
        <w:rPr>
          <w:rFonts w:ascii="Century Gothic" w:hAnsi="Century Gothic"/>
          <w:lang w:val="es-ES"/>
        </w:rPr>
        <w:instrText xml:space="preserve"> SEQ Tabla \* ARABIC </w:instrText>
      </w:r>
      <w:r w:rsidRPr="00090068">
        <w:rPr>
          <w:rFonts w:ascii="Century Gothic" w:hAnsi="Century Gothic"/>
          <w:lang w:val="es-ES"/>
        </w:rPr>
        <w:fldChar w:fldCharType="separate"/>
      </w:r>
      <w:r w:rsidR="00934BA3">
        <w:rPr>
          <w:rFonts w:ascii="Century Gothic" w:hAnsi="Century Gothic"/>
          <w:noProof/>
          <w:lang w:val="es-ES"/>
        </w:rPr>
        <w:t>12</w:t>
      </w:r>
      <w:r w:rsidRPr="00090068">
        <w:rPr>
          <w:rFonts w:ascii="Century Gothic" w:hAnsi="Century Gothic"/>
          <w:lang w:val="es-ES"/>
        </w:rPr>
        <w:fldChar w:fldCharType="end"/>
      </w:r>
      <w:r w:rsidRPr="00090068">
        <w:rPr>
          <w:rFonts w:ascii="Century Gothic" w:hAnsi="Century Gothic"/>
          <w:lang w:val="es-ES"/>
        </w:rPr>
        <w:t xml:space="preserve">. Ejecución ingresos Fondo de </w:t>
      </w:r>
      <w:r w:rsidR="00510E2C" w:rsidRPr="00090068">
        <w:rPr>
          <w:rFonts w:ascii="Century Gothic" w:hAnsi="Century Gothic"/>
          <w:lang w:val="es-ES"/>
        </w:rPr>
        <w:t>Secretarí</w:t>
      </w:r>
      <w:r w:rsidRPr="00090068">
        <w:rPr>
          <w:rFonts w:ascii="Century Gothic" w:hAnsi="Century Gothic"/>
          <w:lang w:val="es-ES"/>
        </w:rPr>
        <w:t>a Infraestructura y Valorización 2017 (millones de pesos)</w:t>
      </w:r>
      <w:bookmarkEnd w:id="21"/>
    </w:p>
    <w:p w14:paraId="348DCE3E" w14:textId="77777777" w:rsidR="00C85813" w:rsidRPr="00090068" w:rsidRDefault="00C85813" w:rsidP="00C85813">
      <w:pPr>
        <w:spacing w:after="0"/>
        <w:jc w:val="both"/>
        <w:rPr>
          <w:rFonts w:ascii="Century Gothic" w:hAnsi="Century Gothic"/>
          <w:lang w:val="es-ES"/>
        </w:rPr>
      </w:pPr>
      <w:r w:rsidRPr="00090068">
        <w:rPr>
          <w:rFonts w:ascii="Century Gothic" w:hAnsi="Century Gothic"/>
          <w:noProof/>
          <w:lang w:val="es-ES" w:eastAsia="es-ES"/>
        </w:rPr>
        <w:drawing>
          <wp:inline distT="0" distB="0" distL="0" distR="0" wp14:anchorId="5FBCEC8B" wp14:editId="262E9759">
            <wp:extent cx="5612130" cy="911853"/>
            <wp:effectExtent l="0" t="0" r="0" b="317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t="15778"/>
                    <a:stretch/>
                  </pic:blipFill>
                  <pic:spPr bwMode="auto">
                    <a:xfrm>
                      <a:off x="0" y="0"/>
                      <a:ext cx="5612130" cy="911853"/>
                    </a:xfrm>
                    <a:prstGeom prst="rect">
                      <a:avLst/>
                    </a:prstGeom>
                    <a:noFill/>
                    <a:ln>
                      <a:noFill/>
                    </a:ln>
                    <a:extLst>
                      <a:ext uri="{53640926-AAD7-44D8-BBD7-CCE9431645EC}">
                        <a14:shadowObscured xmlns:a14="http://schemas.microsoft.com/office/drawing/2010/main"/>
                      </a:ext>
                    </a:extLst>
                  </pic:spPr>
                </pic:pic>
              </a:graphicData>
            </a:graphic>
          </wp:inline>
        </w:drawing>
      </w:r>
    </w:p>
    <w:p w14:paraId="3F2DEBD4" w14:textId="41A15EE1" w:rsidR="00C85813" w:rsidRPr="00090068" w:rsidRDefault="00C85813" w:rsidP="00C85813">
      <w:pPr>
        <w:jc w:val="center"/>
        <w:rPr>
          <w:rFonts w:ascii="Century Gothic" w:hAnsi="Century Gothic"/>
          <w:sz w:val="20"/>
          <w:lang w:val="es-ES"/>
        </w:rPr>
      </w:pPr>
      <w:r w:rsidRPr="00090068">
        <w:rPr>
          <w:rFonts w:ascii="Century Gothic" w:hAnsi="Century Gothic"/>
          <w:sz w:val="20"/>
          <w:lang w:val="es-ES"/>
        </w:rPr>
        <w:t>Fuent</w:t>
      </w:r>
      <w:r w:rsidR="00A1717F" w:rsidRPr="00090068">
        <w:rPr>
          <w:rFonts w:ascii="Century Gothic" w:hAnsi="Century Gothic"/>
          <w:sz w:val="20"/>
          <w:lang w:val="es-ES"/>
        </w:rPr>
        <w:t>e: Secretaría de Hacienda, 2018</w:t>
      </w:r>
    </w:p>
    <w:p w14:paraId="2D183A07" w14:textId="77777777" w:rsidR="002A01C6" w:rsidRPr="005B4C8C" w:rsidRDefault="002A01C6" w:rsidP="00510E2C">
      <w:pPr>
        <w:pStyle w:val="Ttulo4"/>
        <w:rPr>
          <w:lang w:val="es-ES"/>
        </w:rPr>
      </w:pPr>
      <w:r w:rsidRPr="005B4C8C">
        <w:rPr>
          <w:lang w:val="es-ES"/>
        </w:rPr>
        <w:t>Fondo de Compensación de Espacio Público</w:t>
      </w:r>
    </w:p>
    <w:p w14:paraId="2BA168A8" w14:textId="0CC34DD7" w:rsidR="00B24451" w:rsidRDefault="00C85813" w:rsidP="00C85813">
      <w:pPr>
        <w:jc w:val="both"/>
        <w:rPr>
          <w:rFonts w:ascii="Century Gothic" w:hAnsi="Century Gothic"/>
          <w:lang w:val="es-ES"/>
        </w:rPr>
      </w:pPr>
      <w:r w:rsidRPr="005B4C8C">
        <w:rPr>
          <w:rFonts w:ascii="Century Gothic" w:hAnsi="Century Gothic"/>
          <w:lang w:val="es-ES"/>
        </w:rPr>
        <w:t xml:space="preserve">Los ingresos corrientes </w:t>
      </w:r>
      <w:r w:rsidR="002B18BE" w:rsidRPr="005B4C8C">
        <w:rPr>
          <w:rFonts w:ascii="Century Gothic" w:hAnsi="Century Gothic"/>
          <w:lang w:val="es-ES"/>
        </w:rPr>
        <w:t xml:space="preserve">de este fondo tuvieron </w:t>
      </w:r>
      <w:r w:rsidRPr="005B4C8C">
        <w:rPr>
          <w:rFonts w:ascii="Century Gothic" w:hAnsi="Century Gothic"/>
          <w:lang w:val="es-ES"/>
        </w:rPr>
        <w:t xml:space="preserve">un cumplimiento del 127,2 por ciento, </w:t>
      </w:r>
      <w:r w:rsidR="002B18BE" w:rsidRPr="005B4C8C">
        <w:rPr>
          <w:rFonts w:ascii="Century Gothic" w:hAnsi="Century Gothic"/>
          <w:lang w:val="es-ES"/>
        </w:rPr>
        <w:t>gracias a</w:t>
      </w:r>
      <w:r w:rsidRPr="005B4C8C">
        <w:rPr>
          <w:rFonts w:ascii="Century Gothic" w:hAnsi="Century Gothic"/>
          <w:lang w:val="es-ES"/>
        </w:rPr>
        <w:t>l pago de la compensación de las cesiones que</w:t>
      </w:r>
      <w:r w:rsidR="002B18BE" w:rsidRPr="005B4C8C">
        <w:rPr>
          <w:rFonts w:ascii="Century Gothic" w:hAnsi="Century Gothic"/>
          <w:lang w:val="es-ES"/>
        </w:rPr>
        <w:t>,</w:t>
      </w:r>
      <w:r w:rsidRPr="005B4C8C">
        <w:rPr>
          <w:rFonts w:ascii="Century Gothic" w:hAnsi="Century Gothic"/>
          <w:lang w:val="es-ES"/>
        </w:rPr>
        <w:t xml:space="preserve"> por concepto de espacio público</w:t>
      </w:r>
      <w:r w:rsidR="002B18BE" w:rsidRPr="005B4C8C">
        <w:rPr>
          <w:rFonts w:ascii="Century Gothic" w:hAnsi="Century Gothic"/>
          <w:lang w:val="es-ES"/>
        </w:rPr>
        <w:t>,</w:t>
      </w:r>
      <w:r w:rsidRPr="005B4C8C">
        <w:rPr>
          <w:rFonts w:ascii="Century Gothic" w:hAnsi="Century Gothic"/>
          <w:lang w:val="es-ES"/>
        </w:rPr>
        <w:t xml:space="preserve"> el urbanizador, constructor o propietario debe realizar en proyectos urbanísticos o arquitectónicos. Estos ingresos </w:t>
      </w:r>
      <w:r w:rsidR="005B4C8C" w:rsidRPr="005B4C8C">
        <w:rPr>
          <w:rFonts w:ascii="Century Gothic" w:hAnsi="Century Gothic"/>
          <w:lang w:val="es-ES"/>
        </w:rPr>
        <w:t xml:space="preserve">presentan un </w:t>
      </w:r>
      <w:r w:rsidRPr="005B4C8C">
        <w:rPr>
          <w:rFonts w:ascii="Century Gothic" w:hAnsi="Century Gothic"/>
          <w:lang w:val="es-ES"/>
        </w:rPr>
        <w:t>incremento</w:t>
      </w:r>
      <w:r w:rsidR="005B4C8C" w:rsidRPr="005B4C8C">
        <w:rPr>
          <w:rFonts w:ascii="Century Gothic" w:hAnsi="Century Gothic"/>
          <w:lang w:val="es-ES"/>
        </w:rPr>
        <w:t xml:space="preserve"> sostenible</w:t>
      </w:r>
      <w:r w:rsidRPr="005B4C8C">
        <w:rPr>
          <w:rFonts w:ascii="Century Gothic" w:hAnsi="Century Gothic"/>
          <w:lang w:val="es-ES"/>
        </w:rPr>
        <w:t xml:space="preserve">, debido a la expansión del sector de la construcción. Se </w:t>
      </w:r>
      <w:r w:rsidR="005B4C8C" w:rsidRPr="005B4C8C">
        <w:rPr>
          <w:rFonts w:ascii="Century Gothic" w:hAnsi="Century Gothic"/>
          <w:lang w:val="es-ES"/>
        </w:rPr>
        <w:t>calculó</w:t>
      </w:r>
      <w:r w:rsidRPr="005B4C8C">
        <w:rPr>
          <w:rFonts w:ascii="Century Gothic" w:hAnsi="Century Gothic"/>
          <w:lang w:val="es-ES"/>
        </w:rPr>
        <w:t xml:space="preserve"> un presupuesto definitivo de $</w:t>
      </w:r>
      <w:r w:rsidR="00510E2C" w:rsidRPr="005B4C8C">
        <w:rPr>
          <w:rFonts w:ascii="Century Gothic" w:hAnsi="Century Gothic"/>
          <w:lang w:val="es-ES"/>
        </w:rPr>
        <w:t>5.</w:t>
      </w:r>
      <w:r w:rsidRPr="005B4C8C">
        <w:rPr>
          <w:rFonts w:ascii="Century Gothic" w:hAnsi="Century Gothic"/>
          <w:lang w:val="es-ES"/>
        </w:rPr>
        <w:t>607 millones</w:t>
      </w:r>
      <w:r w:rsidR="00510E2C" w:rsidRPr="005B4C8C">
        <w:rPr>
          <w:rFonts w:ascii="Century Gothic" w:hAnsi="Century Gothic"/>
          <w:lang w:val="es-ES"/>
        </w:rPr>
        <w:t>,</w:t>
      </w:r>
      <w:r w:rsidRPr="005B4C8C">
        <w:rPr>
          <w:rFonts w:ascii="Century Gothic" w:hAnsi="Century Gothic"/>
          <w:lang w:val="es-ES"/>
        </w:rPr>
        <w:t xml:space="preserve"> de los cuales</w:t>
      </w:r>
      <w:r w:rsidR="00510E2C" w:rsidRPr="005B4C8C">
        <w:rPr>
          <w:rFonts w:ascii="Century Gothic" w:hAnsi="Century Gothic"/>
          <w:lang w:val="es-ES"/>
        </w:rPr>
        <w:t>,</w:t>
      </w:r>
      <w:r w:rsidRPr="005B4C8C">
        <w:rPr>
          <w:rFonts w:ascii="Century Gothic" w:hAnsi="Century Gothic"/>
          <w:lang w:val="es-ES"/>
        </w:rPr>
        <w:t xml:space="preserve"> se </w:t>
      </w:r>
      <w:r w:rsidR="005B4C8C" w:rsidRPr="005B4C8C">
        <w:rPr>
          <w:rFonts w:ascii="Century Gothic" w:hAnsi="Century Gothic"/>
          <w:lang w:val="es-ES"/>
        </w:rPr>
        <w:t>logró un recaudo d</w:t>
      </w:r>
      <w:r w:rsidRPr="005B4C8C">
        <w:rPr>
          <w:rFonts w:ascii="Century Gothic" w:hAnsi="Century Gothic"/>
          <w:lang w:val="es-ES"/>
        </w:rPr>
        <w:t>el 117 por ciento</w:t>
      </w:r>
      <w:r w:rsidR="005B4C8C" w:rsidRPr="005B4C8C">
        <w:rPr>
          <w:rFonts w:ascii="Century Gothic" w:hAnsi="Century Gothic"/>
          <w:lang w:val="es-ES"/>
        </w:rPr>
        <w:t>;</w:t>
      </w:r>
      <w:r w:rsidRPr="005B4C8C">
        <w:rPr>
          <w:rFonts w:ascii="Century Gothic" w:hAnsi="Century Gothic"/>
          <w:lang w:val="es-ES"/>
        </w:rPr>
        <w:t xml:space="preserve"> de estos ingresos</w:t>
      </w:r>
      <w:r w:rsidR="00510E2C" w:rsidRPr="005B4C8C">
        <w:rPr>
          <w:rFonts w:ascii="Century Gothic" w:hAnsi="Century Gothic"/>
          <w:lang w:val="es-ES"/>
        </w:rPr>
        <w:t>,</w:t>
      </w:r>
      <w:r w:rsidRPr="005B4C8C">
        <w:rPr>
          <w:rFonts w:ascii="Century Gothic" w:hAnsi="Century Gothic"/>
          <w:lang w:val="es-ES"/>
        </w:rPr>
        <w:t xml:space="preserve"> el 68,4 por ciento son ingresos corrientes y el 31,6 por ciento son recursos de capital.</w:t>
      </w:r>
    </w:p>
    <w:p w14:paraId="3B8DF19F" w14:textId="77777777" w:rsidR="00B24451" w:rsidRDefault="00B24451">
      <w:pPr>
        <w:rPr>
          <w:rFonts w:ascii="Century Gothic" w:hAnsi="Century Gothic"/>
          <w:lang w:val="es-ES"/>
        </w:rPr>
      </w:pPr>
      <w:r>
        <w:rPr>
          <w:rFonts w:ascii="Century Gothic" w:hAnsi="Century Gothic"/>
          <w:lang w:val="es-ES"/>
        </w:rPr>
        <w:br w:type="page"/>
      </w:r>
    </w:p>
    <w:p w14:paraId="6A38AFFF" w14:textId="5144BEDA" w:rsidR="00C85813" w:rsidRPr="005B4C8C" w:rsidRDefault="00C85813" w:rsidP="00C85813">
      <w:pPr>
        <w:spacing w:after="0"/>
        <w:jc w:val="center"/>
        <w:rPr>
          <w:rFonts w:ascii="Century Gothic" w:hAnsi="Century Gothic"/>
          <w:lang w:val="es-ES"/>
        </w:rPr>
      </w:pPr>
      <w:bookmarkStart w:id="22" w:name="_Toc532570504"/>
      <w:r w:rsidRPr="005B4C8C">
        <w:rPr>
          <w:rFonts w:ascii="Century Gothic" w:hAnsi="Century Gothic"/>
          <w:lang w:val="es-ES"/>
        </w:rPr>
        <w:lastRenderedPageBreak/>
        <w:t xml:space="preserve">Tabla </w:t>
      </w:r>
      <w:r w:rsidRPr="005B4C8C">
        <w:rPr>
          <w:rFonts w:ascii="Century Gothic" w:hAnsi="Century Gothic"/>
          <w:lang w:val="es-ES"/>
        </w:rPr>
        <w:fldChar w:fldCharType="begin"/>
      </w:r>
      <w:r w:rsidRPr="005B4C8C">
        <w:rPr>
          <w:rFonts w:ascii="Century Gothic" w:hAnsi="Century Gothic"/>
          <w:lang w:val="es-ES"/>
        </w:rPr>
        <w:instrText xml:space="preserve"> SEQ Tabla \* ARABIC </w:instrText>
      </w:r>
      <w:r w:rsidRPr="005B4C8C">
        <w:rPr>
          <w:rFonts w:ascii="Century Gothic" w:hAnsi="Century Gothic"/>
          <w:lang w:val="es-ES"/>
        </w:rPr>
        <w:fldChar w:fldCharType="separate"/>
      </w:r>
      <w:r w:rsidR="00934BA3">
        <w:rPr>
          <w:rFonts w:ascii="Century Gothic" w:hAnsi="Century Gothic"/>
          <w:noProof/>
          <w:lang w:val="es-ES"/>
        </w:rPr>
        <w:t>13</w:t>
      </w:r>
      <w:r w:rsidRPr="005B4C8C">
        <w:rPr>
          <w:rFonts w:ascii="Century Gothic" w:hAnsi="Century Gothic"/>
          <w:lang w:val="es-ES"/>
        </w:rPr>
        <w:fldChar w:fldCharType="end"/>
      </w:r>
      <w:r w:rsidRPr="005B4C8C">
        <w:rPr>
          <w:rFonts w:ascii="Century Gothic" w:hAnsi="Century Gothic"/>
          <w:lang w:val="es-ES"/>
        </w:rPr>
        <w:t>. Ejecución ingresos Fondo de C</w:t>
      </w:r>
      <w:r w:rsidR="00510E2C" w:rsidRPr="005B4C8C">
        <w:rPr>
          <w:rFonts w:ascii="Century Gothic" w:hAnsi="Century Gothic"/>
          <w:lang w:val="es-ES"/>
        </w:rPr>
        <w:t>ompensación de Espacio Público 2</w:t>
      </w:r>
      <w:r w:rsidRPr="005B4C8C">
        <w:rPr>
          <w:rFonts w:ascii="Century Gothic" w:hAnsi="Century Gothic"/>
          <w:lang w:val="es-ES"/>
        </w:rPr>
        <w:t>017 (millones de pesos)</w:t>
      </w:r>
      <w:bookmarkEnd w:id="22"/>
    </w:p>
    <w:p w14:paraId="1BC4C7F8" w14:textId="77777777" w:rsidR="00C85813" w:rsidRPr="005B4C8C" w:rsidRDefault="00C85813" w:rsidP="00C85813">
      <w:pPr>
        <w:spacing w:after="0"/>
        <w:jc w:val="both"/>
        <w:rPr>
          <w:rFonts w:ascii="Century Gothic" w:hAnsi="Century Gothic"/>
          <w:lang w:val="es-ES"/>
        </w:rPr>
      </w:pPr>
      <w:r w:rsidRPr="005B4C8C">
        <w:rPr>
          <w:rFonts w:ascii="Century Gothic" w:hAnsi="Century Gothic"/>
          <w:noProof/>
          <w:lang w:val="es-ES" w:eastAsia="es-ES"/>
        </w:rPr>
        <w:drawing>
          <wp:inline distT="0" distB="0" distL="0" distR="0" wp14:anchorId="71E36A6A" wp14:editId="3968B67E">
            <wp:extent cx="5612130" cy="107170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extLst>
                        <a:ext uri="{28A0092B-C50C-407E-A947-70E740481C1C}">
                          <a14:useLocalDpi xmlns:a14="http://schemas.microsoft.com/office/drawing/2010/main" val="0"/>
                        </a:ext>
                      </a:extLst>
                    </a:blip>
                    <a:srcRect t="12689"/>
                    <a:stretch/>
                  </pic:blipFill>
                  <pic:spPr bwMode="auto">
                    <a:xfrm>
                      <a:off x="0" y="0"/>
                      <a:ext cx="5612130" cy="1071705"/>
                    </a:xfrm>
                    <a:prstGeom prst="rect">
                      <a:avLst/>
                    </a:prstGeom>
                    <a:noFill/>
                    <a:ln>
                      <a:noFill/>
                    </a:ln>
                    <a:extLst>
                      <a:ext uri="{53640926-AAD7-44D8-BBD7-CCE9431645EC}">
                        <a14:shadowObscured xmlns:a14="http://schemas.microsoft.com/office/drawing/2010/main"/>
                      </a:ext>
                    </a:extLst>
                  </pic:spPr>
                </pic:pic>
              </a:graphicData>
            </a:graphic>
          </wp:inline>
        </w:drawing>
      </w:r>
    </w:p>
    <w:p w14:paraId="67383202" w14:textId="448F74CE" w:rsidR="00C85813" w:rsidRPr="005B4C8C" w:rsidRDefault="00C85813" w:rsidP="00C85813">
      <w:pPr>
        <w:jc w:val="center"/>
        <w:rPr>
          <w:rFonts w:ascii="Century Gothic" w:hAnsi="Century Gothic"/>
          <w:sz w:val="20"/>
          <w:lang w:val="es-ES"/>
        </w:rPr>
      </w:pPr>
      <w:r w:rsidRPr="005B4C8C">
        <w:rPr>
          <w:rFonts w:ascii="Century Gothic" w:hAnsi="Century Gothic"/>
          <w:sz w:val="20"/>
          <w:lang w:val="es-ES"/>
        </w:rPr>
        <w:t>Fuent</w:t>
      </w:r>
      <w:r w:rsidR="00A1717F" w:rsidRPr="005B4C8C">
        <w:rPr>
          <w:rFonts w:ascii="Century Gothic" w:hAnsi="Century Gothic"/>
          <w:sz w:val="20"/>
          <w:lang w:val="es-ES"/>
        </w:rPr>
        <w:t>e: Secretaría de Hacienda, 2018</w:t>
      </w:r>
    </w:p>
    <w:p w14:paraId="0CE583F8" w14:textId="77777777" w:rsidR="00AD46DD" w:rsidRPr="005B4C8C" w:rsidRDefault="00AD46DD" w:rsidP="00510E2C">
      <w:pPr>
        <w:pStyle w:val="Ttulo4"/>
        <w:rPr>
          <w:lang w:val="es-ES"/>
        </w:rPr>
      </w:pPr>
      <w:r w:rsidRPr="005B4C8C">
        <w:rPr>
          <w:lang w:val="es-ES"/>
        </w:rPr>
        <w:t>Fondo de Resarcimiento Ambiental</w:t>
      </w:r>
    </w:p>
    <w:p w14:paraId="202899E6" w14:textId="5B167E6F" w:rsidR="00C85813" w:rsidRPr="005B4C8C" w:rsidRDefault="00C85813" w:rsidP="00C85813">
      <w:pPr>
        <w:jc w:val="both"/>
        <w:rPr>
          <w:rFonts w:ascii="Century Gothic" w:hAnsi="Century Gothic"/>
          <w:lang w:val="es-ES"/>
        </w:rPr>
      </w:pPr>
      <w:r w:rsidRPr="005B4C8C">
        <w:rPr>
          <w:rFonts w:ascii="Century Gothic" w:hAnsi="Century Gothic"/>
          <w:lang w:val="es-ES"/>
        </w:rPr>
        <w:t>Los ingresos del Fondo de Resarcimiento Ambiental son los correspondientes a l</w:t>
      </w:r>
      <w:r w:rsidR="00510E2C" w:rsidRPr="005B4C8C">
        <w:rPr>
          <w:rFonts w:ascii="Century Gothic" w:hAnsi="Century Gothic"/>
          <w:lang w:val="es-ES"/>
        </w:rPr>
        <w:t xml:space="preserve">a publicidad exterior visual, </w:t>
      </w:r>
      <w:r w:rsidR="002B18BE" w:rsidRPr="005B4C8C">
        <w:rPr>
          <w:rFonts w:ascii="Century Gothic" w:hAnsi="Century Gothic"/>
          <w:lang w:val="es-ES"/>
        </w:rPr>
        <w:t xml:space="preserve">los cuales </w:t>
      </w:r>
      <w:r w:rsidRPr="005B4C8C">
        <w:rPr>
          <w:rFonts w:ascii="Century Gothic" w:hAnsi="Century Gothic"/>
          <w:lang w:val="es-ES"/>
        </w:rPr>
        <w:t>se perciben por el uso de la escombrera</w:t>
      </w:r>
      <w:r w:rsidR="002B18BE" w:rsidRPr="005B4C8C">
        <w:rPr>
          <w:rFonts w:ascii="Century Gothic" w:hAnsi="Century Gothic"/>
          <w:lang w:val="es-ES"/>
        </w:rPr>
        <w:t xml:space="preserve"> y el </w:t>
      </w:r>
      <w:r w:rsidRPr="005B4C8C">
        <w:rPr>
          <w:rFonts w:ascii="Century Gothic" w:hAnsi="Century Gothic"/>
          <w:lang w:val="es-ES"/>
        </w:rPr>
        <w:t>comparendo ambiental. Se proyect</w:t>
      </w:r>
      <w:r w:rsidR="002B18BE" w:rsidRPr="005B4C8C">
        <w:rPr>
          <w:rFonts w:ascii="Century Gothic" w:hAnsi="Century Gothic"/>
          <w:lang w:val="es-ES"/>
        </w:rPr>
        <w:t>aron</w:t>
      </w:r>
      <w:r w:rsidRPr="005B4C8C">
        <w:rPr>
          <w:rFonts w:ascii="Century Gothic" w:hAnsi="Century Gothic"/>
          <w:lang w:val="es-ES"/>
        </w:rPr>
        <w:t xml:space="preserve"> unos ingresos corrientes por valor de $442 millones</w:t>
      </w:r>
      <w:r w:rsidR="00510E2C" w:rsidRPr="005B4C8C">
        <w:rPr>
          <w:rFonts w:ascii="Century Gothic" w:hAnsi="Century Gothic"/>
          <w:lang w:val="es-ES"/>
        </w:rPr>
        <w:t>,</w:t>
      </w:r>
      <w:r w:rsidRPr="005B4C8C">
        <w:rPr>
          <w:rFonts w:ascii="Century Gothic" w:hAnsi="Century Gothic"/>
          <w:lang w:val="es-ES"/>
        </w:rPr>
        <w:t xml:space="preserve"> obteniendo un</w:t>
      </w:r>
      <w:r w:rsidR="00A72945" w:rsidRPr="005B4C8C">
        <w:rPr>
          <w:rFonts w:ascii="Century Gothic" w:hAnsi="Century Gothic"/>
          <w:lang w:val="es-ES"/>
        </w:rPr>
        <w:t xml:space="preserve"> recaudo </w:t>
      </w:r>
      <w:r w:rsidRPr="005B4C8C">
        <w:rPr>
          <w:rFonts w:ascii="Century Gothic" w:hAnsi="Century Gothic"/>
          <w:lang w:val="es-ES"/>
        </w:rPr>
        <w:t>del 46,6 por ciento, los recursos de capital representados en recursos del balance</w:t>
      </w:r>
      <w:r w:rsidR="00A72945" w:rsidRPr="005B4C8C">
        <w:rPr>
          <w:rFonts w:ascii="Century Gothic" w:hAnsi="Century Gothic"/>
          <w:lang w:val="es-ES"/>
        </w:rPr>
        <w:t>,</w:t>
      </w:r>
      <w:r w:rsidRPr="005B4C8C">
        <w:rPr>
          <w:rFonts w:ascii="Century Gothic" w:hAnsi="Century Gothic"/>
          <w:lang w:val="es-ES"/>
        </w:rPr>
        <w:t xml:space="preserve"> tienen una participación del 51,6 por ciento.</w:t>
      </w:r>
    </w:p>
    <w:p w14:paraId="50A4D190" w14:textId="77777777" w:rsidR="00C85813" w:rsidRPr="005B4C8C" w:rsidRDefault="00C85813" w:rsidP="00C85813">
      <w:pPr>
        <w:spacing w:after="0"/>
        <w:jc w:val="center"/>
        <w:rPr>
          <w:rFonts w:ascii="Century Gothic" w:hAnsi="Century Gothic"/>
          <w:lang w:val="es-ES"/>
        </w:rPr>
      </w:pPr>
      <w:bookmarkStart w:id="23" w:name="_Toc532570505"/>
      <w:r w:rsidRPr="005B4C8C">
        <w:rPr>
          <w:rFonts w:ascii="Century Gothic" w:hAnsi="Century Gothic"/>
          <w:lang w:val="es-ES"/>
        </w:rPr>
        <w:t xml:space="preserve">Tabla </w:t>
      </w:r>
      <w:r w:rsidRPr="005B4C8C">
        <w:rPr>
          <w:rFonts w:ascii="Century Gothic" w:hAnsi="Century Gothic"/>
          <w:lang w:val="es-ES"/>
        </w:rPr>
        <w:fldChar w:fldCharType="begin"/>
      </w:r>
      <w:r w:rsidRPr="005B4C8C">
        <w:rPr>
          <w:rFonts w:ascii="Century Gothic" w:hAnsi="Century Gothic"/>
          <w:lang w:val="es-ES"/>
        </w:rPr>
        <w:instrText xml:space="preserve"> SEQ Tabla \* ARABIC </w:instrText>
      </w:r>
      <w:r w:rsidRPr="005B4C8C">
        <w:rPr>
          <w:rFonts w:ascii="Century Gothic" w:hAnsi="Century Gothic"/>
          <w:lang w:val="es-ES"/>
        </w:rPr>
        <w:fldChar w:fldCharType="separate"/>
      </w:r>
      <w:r w:rsidR="00934BA3">
        <w:rPr>
          <w:rFonts w:ascii="Century Gothic" w:hAnsi="Century Gothic"/>
          <w:noProof/>
          <w:lang w:val="es-ES"/>
        </w:rPr>
        <w:t>14</w:t>
      </w:r>
      <w:r w:rsidRPr="005B4C8C">
        <w:rPr>
          <w:rFonts w:ascii="Century Gothic" w:hAnsi="Century Gothic"/>
          <w:lang w:val="es-ES"/>
        </w:rPr>
        <w:fldChar w:fldCharType="end"/>
      </w:r>
      <w:r w:rsidRPr="005B4C8C">
        <w:rPr>
          <w:rFonts w:ascii="Century Gothic" w:hAnsi="Century Gothic"/>
          <w:lang w:val="es-ES"/>
        </w:rPr>
        <w:t>. Ejecución ingresos Fondo de Resarcimiento Ambiental 2017 (millones de pesos)</w:t>
      </w:r>
      <w:bookmarkEnd w:id="23"/>
    </w:p>
    <w:p w14:paraId="5E086650" w14:textId="77777777" w:rsidR="00C85813" w:rsidRPr="005B4C8C" w:rsidRDefault="00C85813" w:rsidP="00C85813">
      <w:pPr>
        <w:spacing w:after="0"/>
        <w:jc w:val="both"/>
        <w:rPr>
          <w:rFonts w:ascii="Century Gothic" w:hAnsi="Century Gothic"/>
          <w:lang w:val="es-ES"/>
        </w:rPr>
      </w:pPr>
      <w:r w:rsidRPr="005B4C8C">
        <w:rPr>
          <w:rFonts w:ascii="Century Gothic" w:hAnsi="Century Gothic"/>
          <w:noProof/>
          <w:lang w:val="es-ES" w:eastAsia="es-ES"/>
        </w:rPr>
        <w:drawing>
          <wp:inline distT="0" distB="0" distL="0" distR="0" wp14:anchorId="49C48B34" wp14:editId="00ADB23D">
            <wp:extent cx="5612130" cy="1071706"/>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a:extLst>
                        <a:ext uri="{28A0092B-C50C-407E-A947-70E740481C1C}">
                          <a14:useLocalDpi xmlns:a14="http://schemas.microsoft.com/office/drawing/2010/main" val="0"/>
                        </a:ext>
                      </a:extLst>
                    </a:blip>
                    <a:srcRect t="12688"/>
                    <a:stretch/>
                  </pic:blipFill>
                  <pic:spPr bwMode="auto">
                    <a:xfrm>
                      <a:off x="0" y="0"/>
                      <a:ext cx="5612130" cy="1071706"/>
                    </a:xfrm>
                    <a:prstGeom prst="rect">
                      <a:avLst/>
                    </a:prstGeom>
                    <a:noFill/>
                    <a:ln>
                      <a:noFill/>
                    </a:ln>
                    <a:extLst>
                      <a:ext uri="{53640926-AAD7-44D8-BBD7-CCE9431645EC}">
                        <a14:shadowObscured xmlns:a14="http://schemas.microsoft.com/office/drawing/2010/main"/>
                      </a:ext>
                    </a:extLst>
                  </pic:spPr>
                </pic:pic>
              </a:graphicData>
            </a:graphic>
          </wp:inline>
        </w:drawing>
      </w:r>
    </w:p>
    <w:p w14:paraId="034A0593" w14:textId="0B9969A7" w:rsidR="00C85813" w:rsidRPr="005B4C8C" w:rsidRDefault="00C85813" w:rsidP="00C85813">
      <w:pPr>
        <w:jc w:val="center"/>
        <w:rPr>
          <w:rFonts w:ascii="Century Gothic" w:hAnsi="Century Gothic"/>
          <w:sz w:val="20"/>
          <w:lang w:val="es-ES"/>
        </w:rPr>
      </w:pPr>
      <w:r w:rsidRPr="005B4C8C">
        <w:rPr>
          <w:rFonts w:ascii="Century Gothic" w:hAnsi="Century Gothic"/>
          <w:sz w:val="20"/>
          <w:lang w:val="es-ES"/>
        </w:rPr>
        <w:t>Fuent</w:t>
      </w:r>
      <w:r w:rsidR="00A1717F" w:rsidRPr="005B4C8C">
        <w:rPr>
          <w:rFonts w:ascii="Century Gothic" w:hAnsi="Century Gothic"/>
          <w:sz w:val="20"/>
          <w:lang w:val="es-ES"/>
        </w:rPr>
        <w:t>e: Secretaría de Hacienda, 2018</w:t>
      </w:r>
    </w:p>
    <w:p w14:paraId="1B1FD6AD" w14:textId="77777777" w:rsidR="00EF0CE3" w:rsidRPr="005B4C8C" w:rsidRDefault="00EF0CE3" w:rsidP="00EF0CE3">
      <w:pPr>
        <w:pStyle w:val="Ttulo4"/>
        <w:spacing w:after="240" w:line="276" w:lineRule="auto"/>
        <w:rPr>
          <w:lang w:val="es-ES"/>
        </w:rPr>
      </w:pPr>
      <w:r w:rsidRPr="005B4C8C">
        <w:rPr>
          <w:lang w:val="es-ES"/>
        </w:rPr>
        <w:t>Fondo de Redistribución del Ingreso</w:t>
      </w:r>
    </w:p>
    <w:p w14:paraId="7EF93236" w14:textId="13CCA183" w:rsidR="005B4C8C" w:rsidRPr="005B4C8C" w:rsidRDefault="00C85813" w:rsidP="00C85813">
      <w:pPr>
        <w:jc w:val="both"/>
        <w:rPr>
          <w:rFonts w:ascii="Century Gothic" w:hAnsi="Century Gothic"/>
          <w:lang w:val="es-ES"/>
        </w:rPr>
      </w:pPr>
      <w:r w:rsidRPr="005B4C8C">
        <w:rPr>
          <w:rFonts w:ascii="Century Gothic" w:hAnsi="Century Gothic"/>
          <w:lang w:val="es-ES"/>
        </w:rPr>
        <w:t>Para la vigencia 2017, de acuerdo a la normativa</w:t>
      </w:r>
      <w:r w:rsidR="00510E2C" w:rsidRPr="005B4C8C">
        <w:rPr>
          <w:rFonts w:ascii="Century Gothic" w:hAnsi="Century Gothic"/>
          <w:lang w:val="es-ES"/>
        </w:rPr>
        <w:t>,</w:t>
      </w:r>
      <w:r w:rsidRPr="005B4C8C">
        <w:rPr>
          <w:rFonts w:ascii="Century Gothic" w:hAnsi="Century Gothic"/>
          <w:lang w:val="es-ES"/>
        </w:rPr>
        <w:t xml:space="preserve"> se incorporaron en el Fondo de Redistribución del Ingreso, los recursos de las contribuciones que recaudan las empresas prestadoras de servicios públicos domiciliarios de aseo, acueducto y alcantarillado</w:t>
      </w:r>
      <w:r w:rsidR="00A72945" w:rsidRPr="005B4C8C">
        <w:rPr>
          <w:rFonts w:ascii="Century Gothic" w:hAnsi="Century Gothic"/>
          <w:lang w:val="es-ES"/>
        </w:rPr>
        <w:t>,</w:t>
      </w:r>
      <w:r w:rsidRPr="005B4C8C">
        <w:rPr>
          <w:rFonts w:ascii="Century Gothic" w:hAnsi="Century Gothic"/>
          <w:lang w:val="es-ES"/>
        </w:rPr>
        <w:t xml:space="preserve"> estos recursos se aforaron en $6</w:t>
      </w:r>
      <w:r w:rsidR="00AA639F" w:rsidRPr="005B4C8C">
        <w:rPr>
          <w:rFonts w:ascii="Century Gothic" w:hAnsi="Century Gothic"/>
          <w:lang w:val="es-ES"/>
        </w:rPr>
        <w:t>.</w:t>
      </w:r>
      <w:r w:rsidRPr="005B4C8C">
        <w:rPr>
          <w:rFonts w:ascii="Century Gothic" w:hAnsi="Century Gothic"/>
          <w:lang w:val="es-ES"/>
        </w:rPr>
        <w:t>806 millones</w:t>
      </w:r>
      <w:r w:rsidR="005B4C8C" w:rsidRPr="005B4C8C">
        <w:rPr>
          <w:rFonts w:ascii="Century Gothic" w:hAnsi="Century Gothic"/>
          <w:lang w:val="es-ES"/>
        </w:rPr>
        <w:t>,</w:t>
      </w:r>
      <w:r w:rsidRPr="005B4C8C">
        <w:rPr>
          <w:rFonts w:ascii="Century Gothic" w:hAnsi="Century Gothic"/>
          <w:lang w:val="es-ES"/>
        </w:rPr>
        <w:t xml:space="preserve"> logrando un recaudo del 87,4 por ciento, el saldo de $5</w:t>
      </w:r>
      <w:r w:rsidR="00AA639F" w:rsidRPr="005B4C8C">
        <w:rPr>
          <w:rFonts w:ascii="Century Gothic" w:hAnsi="Century Gothic"/>
          <w:lang w:val="es-ES"/>
        </w:rPr>
        <w:t>.</w:t>
      </w:r>
      <w:r w:rsidRPr="005B4C8C">
        <w:rPr>
          <w:rFonts w:ascii="Century Gothic" w:hAnsi="Century Gothic"/>
          <w:lang w:val="es-ES"/>
        </w:rPr>
        <w:t xml:space="preserve">659 </w:t>
      </w:r>
      <w:r w:rsidR="005B4C8C" w:rsidRPr="005B4C8C">
        <w:rPr>
          <w:rFonts w:ascii="Century Gothic" w:hAnsi="Century Gothic"/>
          <w:lang w:val="es-ES"/>
        </w:rPr>
        <w:t xml:space="preserve">millones </w:t>
      </w:r>
      <w:r w:rsidRPr="005B4C8C">
        <w:rPr>
          <w:rFonts w:ascii="Century Gothic" w:hAnsi="Century Gothic"/>
          <w:lang w:val="es-ES"/>
        </w:rPr>
        <w:t>son los que el Municipio aporta para subsidiar a los estratos 1</w:t>
      </w:r>
      <w:r w:rsidR="00AA639F" w:rsidRPr="005B4C8C">
        <w:rPr>
          <w:rFonts w:ascii="Century Gothic" w:hAnsi="Century Gothic"/>
          <w:lang w:val="es-ES"/>
        </w:rPr>
        <w:t xml:space="preserve">, </w:t>
      </w:r>
      <w:r w:rsidRPr="005B4C8C">
        <w:rPr>
          <w:rFonts w:ascii="Century Gothic" w:hAnsi="Century Gothic"/>
          <w:lang w:val="es-ES"/>
        </w:rPr>
        <w:t xml:space="preserve">2 y 3, que se financian con los ingresos del </w:t>
      </w:r>
      <w:r w:rsidR="00A72945" w:rsidRPr="005B4C8C">
        <w:rPr>
          <w:rFonts w:ascii="Century Gothic" w:hAnsi="Century Gothic"/>
          <w:lang w:val="es-ES"/>
        </w:rPr>
        <w:t xml:space="preserve">Sistema General </w:t>
      </w:r>
      <w:r w:rsidRPr="005B4C8C">
        <w:rPr>
          <w:rFonts w:ascii="Century Gothic" w:hAnsi="Century Gothic"/>
          <w:lang w:val="es-ES"/>
        </w:rPr>
        <w:t xml:space="preserve">de </w:t>
      </w:r>
      <w:r w:rsidR="00A72945" w:rsidRPr="005B4C8C">
        <w:rPr>
          <w:rFonts w:ascii="Century Gothic" w:hAnsi="Century Gothic"/>
          <w:lang w:val="es-ES"/>
        </w:rPr>
        <w:t xml:space="preserve">Participaciones </w:t>
      </w:r>
      <w:r w:rsidRPr="005B4C8C">
        <w:rPr>
          <w:rFonts w:ascii="Century Gothic" w:hAnsi="Century Gothic"/>
          <w:lang w:val="es-ES"/>
        </w:rPr>
        <w:t>agua potable y saneamiento básico.</w:t>
      </w:r>
      <w:r w:rsidR="005B4C8C" w:rsidRPr="005B4C8C">
        <w:rPr>
          <w:rFonts w:ascii="Century Gothic" w:hAnsi="Century Gothic"/>
          <w:lang w:val="es-ES"/>
        </w:rPr>
        <w:t xml:space="preserve"> </w:t>
      </w:r>
    </w:p>
    <w:p w14:paraId="2C5CDF7B" w14:textId="77777777" w:rsidR="005B4C8C" w:rsidRPr="005B4C8C" w:rsidRDefault="005B4C8C">
      <w:pPr>
        <w:rPr>
          <w:rFonts w:ascii="Century Gothic" w:hAnsi="Century Gothic"/>
          <w:lang w:val="es-ES"/>
        </w:rPr>
      </w:pPr>
      <w:r w:rsidRPr="005B4C8C">
        <w:rPr>
          <w:rFonts w:ascii="Century Gothic" w:hAnsi="Century Gothic"/>
          <w:lang w:val="es-ES"/>
        </w:rPr>
        <w:br w:type="page"/>
      </w:r>
    </w:p>
    <w:p w14:paraId="3908420C" w14:textId="48F72D68" w:rsidR="00C85813" w:rsidRPr="005B4C8C" w:rsidRDefault="00C85813" w:rsidP="00C85813">
      <w:pPr>
        <w:spacing w:after="0"/>
        <w:jc w:val="center"/>
        <w:rPr>
          <w:rFonts w:ascii="Century Gothic" w:hAnsi="Century Gothic"/>
          <w:lang w:val="es-ES"/>
        </w:rPr>
      </w:pPr>
      <w:bookmarkStart w:id="24" w:name="_Toc532570506"/>
      <w:r w:rsidRPr="005B4C8C">
        <w:rPr>
          <w:rFonts w:ascii="Century Gothic" w:hAnsi="Century Gothic"/>
          <w:lang w:val="es-ES"/>
        </w:rPr>
        <w:lastRenderedPageBreak/>
        <w:t xml:space="preserve">Tabla </w:t>
      </w:r>
      <w:r w:rsidRPr="005B4C8C">
        <w:rPr>
          <w:rFonts w:ascii="Century Gothic" w:hAnsi="Century Gothic"/>
          <w:lang w:val="es-ES"/>
        </w:rPr>
        <w:fldChar w:fldCharType="begin"/>
      </w:r>
      <w:r w:rsidRPr="005B4C8C">
        <w:rPr>
          <w:rFonts w:ascii="Century Gothic" w:hAnsi="Century Gothic"/>
          <w:lang w:val="es-ES"/>
        </w:rPr>
        <w:instrText xml:space="preserve"> SEQ Tabla \* ARABIC </w:instrText>
      </w:r>
      <w:r w:rsidRPr="005B4C8C">
        <w:rPr>
          <w:rFonts w:ascii="Century Gothic" w:hAnsi="Century Gothic"/>
          <w:lang w:val="es-ES"/>
        </w:rPr>
        <w:fldChar w:fldCharType="separate"/>
      </w:r>
      <w:r w:rsidR="00934BA3">
        <w:rPr>
          <w:rFonts w:ascii="Century Gothic" w:hAnsi="Century Gothic"/>
          <w:noProof/>
          <w:lang w:val="es-ES"/>
        </w:rPr>
        <w:t>15</w:t>
      </w:r>
      <w:r w:rsidRPr="005B4C8C">
        <w:rPr>
          <w:rFonts w:ascii="Century Gothic" w:hAnsi="Century Gothic"/>
          <w:lang w:val="es-ES"/>
        </w:rPr>
        <w:fldChar w:fldCharType="end"/>
      </w:r>
      <w:r w:rsidRPr="005B4C8C">
        <w:rPr>
          <w:rFonts w:ascii="Century Gothic" w:hAnsi="Century Gothic"/>
          <w:lang w:val="es-ES"/>
        </w:rPr>
        <w:t>. Ejecución ingres</w:t>
      </w:r>
      <w:r w:rsidR="00A72945" w:rsidRPr="005B4C8C">
        <w:rPr>
          <w:rFonts w:ascii="Century Gothic" w:hAnsi="Century Gothic"/>
          <w:lang w:val="es-ES"/>
        </w:rPr>
        <w:t xml:space="preserve">os Fondo de Redistribución del </w:t>
      </w:r>
      <w:r w:rsidRPr="005B4C8C">
        <w:rPr>
          <w:rFonts w:ascii="Century Gothic" w:hAnsi="Century Gothic"/>
          <w:lang w:val="es-ES"/>
        </w:rPr>
        <w:t>Ing</w:t>
      </w:r>
      <w:r w:rsidR="00A72945" w:rsidRPr="005B4C8C">
        <w:rPr>
          <w:rFonts w:ascii="Century Gothic" w:hAnsi="Century Gothic"/>
          <w:lang w:val="es-ES"/>
        </w:rPr>
        <w:t xml:space="preserve">reso </w:t>
      </w:r>
      <w:r w:rsidRPr="005B4C8C">
        <w:rPr>
          <w:rFonts w:ascii="Century Gothic" w:hAnsi="Century Gothic"/>
          <w:lang w:val="es-ES"/>
        </w:rPr>
        <w:t>2017 (millones de pesos)</w:t>
      </w:r>
      <w:bookmarkEnd w:id="24"/>
    </w:p>
    <w:p w14:paraId="0CDA8694" w14:textId="77777777" w:rsidR="00C85813" w:rsidRPr="005B4C8C" w:rsidRDefault="00C85813" w:rsidP="00C85813">
      <w:pPr>
        <w:spacing w:after="0"/>
        <w:jc w:val="both"/>
        <w:rPr>
          <w:rFonts w:ascii="Century Gothic" w:hAnsi="Century Gothic"/>
          <w:lang w:val="es-ES"/>
        </w:rPr>
      </w:pPr>
      <w:r w:rsidRPr="005B4C8C">
        <w:rPr>
          <w:rFonts w:ascii="Century Gothic" w:hAnsi="Century Gothic"/>
          <w:noProof/>
          <w:lang w:val="es-ES" w:eastAsia="es-ES"/>
        </w:rPr>
        <w:drawing>
          <wp:inline distT="0" distB="0" distL="0" distR="0" wp14:anchorId="08BD8550" wp14:editId="373DEC15">
            <wp:extent cx="5612130" cy="1642292"/>
            <wp:effectExtent l="0" t="0" r="762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7368"/>
                    <a:stretch/>
                  </pic:blipFill>
                  <pic:spPr bwMode="auto">
                    <a:xfrm>
                      <a:off x="0" y="0"/>
                      <a:ext cx="5612130" cy="1642292"/>
                    </a:xfrm>
                    <a:prstGeom prst="rect">
                      <a:avLst/>
                    </a:prstGeom>
                    <a:noFill/>
                    <a:ln>
                      <a:noFill/>
                    </a:ln>
                    <a:extLst>
                      <a:ext uri="{53640926-AAD7-44D8-BBD7-CCE9431645EC}">
                        <a14:shadowObscured xmlns:a14="http://schemas.microsoft.com/office/drawing/2010/main"/>
                      </a:ext>
                    </a:extLst>
                  </pic:spPr>
                </pic:pic>
              </a:graphicData>
            </a:graphic>
          </wp:inline>
        </w:drawing>
      </w:r>
    </w:p>
    <w:p w14:paraId="3669826E" w14:textId="41BD1E47" w:rsidR="00C85813" w:rsidRPr="005B4C8C" w:rsidRDefault="00C85813" w:rsidP="00C85813">
      <w:pPr>
        <w:jc w:val="center"/>
        <w:rPr>
          <w:rFonts w:ascii="Century Gothic" w:hAnsi="Century Gothic"/>
          <w:sz w:val="20"/>
          <w:lang w:val="es-ES"/>
        </w:rPr>
      </w:pPr>
      <w:r w:rsidRPr="005B4C8C">
        <w:rPr>
          <w:rFonts w:ascii="Century Gothic" w:hAnsi="Century Gothic"/>
          <w:sz w:val="20"/>
          <w:lang w:val="es-ES"/>
        </w:rPr>
        <w:t>Fuente: Secretaría de Hacienda, 2018</w:t>
      </w:r>
    </w:p>
    <w:p w14:paraId="2F25968D" w14:textId="77777777" w:rsidR="00EF0CE3" w:rsidRPr="005B4C8C" w:rsidRDefault="00EF0CE3" w:rsidP="00EF0CE3">
      <w:pPr>
        <w:pStyle w:val="Ttulo4"/>
        <w:spacing w:after="240" w:line="276" w:lineRule="auto"/>
        <w:rPr>
          <w:rFonts w:eastAsia="Times New Roman"/>
          <w:lang w:val="es-ES"/>
        </w:rPr>
      </w:pPr>
      <w:r w:rsidRPr="005B4C8C">
        <w:rPr>
          <w:rFonts w:eastAsia="Times New Roman"/>
          <w:lang w:val="es-ES"/>
        </w:rPr>
        <w:t>Fondo Local de Salud</w:t>
      </w:r>
    </w:p>
    <w:p w14:paraId="5788D2D3" w14:textId="3C990BB9" w:rsidR="00BC4CED" w:rsidRPr="005B4C8C" w:rsidRDefault="00BC4CED" w:rsidP="00BC4CED">
      <w:pPr>
        <w:jc w:val="both"/>
        <w:rPr>
          <w:rFonts w:ascii="Century Gothic" w:hAnsi="Century Gothic"/>
          <w:lang w:val="es-ES"/>
        </w:rPr>
      </w:pPr>
      <w:r w:rsidRPr="005B4C8C">
        <w:rPr>
          <w:rFonts w:ascii="Century Gothic" w:hAnsi="Century Gothic"/>
          <w:lang w:val="es-ES"/>
        </w:rPr>
        <w:t>Los ingresos</w:t>
      </w:r>
      <w:r w:rsidR="00A72945" w:rsidRPr="005B4C8C">
        <w:rPr>
          <w:rFonts w:ascii="Century Gothic" w:hAnsi="Century Gothic"/>
          <w:lang w:val="es-ES"/>
        </w:rPr>
        <w:t xml:space="preserve"> aforados en el Fondo Local de </w:t>
      </w:r>
      <w:r w:rsidRPr="005B4C8C">
        <w:rPr>
          <w:rFonts w:ascii="Century Gothic" w:hAnsi="Century Gothic"/>
          <w:lang w:val="es-ES"/>
        </w:rPr>
        <w:t xml:space="preserve">Salud alcanzan una ejecución </w:t>
      </w:r>
      <w:r w:rsidR="005B4C8C" w:rsidRPr="005B4C8C">
        <w:rPr>
          <w:rFonts w:ascii="Century Gothic" w:hAnsi="Century Gothic"/>
          <w:lang w:val="es-ES"/>
        </w:rPr>
        <w:t>d</w:t>
      </w:r>
      <w:r w:rsidRPr="005B4C8C">
        <w:rPr>
          <w:rFonts w:ascii="Century Gothic" w:hAnsi="Century Gothic"/>
          <w:lang w:val="es-ES"/>
        </w:rPr>
        <w:t>el 100</w:t>
      </w:r>
      <w:r w:rsidR="00887EF9" w:rsidRPr="005B4C8C">
        <w:rPr>
          <w:rFonts w:ascii="Century Gothic" w:hAnsi="Century Gothic"/>
          <w:lang w:val="es-ES"/>
        </w:rPr>
        <w:t xml:space="preserve"> por ciento</w:t>
      </w:r>
      <w:r w:rsidRPr="005B4C8C">
        <w:rPr>
          <w:rFonts w:ascii="Century Gothic" w:hAnsi="Century Gothic"/>
          <w:lang w:val="es-ES"/>
        </w:rPr>
        <w:t xml:space="preserve">, </w:t>
      </w:r>
      <w:r w:rsidR="005B4C8C" w:rsidRPr="005B4C8C">
        <w:rPr>
          <w:rFonts w:ascii="Century Gothic" w:hAnsi="Century Gothic"/>
          <w:lang w:val="es-ES"/>
        </w:rPr>
        <w:t xml:space="preserve">debido a que </w:t>
      </w:r>
      <w:r w:rsidRPr="005B4C8C">
        <w:rPr>
          <w:rFonts w:ascii="Century Gothic" w:hAnsi="Century Gothic"/>
          <w:lang w:val="es-ES"/>
        </w:rPr>
        <w:t>los recursos que son asignados por la Nación</w:t>
      </w:r>
      <w:r w:rsidR="005B4C8C" w:rsidRPr="005B4C8C">
        <w:rPr>
          <w:rFonts w:ascii="Century Gothic" w:hAnsi="Century Gothic"/>
          <w:lang w:val="es-ES"/>
        </w:rPr>
        <w:t>,</w:t>
      </w:r>
      <w:r w:rsidRPr="005B4C8C">
        <w:rPr>
          <w:rFonts w:ascii="Century Gothic" w:hAnsi="Century Gothic"/>
          <w:lang w:val="es-ES"/>
        </w:rPr>
        <w:t xml:space="preserve"> se ajustan de acuerdo a la matriz de distribución, existe variación en el cumplimiento en los recursos de capital principalmente por los rendimientos financieros.</w:t>
      </w:r>
    </w:p>
    <w:p w14:paraId="370CD2AD" w14:textId="31718266" w:rsidR="00BC4CED" w:rsidRPr="005B4C8C" w:rsidRDefault="00BC4CED" w:rsidP="005B4C8C">
      <w:pPr>
        <w:jc w:val="both"/>
        <w:rPr>
          <w:rFonts w:ascii="Century Gothic" w:hAnsi="Century Gothic"/>
          <w:lang w:val="es-ES"/>
        </w:rPr>
      </w:pPr>
      <w:r w:rsidRPr="005B4C8C">
        <w:rPr>
          <w:rFonts w:ascii="Century Gothic" w:hAnsi="Century Gothic"/>
          <w:lang w:val="es-ES"/>
        </w:rPr>
        <w:t>El presupuesto de este fondo se encuentra desagregado en las 4 subcuentas</w:t>
      </w:r>
      <w:r w:rsidR="005B4C8C" w:rsidRPr="005B4C8C">
        <w:rPr>
          <w:rFonts w:ascii="Century Gothic" w:hAnsi="Century Gothic"/>
          <w:lang w:val="es-ES"/>
        </w:rPr>
        <w:t>,</w:t>
      </w:r>
      <w:r w:rsidRPr="005B4C8C">
        <w:rPr>
          <w:rFonts w:ascii="Century Gothic" w:hAnsi="Century Gothic"/>
          <w:lang w:val="es-ES"/>
        </w:rPr>
        <w:t xml:space="preserve"> observando que la de mayor partic</w:t>
      </w:r>
      <w:r w:rsidR="005B4C8C" w:rsidRPr="005B4C8C">
        <w:rPr>
          <w:rFonts w:ascii="Century Gothic" w:hAnsi="Century Gothic"/>
          <w:lang w:val="es-ES"/>
        </w:rPr>
        <w:t xml:space="preserve">ipación es la </w:t>
      </w:r>
      <w:r w:rsidRPr="005B4C8C">
        <w:rPr>
          <w:rFonts w:ascii="Century Gothic" w:hAnsi="Century Gothic"/>
          <w:lang w:val="es-ES"/>
        </w:rPr>
        <w:t>de Régimen Subsidiado con el 96,3</w:t>
      </w:r>
      <w:r w:rsidR="00887EF9" w:rsidRPr="005B4C8C">
        <w:rPr>
          <w:rFonts w:ascii="Century Gothic" w:hAnsi="Century Gothic"/>
          <w:lang w:val="es-ES"/>
        </w:rPr>
        <w:t xml:space="preserve"> por ciento</w:t>
      </w:r>
      <w:r w:rsidRPr="005B4C8C">
        <w:rPr>
          <w:rFonts w:ascii="Century Gothic" w:hAnsi="Century Gothic"/>
          <w:lang w:val="es-ES"/>
        </w:rPr>
        <w:t xml:space="preserve"> y en esta los ingresos por concepto de </w:t>
      </w:r>
      <w:r w:rsidR="005B4C8C" w:rsidRPr="005B4C8C">
        <w:rPr>
          <w:rFonts w:ascii="Century Gothic" w:hAnsi="Century Gothic"/>
          <w:lang w:val="es-ES"/>
        </w:rPr>
        <w:t xml:space="preserve">FOSYGA </w:t>
      </w:r>
      <w:r w:rsidRPr="005B4C8C">
        <w:rPr>
          <w:rFonts w:ascii="Century Gothic" w:hAnsi="Century Gothic"/>
          <w:lang w:val="es-ES"/>
        </w:rPr>
        <w:t>son los de mayor impacto con un 45,7</w:t>
      </w:r>
      <w:r w:rsidR="00887EF9" w:rsidRPr="005B4C8C">
        <w:rPr>
          <w:rFonts w:ascii="Century Gothic" w:hAnsi="Century Gothic"/>
          <w:lang w:val="es-ES"/>
        </w:rPr>
        <w:t xml:space="preserve"> por ciento</w:t>
      </w:r>
      <w:r w:rsidRPr="005B4C8C">
        <w:rPr>
          <w:rFonts w:ascii="Century Gothic" w:hAnsi="Century Gothic"/>
          <w:lang w:val="es-ES"/>
        </w:rPr>
        <w:t>.</w:t>
      </w:r>
    </w:p>
    <w:p w14:paraId="50868336" w14:textId="78B45A89" w:rsidR="005B4C8C" w:rsidRPr="005B4C8C" w:rsidRDefault="00BC4CED" w:rsidP="005B4C8C">
      <w:pPr>
        <w:jc w:val="both"/>
        <w:rPr>
          <w:rFonts w:ascii="Century Gothic" w:hAnsi="Century Gothic"/>
          <w:lang w:val="es-ES"/>
        </w:rPr>
      </w:pPr>
      <w:r w:rsidRPr="005B4C8C">
        <w:rPr>
          <w:rFonts w:ascii="Century Gothic" w:hAnsi="Century Gothic"/>
          <w:lang w:val="es-ES"/>
        </w:rPr>
        <w:t>La Subcuenta de Salud Pública participa con un 2,5</w:t>
      </w:r>
      <w:r w:rsidR="00887EF9" w:rsidRPr="005B4C8C">
        <w:rPr>
          <w:rFonts w:ascii="Century Gothic" w:hAnsi="Century Gothic"/>
          <w:lang w:val="es-ES"/>
        </w:rPr>
        <w:t xml:space="preserve"> por ciento</w:t>
      </w:r>
      <w:r w:rsidRPr="005B4C8C">
        <w:rPr>
          <w:rFonts w:ascii="Century Gothic" w:hAnsi="Century Gothic"/>
          <w:lang w:val="es-ES"/>
        </w:rPr>
        <w:t xml:space="preserve"> del total del presupuesto del Fondo Local de Salud.</w:t>
      </w:r>
    </w:p>
    <w:p w14:paraId="3A023E8B" w14:textId="77777777" w:rsidR="005B4C8C" w:rsidRPr="005B4C8C" w:rsidRDefault="005B4C8C">
      <w:pPr>
        <w:rPr>
          <w:rFonts w:ascii="Century Gothic" w:hAnsi="Century Gothic"/>
          <w:lang w:val="es-ES"/>
        </w:rPr>
      </w:pPr>
      <w:r w:rsidRPr="005B4C8C">
        <w:rPr>
          <w:rFonts w:ascii="Century Gothic" w:hAnsi="Century Gothic"/>
          <w:lang w:val="es-ES"/>
        </w:rPr>
        <w:br w:type="page"/>
      </w:r>
    </w:p>
    <w:p w14:paraId="75818458" w14:textId="009A1B4D" w:rsidR="00BC4CED" w:rsidRPr="005B4C8C" w:rsidRDefault="00BC4CED" w:rsidP="00BC4CED">
      <w:pPr>
        <w:spacing w:after="0"/>
        <w:jc w:val="center"/>
        <w:rPr>
          <w:rFonts w:ascii="Century Gothic" w:hAnsi="Century Gothic"/>
          <w:lang w:val="es-ES"/>
        </w:rPr>
      </w:pPr>
      <w:bookmarkStart w:id="25" w:name="_Toc532570507"/>
      <w:r w:rsidRPr="005B4C8C">
        <w:rPr>
          <w:rFonts w:ascii="Century Gothic" w:hAnsi="Century Gothic"/>
          <w:lang w:val="es-ES"/>
        </w:rPr>
        <w:lastRenderedPageBreak/>
        <w:t xml:space="preserve">Tabla </w:t>
      </w:r>
      <w:r w:rsidRPr="005B4C8C">
        <w:rPr>
          <w:rFonts w:ascii="Century Gothic" w:hAnsi="Century Gothic"/>
          <w:lang w:val="es-ES"/>
        </w:rPr>
        <w:fldChar w:fldCharType="begin"/>
      </w:r>
      <w:r w:rsidRPr="005B4C8C">
        <w:rPr>
          <w:rFonts w:ascii="Century Gothic" w:hAnsi="Century Gothic"/>
          <w:lang w:val="es-ES"/>
        </w:rPr>
        <w:instrText xml:space="preserve"> SEQ Tabla \* ARABIC </w:instrText>
      </w:r>
      <w:r w:rsidRPr="005B4C8C">
        <w:rPr>
          <w:rFonts w:ascii="Century Gothic" w:hAnsi="Century Gothic"/>
          <w:lang w:val="es-ES"/>
        </w:rPr>
        <w:fldChar w:fldCharType="separate"/>
      </w:r>
      <w:r w:rsidR="00934BA3">
        <w:rPr>
          <w:rFonts w:ascii="Century Gothic" w:hAnsi="Century Gothic"/>
          <w:noProof/>
          <w:lang w:val="es-ES"/>
        </w:rPr>
        <w:t>16</w:t>
      </w:r>
      <w:r w:rsidRPr="005B4C8C">
        <w:rPr>
          <w:rFonts w:ascii="Century Gothic" w:hAnsi="Century Gothic"/>
          <w:lang w:val="es-ES"/>
        </w:rPr>
        <w:fldChar w:fldCharType="end"/>
      </w:r>
      <w:r w:rsidRPr="005B4C8C">
        <w:rPr>
          <w:rFonts w:ascii="Century Gothic" w:hAnsi="Century Gothic"/>
          <w:lang w:val="es-ES"/>
        </w:rPr>
        <w:t>. Ejecución ingresos Fondo Local de Salud 2017 (millones de pesos)</w:t>
      </w:r>
      <w:bookmarkEnd w:id="25"/>
    </w:p>
    <w:p w14:paraId="03DF86EA" w14:textId="77777777" w:rsidR="00A72945" w:rsidRPr="005B4C8C" w:rsidRDefault="00A72945" w:rsidP="00BC4CED">
      <w:pPr>
        <w:spacing w:after="0"/>
        <w:rPr>
          <w:rFonts w:ascii="Century Gothic" w:hAnsi="Century Gothic"/>
          <w:lang w:val="es-ES"/>
        </w:rPr>
      </w:pPr>
      <w:r w:rsidRPr="005B4C8C">
        <w:rPr>
          <w:rFonts w:ascii="Century Gothic" w:hAnsi="Century Gothic"/>
          <w:noProof/>
          <w:lang w:val="es-ES" w:eastAsia="es-ES"/>
        </w:rPr>
        <w:drawing>
          <wp:inline distT="0" distB="0" distL="0" distR="0" wp14:anchorId="35E72B84" wp14:editId="782ECC3B">
            <wp:extent cx="5611927" cy="5350747"/>
            <wp:effectExtent l="0" t="0" r="8255" b="254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a:extLst>
                        <a:ext uri="{28A0092B-C50C-407E-A947-70E740481C1C}">
                          <a14:useLocalDpi xmlns:a14="http://schemas.microsoft.com/office/drawing/2010/main" val="0"/>
                        </a:ext>
                      </a:extLst>
                    </a:blip>
                    <a:srcRect b="9673"/>
                    <a:stretch/>
                  </pic:blipFill>
                  <pic:spPr bwMode="auto">
                    <a:xfrm>
                      <a:off x="0" y="0"/>
                      <a:ext cx="5612130" cy="5350940"/>
                    </a:xfrm>
                    <a:prstGeom prst="rect">
                      <a:avLst/>
                    </a:prstGeom>
                    <a:noFill/>
                    <a:ln>
                      <a:noFill/>
                    </a:ln>
                    <a:extLst>
                      <a:ext uri="{53640926-AAD7-44D8-BBD7-CCE9431645EC}">
                        <a14:shadowObscured xmlns:a14="http://schemas.microsoft.com/office/drawing/2010/main"/>
                      </a:ext>
                    </a:extLst>
                  </pic:spPr>
                </pic:pic>
              </a:graphicData>
            </a:graphic>
          </wp:inline>
        </w:drawing>
      </w:r>
    </w:p>
    <w:p w14:paraId="2A759846" w14:textId="1C54D806" w:rsidR="00BC4CED" w:rsidRPr="002C54A7" w:rsidRDefault="00A72945" w:rsidP="00A72945">
      <w:pPr>
        <w:spacing w:after="0" w:line="240" w:lineRule="auto"/>
        <w:rPr>
          <w:rFonts w:ascii="Century Gothic" w:hAnsi="Century Gothic"/>
          <w:lang w:val="es-ES"/>
        </w:rPr>
      </w:pPr>
      <w:r w:rsidRPr="005B4C8C">
        <w:rPr>
          <w:rFonts w:ascii="Century Gothic" w:hAnsi="Century Gothic"/>
          <w:noProof/>
          <w:lang w:val="es-ES" w:eastAsia="es-ES"/>
        </w:rPr>
        <w:drawing>
          <wp:inline distT="0" distB="0" distL="0" distR="0" wp14:anchorId="7DF014F3" wp14:editId="20180574">
            <wp:extent cx="5601329" cy="497393"/>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a:extLst>
                        <a:ext uri="{28A0092B-C50C-407E-A947-70E740481C1C}">
                          <a14:useLocalDpi xmlns:a14="http://schemas.microsoft.com/office/drawing/2010/main" val="0"/>
                        </a:ext>
                      </a:extLst>
                    </a:blip>
                    <a:srcRect b="91587"/>
                    <a:stretch/>
                  </pic:blipFill>
                  <pic:spPr bwMode="auto">
                    <a:xfrm>
                      <a:off x="0" y="0"/>
                      <a:ext cx="5612130" cy="498352"/>
                    </a:xfrm>
                    <a:prstGeom prst="rect">
                      <a:avLst/>
                    </a:prstGeom>
                    <a:noFill/>
                    <a:ln>
                      <a:noFill/>
                    </a:ln>
                    <a:extLst>
                      <a:ext uri="{53640926-AAD7-44D8-BBD7-CCE9431645EC}">
                        <a14:shadowObscured xmlns:a14="http://schemas.microsoft.com/office/drawing/2010/main"/>
                      </a:ext>
                    </a:extLst>
                  </pic:spPr>
                </pic:pic>
              </a:graphicData>
            </a:graphic>
          </wp:inline>
        </w:drawing>
      </w:r>
      <w:r w:rsidR="00BC4CED" w:rsidRPr="002C54A7">
        <w:rPr>
          <w:rFonts w:ascii="Century Gothic" w:hAnsi="Century Gothic"/>
          <w:noProof/>
          <w:lang w:val="es-ES" w:eastAsia="es-ES"/>
        </w:rPr>
        <w:drawing>
          <wp:inline distT="0" distB="0" distL="0" distR="0" wp14:anchorId="00B6E3AD" wp14:editId="718D8B3A">
            <wp:extent cx="5603694" cy="566532"/>
            <wp:effectExtent l="0" t="0" r="0" b="508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a:extLst>
                        <a:ext uri="{28A0092B-C50C-407E-A947-70E740481C1C}">
                          <a14:useLocalDpi xmlns:a14="http://schemas.microsoft.com/office/drawing/2010/main" val="0"/>
                        </a:ext>
                      </a:extLst>
                    </a:blip>
                    <a:srcRect t="90423" b="-1"/>
                    <a:stretch/>
                  </pic:blipFill>
                  <pic:spPr bwMode="auto">
                    <a:xfrm>
                      <a:off x="0" y="0"/>
                      <a:ext cx="5612130" cy="567385"/>
                    </a:xfrm>
                    <a:prstGeom prst="rect">
                      <a:avLst/>
                    </a:prstGeom>
                    <a:noFill/>
                    <a:ln>
                      <a:noFill/>
                    </a:ln>
                    <a:extLst>
                      <a:ext uri="{53640926-AAD7-44D8-BBD7-CCE9431645EC}">
                        <a14:shadowObscured xmlns:a14="http://schemas.microsoft.com/office/drawing/2010/main"/>
                      </a:ext>
                    </a:extLst>
                  </pic:spPr>
                </pic:pic>
              </a:graphicData>
            </a:graphic>
          </wp:inline>
        </w:drawing>
      </w:r>
    </w:p>
    <w:p w14:paraId="70548527" w14:textId="61F9A85F" w:rsidR="00BC4CED" w:rsidRPr="002C54A7" w:rsidRDefault="00BC4CED" w:rsidP="00BC4CED">
      <w:pPr>
        <w:jc w:val="center"/>
        <w:rPr>
          <w:rFonts w:ascii="Century Gothic" w:hAnsi="Century Gothic"/>
          <w:sz w:val="20"/>
          <w:lang w:val="es-ES"/>
        </w:rPr>
      </w:pPr>
      <w:r w:rsidRPr="002C54A7">
        <w:rPr>
          <w:rFonts w:ascii="Century Gothic" w:hAnsi="Century Gothic"/>
          <w:sz w:val="20"/>
          <w:lang w:val="es-ES"/>
        </w:rPr>
        <w:t>Fuente: Secretaría de Hacienda, 2018</w:t>
      </w:r>
    </w:p>
    <w:p w14:paraId="7BFEE2EA" w14:textId="47B4B837" w:rsidR="00EF0CE3" w:rsidRPr="002C54A7" w:rsidRDefault="00AD0284" w:rsidP="00AB5A78">
      <w:pPr>
        <w:pStyle w:val="Ttulo4"/>
        <w:spacing w:after="240" w:line="276" w:lineRule="auto"/>
        <w:rPr>
          <w:lang w:val="es-ES"/>
        </w:rPr>
      </w:pPr>
      <w:r w:rsidRPr="002C54A7">
        <w:rPr>
          <w:lang w:val="es-ES"/>
        </w:rPr>
        <w:t xml:space="preserve">Fondo </w:t>
      </w:r>
      <w:r w:rsidR="00EF0CE3" w:rsidRPr="002C54A7">
        <w:rPr>
          <w:lang w:val="es-ES"/>
        </w:rPr>
        <w:t xml:space="preserve">Tránsito y Transporte </w:t>
      </w:r>
    </w:p>
    <w:p w14:paraId="1D15F2AA" w14:textId="3233F4F1" w:rsidR="00EF0CE3" w:rsidRPr="002C54A7" w:rsidRDefault="00DE081E" w:rsidP="00EF0CE3">
      <w:pPr>
        <w:jc w:val="both"/>
        <w:rPr>
          <w:rFonts w:ascii="Century Gothic" w:hAnsi="Century Gothic"/>
          <w:lang w:val="es-ES"/>
        </w:rPr>
      </w:pPr>
      <w:r w:rsidRPr="002C54A7">
        <w:rPr>
          <w:rFonts w:ascii="Century Gothic" w:hAnsi="Century Gothic"/>
          <w:lang w:val="es-ES"/>
        </w:rPr>
        <w:t>La Secretaría de Tránsito ejecuta los recursos de este Fondo, el presupuesto se aforó inicialmente en $16.722 millones, alcanzando un valor definitivo de $21</w:t>
      </w:r>
      <w:r w:rsidR="009E3AB7" w:rsidRPr="002C54A7">
        <w:rPr>
          <w:rFonts w:ascii="Century Gothic" w:hAnsi="Century Gothic"/>
          <w:lang w:val="es-ES"/>
        </w:rPr>
        <w:t>.</w:t>
      </w:r>
      <w:r w:rsidRPr="002C54A7">
        <w:rPr>
          <w:rFonts w:ascii="Century Gothic" w:hAnsi="Century Gothic"/>
          <w:lang w:val="es-ES"/>
        </w:rPr>
        <w:t xml:space="preserve">792 </w:t>
      </w:r>
      <w:r w:rsidRPr="002C54A7">
        <w:rPr>
          <w:rFonts w:ascii="Century Gothic" w:hAnsi="Century Gothic"/>
          <w:lang w:val="es-ES"/>
        </w:rPr>
        <w:lastRenderedPageBreak/>
        <w:t>millones, con un recaudo del 103</w:t>
      </w:r>
      <w:r w:rsidR="00887EF9" w:rsidRPr="002C54A7">
        <w:rPr>
          <w:rFonts w:ascii="Century Gothic" w:hAnsi="Century Gothic"/>
          <w:lang w:val="es-ES"/>
        </w:rPr>
        <w:t xml:space="preserve"> por ciento</w:t>
      </w:r>
      <w:r w:rsidRPr="002C54A7">
        <w:rPr>
          <w:rFonts w:ascii="Century Gothic" w:hAnsi="Century Gothic"/>
          <w:lang w:val="es-ES"/>
        </w:rPr>
        <w:t>, siendo los de mayor participación, los recursos de capital con el 51,2</w:t>
      </w:r>
      <w:r w:rsidR="00887EF9" w:rsidRPr="002C54A7">
        <w:rPr>
          <w:rFonts w:ascii="Century Gothic" w:hAnsi="Century Gothic"/>
          <w:lang w:val="es-ES"/>
        </w:rPr>
        <w:t xml:space="preserve"> por ciento</w:t>
      </w:r>
      <w:r w:rsidRPr="002C54A7">
        <w:rPr>
          <w:rFonts w:ascii="Century Gothic" w:hAnsi="Century Gothic"/>
          <w:lang w:val="es-ES"/>
        </w:rPr>
        <w:t xml:space="preserve">, </w:t>
      </w:r>
      <w:r w:rsidR="005B4C8C" w:rsidRPr="002C54A7">
        <w:rPr>
          <w:rFonts w:ascii="Century Gothic" w:hAnsi="Century Gothic"/>
          <w:lang w:val="es-ES"/>
        </w:rPr>
        <w:t xml:space="preserve">ya que </w:t>
      </w:r>
      <w:r w:rsidRPr="002C54A7">
        <w:rPr>
          <w:rFonts w:ascii="Century Gothic" w:hAnsi="Century Gothic"/>
          <w:lang w:val="es-ES"/>
        </w:rPr>
        <w:t xml:space="preserve">existen recursos del balance que se invertirán en la construcción de una </w:t>
      </w:r>
      <w:r w:rsidR="002C54A7" w:rsidRPr="002C54A7">
        <w:rPr>
          <w:rFonts w:ascii="Century Gothic" w:hAnsi="Century Gothic"/>
          <w:lang w:val="es-ES"/>
        </w:rPr>
        <w:t xml:space="preserve">nueva </w:t>
      </w:r>
      <w:r w:rsidRPr="002C54A7">
        <w:rPr>
          <w:rFonts w:ascii="Century Gothic" w:hAnsi="Century Gothic"/>
          <w:lang w:val="es-ES"/>
        </w:rPr>
        <w:t>sede. De los ingresos no tributarios</w:t>
      </w:r>
      <w:r w:rsidR="00AD0284" w:rsidRPr="002C54A7">
        <w:rPr>
          <w:rFonts w:ascii="Century Gothic" w:hAnsi="Century Gothic"/>
          <w:lang w:val="es-ES"/>
        </w:rPr>
        <w:t>,</w:t>
      </w:r>
      <w:r w:rsidRPr="002C54A7">
        <w:rPr>
          <w:rFonts w:ascii="Century Gothic" w:hAnsi="Century Gothic"/>
          <w:lang w:val="es-ES"/>
        </w:rPr>
        <w:t xml:space="preserve"> el de mayor cumplimiento es el correspondiente a la</w:t>
      </w:r>
      <w:r w:rsidR="002C54A7" w:rsidRPr="002C54A7">
        <w:rPr>
          <w:rFonts w:ascii="Century Gothic" w:hAnsi="Century Gothic"/>
          <w:lang w:val="es-ES"/>
        </w:rPr>
        <w:t>s</w:t>
      </w:r>
      <w:r w:rsidRPr="002C54A7">
        <w:rPr>
          <w:rFonts w:ascii="Century Gothic" w:hAnsi="Century Gothic"/>
          <w:lang w:val="es-ES"/>
        </w:rPr>
        <w:t xml:space="preserve"> transferencia</w:t>
      </w:r>
      <w:r w:rsidR="002C54A7" w:rsidRPr="002C54A7">
        <w:rPr>
          <w:rFonts w:ascii="Century Gothic" w:hAnsi="Century Gothic"/>
          <w:lang w:val="es-ES"/>
        </w:rPr>
        <w:t>s</w:t>
      </w:r>
      <w:r w:rsidRPr="002C54A7">
        <w:rPr>
          <w:rFonts w:ascii="Century Gothic" w:hAnsi="Century Gothic"/>
          <w:lang w:val="es-ES"/>
        </w:rPr>
        <w:t xml:space="preserve"> que realizan los Departamentos correspondientes al 20</w:t>
      </w:r>
      <w:r w:rsidR="00887EF9" w:rsidRPr="002C54A7">
        <w:rPr>
          <w:rFonts w:ascii="Century Gothic" w:hAnsi="Century Gothic"/>
          <w:lang w:val="es-ES"/>
        </w:rPr>
        <w:t xml:space="preserve"> por ciento</w:t>
      </w:r>
      <w:r w:rsidR="002C54A7" w:rsidRPr="002C54A7">
        <w:rPr>
          <w:rFonts w:ascii="Century Gothic" w:hAnsi="Century Gothic"/>
          <w:lang w:val="es-ES"/>
        </w:rPr>
        <w:t xml:space="preserve"> d</w:t>
      </w:r>
      <w:r w:rsidRPr="002C54A7">
        <w:rPr>
          <w:rFonts w:ascii="Century Gothic" w:hAnsi="Century Gothic"/>
          <w:lang w:val="es-ES"/>
        </w:rPr>
        <w:t>el impuesto de vehículos</w:t>
      </w:r>
      <w:r w:rsidR="002C54A7" w:rsidRPr="002C54A7">
        <w:rPr>
          <w:rFonts w:ascii="Century Gothic" w:hAnsi="Century Gothic"/>
          <w:lang w:val="es-ES"/>
        </w:rPr>
        <w:t xml:space="preserve">, lográndose </w:t>
      </w:r>
      <w:r w:rsidRPr="002C54A7">
        <w:rPr>
          <w:rFonts w:ascii="Century Gothic" w:hAnsi="Century Gothic"/>
          <w:lang w:val="es-ES"/>
        </w:rPr>
        <w:t xml:space="preserve">un </w:t>
      </w:r>
      <w:r w:rsidR="002C54A7" w:rsidRPr="002C54A7">
        <w:rPr>
          <w:rFonts w:ascii="Century Gothic" w:hAnsi="Century Gothic"/>
          <w:lang w:val="es-ES"/>
        </w:rPr>
        <w:t xml:space="preserve">recaudo del </w:t>
      </w:r>
      <w:r w:rsidRPr="002C54A7">
        <w:rPr>
          <w:rFonts w:ascii="Century Gothic" w:hAnsi="Century Gothic"/>
          <w:lang w:val="es-ES"/>
        </w:rPr>
        <w:t>139,9</w:t>
      </w:r>
      <w:r w:rsidR="00887EF9" w:rsidRPr="002C54A7">
        <w:rPr>
          <w:rFonts w:ascii="Century Gothic" w:hAnsi="Century Gothic"/>
          <w:lang w:val="es-ES"/>
        </w:rPr>
        <w:t xml:space="preserve"> por ciento</w:t>
      </w:r>
      <w:r w:rsidRPr="002C54A7">
        <w:rPr>
          <w:rFonts w:ascii="Century Gothic" w:hAnsi="Century Gothic"/>
          <w:lang w:val="es-ES"/>
        </w:rPr>
        <w:t xml:space="preserve"> frente al valor definitivo.</w:t>
      </w:r>
    </w:p>
    <w:p w14:paraId="4E21E631" w14:textId="575E12B6" w:rsidR="00DE081E" w:rsidRPr="002C54A7" w:rsidRDefault="00DE081E" w:rsidP="00DE081E">
      <w:pPr>
        <w:spacing w:after="0"/>
        <w:jc w:val="center"/>
        <w:rPr>
          <w:rFonts w:ascii="Century Gothic" w:hAnsi="Century Gothic"/>
          <w:lang w:val="es-ES"/>
        </w:rPr>
      </w:pPr>
      <w:bookmarkStart w:id="26" w:name="_Toc532570508"/>
      <w:r w:rsidRPr="002C54A7">
        <w:rPr>
          <w:rFonts w:ascii="Century Gothic" w:hAnsi="Century Gothic"/>
          <w:lang w:val="es-ES"/>
        </w:rPr>
        <w:t xml:space="preserve">Tabla </w:t>
      </w:r>
      <w:r w:rsidRPr="002C54A7">
        <w:rPr>
          <w:rFonts w:ascii="Century Gothic" w:hAnsi="Century Gothic"/>
          <w:lang w:val="es-ES"/>
        </w:rPr>
        <w:fldChar w:fldCharType="begin"/>
      </w:r>
      <w:r w:rsidRPr="002C54A7">
        <w:rPr>
          <w:rFonts w:ascii="Century Gothic" w:hAnsi="Century Gothic"/>
          <w:lang w:val="es-ES"/>
        </w:rPr>
        <w:instrText xml:space="preserve"> SEQ Tabla \* ARABIC </w:instrText>
      </w:r>
      <w:r w:rsidRPr="002C54A7">
        <w:rPr>
          <w:rFonts w:ascii="Century Gothic" w:hAnsi="Century Gothic"/>
          <w:lang w:val="es-ES"/>
        </w:rPr>
        <w:fldChar w:fldCharType="separate"/>
      </w:r>
      <w:r w:rsidR="00934BA3">
        <w:rPr>
          <w:rFonts w:ascii="Century Gothic" w:hAnsi="Century Gothic"/>
          <w:noProof/>
          <w:lang w:val="es-ES"/>
        </w:rPr>
        <w:t>17</w:t>
      </w:r>
      <w:r w:rsidRPr="002C54A7">
        <w:rPr>
          <w:rFonts w:ascii="Century Gothic" w:hAnsi="Century Gothic"/>
          <w:lang w:val="es-ES"/>
        </w:rPr>
        <w:fldChar w:fldCharType="end"/>
      </w:r>
      <w:r w:rsidRPr="002C54A7">
        <w:rPr>
          <w:rFonts w:ascii="Century Gothic" w:hAnsi="Century Gothic"/>
          <w:lang w:val="es-ES"/>
        </w:rPr>
        <w:t>. Ejecución ingresos Tránsito y Transporte 2017 (millones de pesos)</w:t>
      </w:r>
      <w:bookmarkEnd w:id="26"/>
    </w:p>
    <w:p w14:paraId="2CF7AB67" w14:textId="6C99A3F1" w:rsidR="00DE081E" w:rsidRPr="002C54A7" w:rsidRDefault="00DE081E" w:rsidP="00DE081E">
      <w:pPr>
        <w:spacing w:after="0"/>
        <w:jc w:val="both"/>
        <w:rPr>
          <w:rFonts w:ascii="Century Gothic" w:hAnsi="Century Gothic"/>
          <w:lang w:val="es-ES"/>
        </w:rPr>
      </w:pPr>
      <w:r w:rsidRPr="002C54A7">
        <w:rPr>
          <w:rFonts w:ascii="Century Gothic" w:hAnsi="Century Gothic"/>
          <w:noProof/>
          <w:lang w:val="es-ES" w:eastAsia="es-ES"/>
        </w:rPr>
        <w:drawing>
          <wp:inline distT="0" distB="0" distL="0" distR="0" wp14:anchorId="5D334A09" wp14:editId="4CA4FF26">
            <wp:extent cx="5612130" cy="1586635"/>
            <wp:effectExtent l="0" t="0" r="762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8676"/>
                    <a:stretch/>
                  </pic:blipFill>
                  <pic:spPr bwMode="auto">
                    <a:xfrm>
                      <a:off x="0" y="0"/>
                      <a:ext cx="5612130" cy="1586635"/>
                    </a:xfrm>
                    <a:prstGeom prst="rect">
                      <a:avLst/>
                    </a:prstGeom>
                    <a:noFill/>
                    <a:ln>
                      <a:noFill/>
                    </a:ln>
                    <a:extLst>
                      <a:ext uri="{53640926-AAD7-44D8-BBD7-CCE9431645EC}">
                        <a14:shadowObscured xmlns:a14="http://schemas.microsoft.com/office/drawing/2010/main"/>
                      </a:ext>
                    </a:extLst>
                  </pic:spPr>
                </pic:pic>
              </a:graphicData>
            </a:graphic>
          </wp:inline>
        </w:drawing>
      </w:r>
    </w:p>
    <w:p w14:paraId="320C183D" w14:textId="4226B4FA" w:rsidR="00DE081E" w:rsidRPr="002C54A7" w:rsidRDefault="00DE081E" w:rsidP="00DE081E">
      <w:pPr>
        <w:jc w:val="center"/>
        <w:rPr>
          <w:rFonts w:ascii="Century Gothic" w:hAnsi="Century Gothic"/>
          <w:sz w:val="20"/>
          <w:lang w:val="es-ES"/>
        </w:rPr>
      </w:pPr>
      <w:r w:rsidRPr="002C54A7">
        <w:rPr>
          <w:rFonts w:ascii="Century Gothic" w:hAnsi="Century Gothic"/>
          <w:sz w:val="20"/>
          <w:lang w:val="es-ES"/>
        </w:rPr>
        <w:t>Fuente: Secretaría de Hacienda, 2018</w:t>
      </w:r>
    </w:p>
    <w:p w14:paraId="6E0B1EE0" w14:textId="77777777" w:rsidR="00EF0CE3" w:rsidRPr="002C54A7" w:rsidRDefault="00EF0CE3" w:rsidP="000D604B">
      <w:pPr>
        <w:pStyle w:val="Ttulo4"/>
        <w:rPr>
          <w:lang w:val="es-ES"/>
        </w:rPr>
      </w:pPr>
      <w:r w:rsidRPr="002C54A7">
        <w:rPr>
          <w:lang w:val="es-ES"/>
        </w:rPr>
        <w:t>Fondo Municipal de Gestión del Riesgo de Desastres</w:t>
      </w:r>
    </w:p>
    <w:p w14:paraId="2BFA886E" w14:textId="4424BB87" w:rsidR="00DE081E" w:rsidRPr="002C54A7" w:rsidRDefault="00DE081E" w:rsidP="00DE081E">
      <w:pPr>
        <w:spacing w:after="0"/>
        <w:jc w:val="both"/>
        <w:rPr>
          <w:rFonts w:ascii="Century Gothic" w:hAnsi="Century Gothic"/>
          <w:lang w:val="es-ES"/>
        </w:rPr>
      </w:pPr>
      <w:r w:rsidRPr="002C54A7">
        <w:rPr>
          <w:rFonts w:ascii="Century Gothic" w:hAnsi="Century Gothic"/>
          <w:lang w:val="es-ES"/>
        </w:rPr>
        <w:t>Este Fondo se financia con el 4</w:t>
      </w:r>
      <w:r w:rsidR="00887EF9" w:rsidRPr="002C54A7">
        <w:rPr>
          <w:rFonts w:ascii="Century Gothic" w:hAnsi="Century Gothic"/>
          <w:lang w:val="es-ES"/>
        </w:rPr>
        <w:t xml:space="preserve"> por ciento</w:t>
      </w:r>
      <w:r w:rsidRPr="002C54A7">
        <w:rPr>
          <w:rFonts w:ascii="Century Gothic" w:hAnsi="Century Gothic"/>
          <w:lang w:val="es-ES"/>
        </w:rPr>
        <w:t xml:space="preserve"> del impuesto de industria y comercio según acuerdo municipal, para el</w:t>
      </w:r>
      <w:r w:rsidR="00AD0284" w:rsidRPr="002C54A7">
        <w:rPr>
          <w:rFonts w:ascii="Century Gothic" w:hAnsi="Century Gothic"/>
          <w:lang w:val="es-ES"/>
        </w:rPr>
        <w:t xml:space="preserve"> año</w:t>
      </w:r>
      <w:r w:rsidRPr="002C54A7">
        <w:rPr>
          <w:rFonts w:ascii="Century Gothic" w:hAnsi="Century Gothic"/>
          <w:lang w:val="es-ES"/>
        </w:rPr>
        <w:t xml:space="preserve"> 2017 se programó un </w:t>
      </w:r>
      <w:r w:rsidR="00AD0284" w:rsidRPr="002C54A7">
        <w:rPr>
          <w:rFonts w:ascii="Century Gothic" w:hAnsi="Century Gothic"/>
          <w:lang w:val="es-ES"/>
        </w:rPr>
        <w:t xml:space="preserve">presupuesto inicial </w:t>
      </w:r>
      <w:r w:rsidRPr="002C54A7">
        <w:rPr>
          <w:rFonts w:ascii="Century Gothic" w:hAnsi="Century Gothic"/>
          <w:lang w:val="es-ES"/>
        </w:rPr>
        <w:t>de $1.582 millones</w:t>
      </w:r>
      <w:r w:rsidR="00AD0284" w:rsidRPr="002C54A7">
        <w:rPr>
          <w:rFonts w:ascii="Century Gothic" w:hAnsi="Century Gothic"/>
          <w:lang w:val="es-ES"/>
        </w:rPr>
        <w:t>,</w:t>
      </w:r>
      <w:r w:rsidRPr="002C54A7">
        <w:rPr>
          <w:rFonts w:ascii="Century Gothic" w:hAnsi="Century Gothic"/>
          <w:lang w:val="es-ES"/>
        </w:rPr>
        <w:t xml:space="preserve"> </w:t>
      </w:r>
      <w:r w:rsidR="002C54A7" w:rsidRPr="002C54A7">
        <w:rPr>
          <w:rFonts w:ascii="Century Gothic" w:hAnsi="Century Gothic"/>
          <w:lang w:val="es-ES"/>
        </w:rPr>
        <w:t xml:space="preserve">el cual fue ajustado para la misma vigencia en $2.163 millones, lográndose un recaudo definitivo </w:t>
      </w:r>
      <w:r w:rsidRPr="002C54A7">
        <w:rPr>
          <w:rFonts w:ascii="Century Gothic" w:hAnsi="Century Gothic"/>
          <w:lang w:val="es-ES"/>
        </w:rPr>
        <w:t>de $2.192 millones</w:t>
      </w:r>
      <w:r w:rsidR="00AD0284" w:rsidRPr="002C54A7">
        <w:rPr>
          <w:rFonts w:ascii="Century Gothic" w:hAnsi="Century Gothic"/>
          <w:lang w:val="es-ES"/>
        </w:rPr>
        <w:t xml:space="preserve"> (</w:t>
      </w:r>
      <w:r w:rsidRPr="002C54A7">
        <w:rPr>
          <w:rFonts w:ascii="Century Gothic" w:hAnsi="Century Gothic"/>
          <w:lang w:val="es-ES"/>
        </w:rPr>
        <w:t>1</w:t>
      </w:r>
      <w:r w:rsidR="002C54A7" w:rsidRPr="002C54A7">
        <w:rPr>
          <w:rFonts w:ascii="Century Gothic" w:hAnsi="Century Gothic"/>
          <w:lang w:val="es-ES"/>
        </w:rPr>
        <w:t>01</w:t>
      </w:r>
      <w:r w:rsidR="00AD0284" w:rsidRPr="002C54A7">
        <w:rPr>
          <w:rFonts w:ascii="Century Gothic" w:hAnsi="Century Gothic"/>
          <w:lang w:val="es-ES"/>
        </w:rPr>
        <w:t>% de cumplimiento)</w:t>
      </w:r>
      <w:r w:rsidRPr="002C54A7">
        <w:rPr>
          <w:rFonts w:ascii="Century Gothic" w:hAnsi="Century Gothic"/>
          <w:lang w:val="es-ES"/>
        </w:rPr>
        <w:t xml:space="preserve">, </w:t>
      </w:r>
      <w:r w:rsidR="002C54A7" w:rsidRPr="002C54A7">
        <w:rPr>
          <w:rFonts w:ascii="Century Gothic" w:hAnsi="Century Gothic"/>
          <w:lang w:val="es-ES"/>
        </w:rPr>
        <w:t xml:space="preserve">consecuencia de </w:t>
      </w:r>
      <w:r w:rsidR="00AD0284" w:rsidRPr="002C54A7">
        <w:rPr>
          <w:rFonts w:ascii="Century Gothic" w:hAnsi="Century Gothic"/>
          <w:lang w:val="es-ES"/>
        </w:rPr>
        <w:t xml:space="preserve">las acciones que se implementaron para mejorar el </w:t>
      </w:r>
      <w:r w:rsidR="002C54A7" w:rsidRPr="002C54A7">
        <w:rPr>
          <w:rFonts w:ascii="Century Gothic" w:hAnsi="Century Gothic"/>
          <w:lang w:val="es-ES"/>
        </w:rPr>
        <w:t>recaudo del impuesto:</w:t>
      </w:r>
      <w:r w:rsidRPr="002C54A7">
        <w:rPr>
          <w:rFonts w:ascii="Century Gothic" w:hAnsi="Century Gothic"/>
          <w:lang w:val="es-ES"/>
        </w:rPr>
        <w:t xml:space="preserve"> los recursos de capital representan el 40,69</w:t>
      </w:r>
      <w:r w:rsidR="00887EF9" w:rsidRPr="002C54A7">
        <w:rPr>
          <w:rFonts w:ascii="Century Gothic" w:hAnsi="Century Gothic"/>
          <w:lang w:val="es-ES"/>
        </w:rPr>
        <w:t xml:space="preserve"> por ciento</w:t>
      </w:r>
      <w:r w:rsidRPr="002C54A7">
        <w:rPr>
          <w:rFonts w:ascii="Century Gothic" w:hAnsi="Century Gothic"/>
          <w:lang w:val="es-ES"/>
        </w:rPr>
        <w:t>, en este ítem</w:t>
      </w:r>
      <w:r w:rsidR="00AD0284" w:rsidRPr="002C54A7">
        <w:rPr>
          <w:rFonts w:ascii="Century Gothic" w:hAnsi="Century Gothic"/>
          <w:lang w:val="es-ES"/>
        </w:rPr>
        <w:t>,</w:t>
      </w:r>
      <w:r w:rsidRPr="002C54A7">
        <w:rPr>
          <w:rFonts w:ascii="Century Gothic" w:hAnsi="Century Gothic"/>
          <w:lang w:val="es-ES"/>
        </w:rPr>
        <w:t xml:space="preserve"> los de mayor participación son los recursos del balance, correspondiente a saldos de vigencias anteriores.</w:t>
      </w:r>
    </w:p>
    <w:p w14:paraId="2E5434DE" w14:textId="77777777" w:rsidR="002C54A7" w:rsidRPr="002C54A7" w:rsidRDefault="002C54A7" w:rsidP="00DE081E">
      <w:pPr>
        <w:spacing w:after="0"/>
        <w:jc w:val="both"/>
        <w:rPr>
          <w:rFonts w:ascii="Century Gothic" w:hAnsi="Century Gothic"/>
          <w:lang w:val="es-ES"/>
        </w:rPr>
      </w:pPr>
    </w:p>
    <w:p w14:paraId="0BFF9EAB" w14:textId="4D0E30E9" w:rsidR="00DE081E" w:rsidRPr="002C54A7" w:rsidRDefault="00DE081E" w:rsidP="00DE081E">
      <w:pPr>
        <w:spacing w:after="0"/>
        <w:jc w:val="center"/>
        <w:rPr>
          <w:rFonts w:ascii="Century Gothic" w:hAnsi="Century Gothic"/>
          <w:lang w:val="es-ES"/>
        </w:rPr>
      </w:pPr>
      <w:bookmarkStart w:id="27" w:name="_Toc532570509"/>
      <w:r w:rsidRPr="002C54A7">
        <w:rPr>
          <w:rFonts w:ascii="Century Gothic" w:hAnsi="Century Gothic"/>
          <w:lang w:val="es-ES"/>
        </w:rPr>
        <w:t xml:space="preserve">Tabla </w:t>
      </w:r>
      <w:r w:rsidRPr="002C54A7">
        <w:rPr>
          <w:rFonts w:ascii="Century Gothic" w:hAnsi="Century Gothic"/>
          <w:lang w:val="es-ES"/>
        </w:rPr>
        <w:fldChar w:fldCharType="begin"/>
      </w:r>
      <w:r w:rsidRPr="002C54A7">
        <w:rPr>
          <w:rFonts w:ascii="Century Gothic" w:hAnsi="Century Gothic"/>
          <w:lang w:val="es-ES"/>
        </w:rPr>
        <w:instrText xml:space="preserve"> SEQ Tabla \* ARABIC </w:instrText>
      </w:r>
      <w:r w:rsidRPr="002C54A7">
        <w:rPr>
          <w:rFonts w:ascii="Century Gothic" w:hAnsi="Century Gothic"/>
          <w:lang w:val="es-ES"/>
        </w:rPr>
        <w:fldChar w:fldCharType="separate"/>
      </w:r>
      <w:r w:rsidR="00934BA3">
        <w:rPr>
          <w:rFonts w:ascii="Century Gothic" w:hAnsi="Century Gothic"/>
          <w:noProof/>
          <w:lang w:val="es-ES"/>
        </w:rPr>
        <w:t>18</w:t>
      </w:r>
      <w:r w:rsidRPr="002C54A7">
        <w:rPr>
          <w:rFonts w:ascii="Century Gothic" w:hAnsi="Century Gothic"/>
          <w:lang w:val="es-ES"/>
        </w:rPr>
        <w:fldChar w:fldCharType="end"/>
      </w:r>
      <w:r w:rsidRPr="002C54A7">
        <w:rPr>
          <w:rFonts w:ascii="Century Gothic" w:hAnsi="Century Gothic"/>
          <w:lang w:val="es-ES"/>
        </w:rPr>
        <w:t>. Ejecución ingresos Fondo Municipal de G</w:t>
      </w:r>
      <w:r w:rsidR="00553246" w:rsidRPr="002C54A7">
        <w:rPr>
          <w:rFonts w:ascii="Century Gothic" w:hAnsi="Century Gothic"/>
          <w:lang w:val="es-ES"/>
        </w:rPr>
        <w:t xml:space="preserve">estión del Riesgo de Desastres </w:t>
      </w:r>
      <w:r w:rsidRPr="002C54A7">
        <w:rPr>
          <w:rFonts w:ascii="Century Gothic" w:hAnsi="Century Gothic"/>
          <w:lang w:val="es-ES"/>
        </w:rPr>
        <w:t>2017 (millones de pesos)</w:t>
      </w:r>
      <w:r w:rsidRPr="002C54A7">
        <w:rPr>
          <w:rFonts w:ascii="Century Gothic" w:hAnsi="Century Gothic"/>
          <w:noProof/>
          <w:lang w:val="es-ES" w:eastAsia="es-ES"/>
        </w:rPr>
        <w:drawing>
          <wp:inline distT="0" distB="0" distL="0" distR="0" wp14:anchorId="4669760B" wp14:editId="05320C87">
            <wp:extent cx="5612130" cy="806854"/>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15740"/>
                    <a:stretch/>
                  </pic:blipFill>
                  <pic:spPr bwMode="auto">
                    <a:xfrm>
                      <a:off x="0" y="0"/>
                      <a:ext cx="5612130" cy="806854"/>
                    </a:xfrm>
                    <a:prstGeom prst="rect">
                      <a:avLst/>
                    </a:prstGeom>
                    <a:noFill/>
                    <a:ln>
                      <a:noFill/>
                    </a:ln>
                    <a:extLst>
                      <a:ext uri="{53640926-AAD7-44D8-BBD7-CCE9431645EC}">
                        <a14:shadowObscured xmlns:a14="http://schemas.microsoft.com/office/drawing/2010/main"/>
                      </a:ext>
                    </a:extLst>
                  </pic:spPr>
                </pic:pic>
              </a:graphicData>
            </a:graphic>
          </wp:inline>
        </w:drawing>
      </w:r>
      <w:bookmarkEnd w:id="27"/>
    </w:p>
    <w:p w14:paraId="2EFFAA34" w14:textId="7F823B37" w:rsidR="00DE081E" w:rsidRPr="002C54A7" w:rsidRDefault="00DE081E" w:rsidP="00DE081E">
      <w:pPr>
        <w:jc w:val="center"/>
        <w:rPr>
          <w:rFonts w:ascii="Century Gothic" w:hAnsi="Century Gothic"/>
          <w:sz w:val="20"/>
          <w:lang w:val="es-ES"/>
        </w:rPr>
      </w:pPr>
      <w:r w:rsidRPr="002C54A7">
        <w:rPr>
          <w:rFonts w:ascii="Century Gothic" w:hAnsi="Century Gothic"/>
          <w:sz w:val="20"/>
          <w:lang w:val="es-ES"/>
        </w:rPr>
        <w:t>Fuente: Secretaría de Hacienda, 2018</w:t>
      </w:r>
    </w:p>
    <w:p w14:paraId="5A3C7CBB" w14:textId="77777777" w:rsidR="00BD320F" w:rsidRPr="007F77F8" w:rsidRDefault="00BD320F" w:rsidP="00CE6DD2">
      <w:pPr>
        <w:pStyle w:val="Ttulo3"/>
        <w:rPr>
          <w:lang w:val="es-ES"/>
        </w:rPr>
      </w:pPr>
      <w:bookmarkStart w:id="28" w:name="_Toc532565921"/>
      <w:r w:rsidRPr="007F77F8">
        <w:rPr>
          <w:lang w:val="es-ES"/>
        </w:rPr>
        <w:lastRenderedPageBreak/>
        <w:t xml:space="preserve">Recursos de </w:t>
      </w:r>
      <w:r w:rsidR="005C1112" w:rsidRPr="007F77F8">
        <w:rPr>
          <w:lang w:val="es-ES"/>
        </w:rPr>
        <w:t>capital</w:t>
      </w:r>
      <w:bookmarkEnd w:id="28"/>
    </w:p>
    <w:p w14:paraId="0ECAE0BE" w14:textId="7DF349F1" w:rsidR="00D515A6" w:rsidRPr="007F77F8" w:rsidRDefault="00735A58" w:rsidP="00DE081E">
      <w:pPr>
        <w:jc w:val="both"/>
        <w:rPr>
          <w:rFonts w:ascii="Century Gothic" w:hAnsi="Century Gothic"/>
          <w:lang w:val="es-ES"/>
        </w:rPr>
      </w:pPr>
      <w:r>
        <w:rPr>
          <w:rFonts w:ascii="Century Gothic" w:hAnsi="Century Gothic"/>
          <w:lang w:val="es-ES"/>
        </w:rPr>
        <w:t xml:space="preserve">A continuación </w:t>
      </w:r>
      <w:r w:rsidR="00DE081E" w:rsidRPr="007F77F8">
        <w:rPr>
          <w:rFonts w:ascii="Century Gothic" w:hAnsi="Century Gothic"/>
          <w:lang w:val="es-ES"/>
        </w:rPr>
        <w:t xml:space="preserve">se relacionan los recursos de capital y se incluye el valor total de </w:t>
      </w:r>
      <w:r w:rsidR="007F77F8" w:rsidRPr="007F77F8">
        <w:rPr>
          <w:rFonts w:ascii="Century Gothic" w:hAnsi="Century Gothic"/>
          <w:lang w:val="es-ES"/>
        </w:rPr>
        <w:t>é</w:t>
      </w:r>
      <w:r w:rsidR="00DE081E" w:rsidRPr="007F77F8">
        <w:rPr>
          <w:rFonts w:ascii="Century Gothic" w:hAnsi="Century Gothic"/>
          <w:lang w:val="es-ES"/>
        </w:rPr>
        <w:t xml:space="preserve">stos correspondientes a los fondos, los cuales se encuentran desagregados en el ítem anterior. </w:t>
      </w:r>
    </w:p>
    <w:p w14:paraId="181C9CD6" w14:textId="13A87EB2" w:rsidR="007A0261" w:rsidRPr="007F77F8" w:rsidRDefault="007A0261" w:rsidP="00DE081E">
      <w:pPr>
        <w:pStyle w:val="Epgrafe"/>
        <w:spacing w:after="0" w:line="276" w:lineRule="auto"/>
        <w:jc w:val="center"/>
        <w:rPr>
          <w:rFonts w:ascii="Century Gothic" w:hAnsi="Century Gothic"/>
          <w:b w:val="0"/>
          <w:color w:val="auto"/>
          <w:sz w:val="22"/>
          <w:szCs w:val="22"/>
          <w:lang w:val="es-ES"/>
        </w:rPr>
      </w:pPr>
      <w:bookmarkStart w:id="29" w:name="_Toc532570510"/>
      <w:r w:rsidRPr="007F77F8">
        <w:rPr>
          <w:rFonts w:ascii="Century Gothic" w:hAnsi="Century Gothic"/>
          <w:b w:val="0"/>
          <w:color w:val="auto"/>
          <w:sz w:val="22"/>
          <w:szCs w:val="22"/>
          <w:lang w:val="es-ES"/>
        </w:rPr>
        <w:t xml:space="preserve">Tabla </w:t>
      </w:r>
      <w:r w:rsidR="00A83A24" w:rsidRPr="007F77F8">
        <w:rPr>
          <w:rFonts w:ascii="Century Gothic" w:hAnsi="Century Gothic"/>
          <w:b w:val="0"/>
          <w:color w:val="auto"/>
          <w:sz w:val="22"/>
          <w:szCs w:val="22"/>
          <w:lang w:val="es-ES"/>
        </w:rPr>
        <w:fldChar w:fldCharType="begin"/>
      </w:r>
      <w:r w:rsidRPr="007F77F8">
        <w:rPr>
          <w:rFonts w:ascii="Century Gothic" w:hAnsi="Century Gothic"/>
          <w:b w:val="0"/>
          <w:color w:val="auto"/>
          <w:sz w:val="22"/>
          <w:szCs w:val="22"/>
          <w:lang w:val="es-ES"/>
        </w:rPr>
        <w:instrText xml:space="preserve"> SEQ Tabla \* ARABIC </w:instrText>
      </w:r>
      <w:r w:rsidR="00A83A24" w:rsidRPr="007F77F8">
        <w:rPr>
          <w:rFonts w:ascii="Century Gothic" w:hAnsi="Century Gothic"/>
          <w:b w:val="0"/>
          <w:color w:val="auto"/>
          <w:sz w:val="22"/>
          <w:szCs w:val="22"/>
          <w:lang w:val="es-ES"/>
        </w:rPr>
        <w:fldChar w:fldCharType="separate"/>
      </w:r>
      <w:r w:rsidR="00934BA3">
        <w:rPr>
          <w:rFonts w:ascii="Century Gothic" w:hAnsi="Century Gothic"/>
          <w:b w:val="0"/>
          <w:noProof/>
          <w:color w:val="auto"/>
          <w:sz w:val="22"/>
          <w:szCs w:val="22"/>
          <w:lang w:val="es-ES"/>
        </w:rPr>
        <w:t>19</w:t>
      </w:r>
      <w:r w:rsidR="00A83A24" w:rsidRPr="007F77F8">
        <w:rPr>
          <w:rFonts w:ascii="Century Gothic" w:hAnsi="Century Gothic"/>
          <w:b w:val="0"/>
          <w:color w:val="auto"/>
          <w:sz w:val="22"/>
          <w:szCs w:val="22"/>
          <w:lang w:val="es-ES"/>
        </w:rPr>
        <w:fldChar w:fldCharType="end"/>
      </w:r>
      <w:r w:rsidRPr="007F77F8">
        <w:rPr>
          <w:rFonts w:ascii="Century Gothic" w:hAnsi="Century Gothic"/>
          <w:b w:val="0"/>
          <w:color w:val="auto"/>
          <w:sz w:val="22"/>
          <w:szCs w:val="22"/>
          <w:lang w:val="es-ES"/>
        </w:rPr>
        <w:t xml:space="preserve">. </w:t>
      </w:r>
      <w:r w:rsidR="00DE081E" w:rsidRPr="007F77F8">
        <w:rPr>
          <w:rFonts w:ascii="Century Gothic" w:hAnsi="Century Gothic"/>
          <w:b w:val="0"/>
          <w:color w:val="auto"/>
          <w:sz w:val="22"/>
          <w:szCs w:val="22"/>
          <w:lang w:val="es-ES"/>
        </w:rPr>
        <w:t>Ejecución de r</w:t>
      </w:r>
      <w:r w:rsidRPr="007F77F8">
        <w:rPr>
          <w:rFonts w:ascii="Century Gothic" w:hAnsi="Century Gothic"/>
          <w:b w:val="0"/>
          <w:color w:val="auto"/>
          <w:sz w:val="22"/>
          <w:szCs w:val="22"/>
          <w:lang w:val="es-ES"/>
        </w:rPr>
        <w:t>ec</w:t>
      </w:r>
      <w:r w:rsidR="00CE6DD2" w:rsidRPr="007F77F8">
        <w:rPr>
          <w:rFonts w:ascii="Century Gothic" w:hAnsi="Century Gothic"/>
          <w:b w:val="0"/>
          <w:color w:val="auto"/>
          <w:sz w:val="22"/>
          <w:szCs w:val="22"/>
          <w:lang w:val="es-ES"/>
        </w:rPr>
        <w:t>ursos de capital 201</w:t>
      </w:r>
      <w:r w:rsidR="00DE081E" w:rsidRPr="007F77F8">
        <w:rPr>
          <w:rFonts w:ascii="Century Gothic" w:hAnsi="Century Gothic"/>
          <w:b w:val="0"/>
          <w:color w:val="auto"/>
          <w:sz w:val="22"/>
          <w:szCs w:val="22"/>
          <w:lang w:val="es-ES"/>
        </w:rPr>
        <w:t>7</w:t>
      </w:r>
      <w:r w:rsidR="00CE6DD2" w:rsidRPr="007F77F8">
        <w:rPr>
          <w:rFonts w:ascii="Century Gothic" w:hAnsi="Century Gothic"/>
          <w:b w:val="0"/>
          <w:color w:val="auto"/>
          <w:sz w:val="22"/>
          <w:szCs w:val="22"/>
          <w:lang w:val="es-ES"/>
        </w:rPr>
        <w:t xml:space="preserve"> (millones</w:t>
      </w:r>
      <w:r w:rsidR="00DE081E" w:rsidRPr="007F77F8">
        <w:rPr>
          <w:rFonts w:ascii="Century Gothic" w:hAnsi="Century Gothic"/>
          <w:b w:val="0"/>
          <w:color w:val="auto"/>
          <w:sz w:val="22"/>
          <w:szCs w:val="22"/>
          <w:lang w:val="es-ES"/>
        </w:rPr>
        <w:t xml:space="preserve"> de pesos</w:t>
      </w:r>
      <w:r w:rsidR="00CE6DD2" w:rsidRPr="007F77F8">
        <w:rPr>
          <w:rFonts w:ascii="Century Gothic" w:hAnsi="Century Gothic"/>
          <w:b w:val="0"/>
          <w:color w:val="auto"/>
          <w:sz w:val="22"/>
          <w:szCs w:val="22"/>
          <w:lang w:val="es-ES"/>
        </w:rPr>
        <w:t>)</w:t>
      </w:r>
      <w:bookmarkEnd w:id="29"/>
    </w:p>
    <w:p w14:paraId="48BE936F" w14:textId="6400F449" w:rsidR="00DE081E" w:rsidRPr="007F77F8" w:rsidRDefault="00DE081E" w:rsidP="00DE081E">
      <w:pPr>
        <w:spacing w:after="0"/>
        <w:jc w:val="center"/>
        <w:rPr>
          <w:rFonts w:ascii="Century Gothic" w:hAnsi="Century Gothic"/>
          <w:sz w:val="20"/>
          <w:lang w:val="es-ES"/>
        </w:rPr>
      </w:pPr>
      <w:r w:rsidRPr="007F77F8">
        <w:rPr>
          <w:rFonts w:ascii="Century Gothic" w:hAnsi="Century Gothic"/>
          <w:sz w:val="20"/>
          <w:lang w:val="es-ES"/>
        </w:rPr>
        <w:t>(Sin establecimientos)</w:t>
      </w:r>
    </w:p>
    <w:p w14:paraId="1CB97FFB" w14:textId="666830E6" w:rsidR="00CE6DD2" w:rsidRPr="007F77F8" w:rsidRDefault="00DE081E" w:rsidP="00DE081E">
      <w:pPr>
        <w:spacing w:after="0"/>
        <w:rPr>
          <w:rFonts w:ascii="Century Gothic" w:hAnsi="Century Gothic"/>
          <w:lang w:val="es-ES"/>
        </w:rPr>
      </w:pPr>
      <w:r w:rsidRPr="007F77F8">
        <w:rPr>
          <w:rFonts w:ascii="Century Gothic" w:hAnsi="Century Gothic"/>
          <w:noProof/>
          <w:lang w:val="es-ES" w:eastAsia="es-ES"/>
        </w:rPr>
        <w:drawing>
          <wp:inline distT="0" distB="0" distL="0" distR="0" wp14:anchorId="4628E030" wp14:editId="67A85C45">
            <wp:extent cx="5612130" cy="2206450"/>
            <wp:effectExtent l="0" t="0" r="7620" b="381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6593"/>
                    <a:stretch/>
                  </pic:blipFill>
                  <pic:spPr bwMode="auto">
                    <a:xfrm>
                      <a:off x="0" y="0"/>
                      <a:ext cx="5612130" cy="2206450"/>
                    </a:xfrm>
                    <a:prstGeom prst="rect">
                      <a:avLst/>
                    </a:prstGeom>
                    <a:noFill/>
                    <a:ln>
                      <a:noFill/>
                    </a:ln>
                    <a:extLst>
                      <a:ext uri="{53640926-AAD7-44D8-BBD7-CCE9431645EC}">
                        <a14:shadowObscured xmlns:a14="http://schemas.microsoft.com/office/drawing/2010/main"/>
                      </a:ext>
                    </a:extLst>
                  </pic:spPr>
                </pic:pic>
              </a:graphicData>
            </a:graphic>
          </wp:inline>
        </w:drawing>
      </w:r>
    </w:p>
    <w:p w14:paraId="136F898B" w14:textId="10A0D517" w:rsidR="00CE6DD2" w:rsidRPr="007F77F8" w:rsidRDefault="00CE6DD2" w:rsidP="00CE6DD2">
      <w:pPr>
        <w:jc w:val="center"/>
        <w:rPr>
          <w:rFonts w:ascii="Century Gothic" w:hAnsi="Century Gothic"/>
          <w:sz w:val="20"/>
          <w:lang w:val="es-ES"/>
        </w:rPr>
      </w:pPr>
      <w:r w:rsidRPr="007F77F8">
        <w:rPr>
          <w:rFonts w:ascii="Century Gothic" w:hAnsi="Century Gothic"/>
          <w:sz w:val="20"/>
          <w:lang w:val="es-ES"/>
        </w:rPr>
        <w:t>Fuen</w:t>
      </w:r>
      <w:r w:rsidR="00DE081E" w:rsidRPr="007F77F8">
        <w:rPr>
          <w:rFonts w:ascii="Century Gothic" w:hAnsi="Century Gothic"/>
          <w:sz w:val="20"/>
          <w:lang w:val="es-ES"/>
        </w:rPr>
        <w:t>te: Secretaría de Hacienda, 2018</w:t>
      </w:r>
    </w:p>
    <w:p w14:paraId="58457350" w14:textId="039063AF" w:rsidR="00DE081E" w:rsidRPr="007F77F8" w:rsidRDefault="00DE081E" w:rsidP="00DE081E">
      <w:pPr>
        <w:jc w:val="both"/>
        <w:rPr>
          <w:rFonts w:ascii="Century Gothic" w:hAnsi="Century Gothic"/>
          <w:lang w:val="es-ES"/>
        </w:rPr>
      </w:pPr>
      <w:r w:rsidRPr="007F77F8">
        <w:rPr>
          <w:rFonts w:ascii="Century Gothic" w:hAnsi="Century Gothic"/>
          <w:lang w:val="es-ES"/>
        </w:rPr>
        <w:t>La totalidad de los recursos de capital</w:t>
      </w:r>
      <w:r w:rsidR="00553246" w:rsidRPr="007F77F8">
        <w:rPr>
          <w:rFonts w:ascii="Century Gothic" w:hAnsi="Century Gothic"/>
          <w:lang w:val="es-ES"/>
        </w:rPr>
        <w:t>,</w:t>
      </w:r>
      <w:r w:rsidRPr="007F77F8">
        <w:rPr>
          <w:rFonts w:ascii="Century Gothic" w:hAnsi="Century Gothic"/>
          <w:lang w:val="es-ES"/>
        </w:rPr>
        <w:t xml:space="preserve"> incluido los de</w:t>
      </w:r>
      <w:r w:rsidR="0014662F" w:rsidRPr="007F77F8">
        <w:rPr>
          <w:rFonts w:ascii="Century Gothic" w:hAnsi="Century Gothic"/>
          <w:lang w:val="es-ES"/>
        </w:rPr>
        <w:t xml:space="preserve"> los fondos</w:t>
      </w:r>
      <w:r w:rsidR="00553246" w:rsidRPr="007F77F8">
        <w:rPr>
          <w:rFonts w:ascii="Century Gothic" w:hAnsi="Century Gothic"/>
          <w:lang w:val="es-ES"/>
        </w:rPr>
        <w:t>,</w:t>
      </w:r>
      <w:r w:rsidR="0014662F" w:rsidRPr="007F77F8">
        <w:rPr>
          <w:rFonts w:ascii="Century Gothic" w:hAnsi="Century Gothic"/>
          <w:lang w:val="es-ES"/>
        </w:rPr>
        <w:t xml:space="preserve"> asciende</w:t>
      </w:r>
      <w:r w:rsidR="00553246" w:rsidRPr="007F77F8">
        <w:rPr>
          <w:rFonts w:ascii="Century Gothic" w:hAnsi="Century Gothic"/>
          <w:lang w:val="es-ES"/>
        </w:rPr>
        <w:t>n</w:t>
      </w:r>
      <w:r w:rsidR="0014662F" w:rsidRPr="007F77F8">
        <w:rPr>
          <w:rFonts w:ascii="Century Gothic" w:hAnsi="Century Gothic"/>
          <w:lang w:val="es-ES"/>
        </w:rPr>
        <w:t xml:space="preserve"> a $188.</w:t>
      </w:r>
      <w:r w:rsidRPr="007F77F8">
        <w:rPr>
          <w:rFonts w:ascii="Century Gothic" w:hAnsi="Century Gothic"/>
          <w:lang w:val="es-ES"/>
        </w:rPr>
        <w:t>650 millones</w:t>
      </w:r>
      <w:r w:rsidR="00553246" w:rsidRPr="007F77F8">
        <w:rPr>
          <w:rFonts w:ascii="Century Gothic" w:hAnsi="Century Gothic"/>
          <w:lang w:val="es-ES"/>
        </w:rPr>
        <w:t>,</w:t>
      </w:r>
      <w:r w:rsidRPr="007F77F8">
        <w:rPr>
          <w:rFonts w:ascii="Century Gothic" w:hAnsi="Century Gothic"/>
          <w:lang w:val="es-ES"/>
        </w:rPr>
        <w:t xml:space="preserve"> con una ejecución del 98,7</w:t>
      </w:r>
      <w:r w:rsidR="00887EF9" w:rsidRPr="007F77F8">
        <w:rPr>
          <w:rFonts w:ascii="Century Gothic" w:hAnsi="Century Gothic"/>
          <w:lang w:val="es-ES"/>
        </w:rPr>
        <w:t xml:space="preserve"> por ciento</w:t>
      </w:r>
      <w:r w:rsidRPr="007F77F8">
        <w:rPr>
          <w:rFonts w:ascii="Century Gothic" w:hAnsi="Century Gothic"/>
          <w:lang w:val="es-ES"/>
        </w:rPr>
        <w:t>, los de mayor impacto son los recursos del balance</w:t>
      </w:r>
      <w:r w:rsidR="008A72A2" w:rsidRPr="007F77F8">
        <w:rPr>
          <w:rFonts w:ascii="Century Gothic" w:hAnsi="Century Gothic"/>
          <w:lang w:val="es-ES"/>
        </w:rPr>
        <w:t>;</w:t>
      </w:r>
      <w:r w:rsidRPr="007F77F8">
        <w:rPr>
          <w:rFonts w:ascii="Century Gothic" w:hAnsi="Century Gothic"/>
          <w:lang w:val="es-ES"/>
        </w:rPr>
        <w:t xml:space="preserve"> estos</w:t>
      </w:r>
      <w:r w:rsidR="008A72A2" w:rsidRPr="007F77F8">
        <w:rPr>
          <w:rFonts w:ascii="Century Gothic" w:hAnsi="Century Gothic"/>
          <w:lang w:val="es-ES"/>
        </w:rPr>
        <w:t>,</w:t>
      </w:r>
      <w:r w:rsidRPr="007F77F8">
        <w:rPr>
          <w:rFonts w:ascii="Century Gothic" w:hAnsi="Century Gothic"/>
          <w:lang w:val="es-ES"/>
        </w:rPr>
        <w:t xml:space="preserve"> frente al subtotal de los recursos de capital (</w:t>
      </w:r>
      <w:r w:rsidR="008A72A2" w:rsidRPr="007F77F8">
        <w:rPr>
          <w:rFonts w:ascii="Century Gothic" w:hAnsi="Century Gothic"/>
          <w:lang w:val="es-ES"/>
        </w:rPr>
        <w:t xml:space="preserve">sin incluir </w:t>
      </w:r>
      <w:r w:rsidRPr="007F77F8">
        <w:rPr>
          <w:rFonts w:ascii="Century Gothic" w:hAnsi="Century Gothic"/>
          <w:lang w:val="es-ES"/>
        </w:rPr>
        <w:t>fondos), participan en el recaudo con el 55,8</w:t>
      </w:r>
      <w:r w:rsidR="00887EF9" w:rsidRPr="007F77F8">
        <w:rPr>
          <w:rFonts w:ascii="Century Gothic" w:hAnsi="Century Gothic"/>
          <w:lang w:val="es-ES"/>
        </w:rPr>
        <w:t xml:space="preserve"> por ciento</w:t>
      </w:r>
      <w:r w:rsidRPr="007F77F8">
        <w:rPr>
          <w:rFonts w:ascii="Century Gothic" w:hAnsi="Century Gothic"/>
          <w:lang w:val="es-ES"/>
        </w:rPr>
        <w:t>, además</w:t>
      </w:r>
      <w:r w:rsidR="008A72A2" w:rsidRPr="007F77F8">
        <w:rPr>
          <w:rFonts w:ascii="Century Gothic" w:hAnsi="Century Gothic"/>
          <w:lang w:val="es-ES"/>
        </w:rPr>
        <w:t>,</w:t>
      </w:r>
      <w:r w:rsidRPr="007F77F8">
        <w:rPr>
          <w:rFonts w:ascii="Century Gothic" w:hAnsi="Century Gothic"/>
          <w:lang w:val="es-ES"/>
        </w:rPr>
        <w:t xml:space="preserve"> durante </w:t>
      </w:r>
      <w:r w:rsidR="008A72A2" w:rsidRPr="007F77F8">
        <w:rPr>
          <w:rFonts w:ascii="Century Gothic" w:hAnsi="Century Gothic"/>
          <w:lang w:val="es-ES"/>
        </w:rPr>
        <w:t>l</w:t>
      </w:r>
      <w:r w:rsidRPr="007F77F8">
        <w:rPr>
          <w:rFonts w:ascii="Century Gothic" w:hAnsi="Century Gothic"/>
          <w:lang w:val="es-ES"/>
        </w:rPr>
        <w:t>a</w:t>
      </w:r>
      <w:r w:rsidR="008A72A2" w:rsidRPr="007F77F8">
        <w:rPr>
          <w:rFonts w:ascii="Century Gothic" w:hAnsi="Century Gothic"/>
          <w:lang w:val="es-ES"/>
        </w:rPr>
        <w:t xml:space="preserve"> anterior</w:t>
      </w:r>
      <w:r w:rsidRPr="007F77F8">
        <w:rPr>
          <w:rFonts w:ascii="Century Gothic" w:hAnsi="Century Gothic"/>
          <w:lang w:val="es-ES"/>
        </w:rPr>
        <w:t xml:space="preserve"> vigencia</w:t>
      </w:r>
      <w:r w:rsidR="008A72A2" w:rsidRPr="007F77F8">
        <w:rPr>
          <w:rFonts w:ascii="Century Gothic" w:hAnsi="Century Gothic"/>
          <w:lang w:val="es-ES"/>
        </w:rPr>
        <w:t>,</w:t>
      </w:r>
      <w:r w:rsidRPr="007F77F8">
        <w:rPr>
          <w:rFonts w:ascii="Century Gothic" w:hAnsi="Century Gothic"/>
          <w:lang w:val="es-ES"/>
        </w:rPr>
        <w:t xml:space="preserve"> se realizó un desahorro </w:t>
      </w:r>
      <w:r w:rsidR="00D54630">
        <w:rPr>
          <w:rFonts w:ascii="Century Gothic" w:hAnsi="Century Gothic"/>
          <w:lang w:val="es-ES"/>
        </w:rPr>
        <w:t>FONPET</w:t>
      </w:r>
      <w:r w:rsidRPr="007F77F8">
        <w:rPr>
          <w:rFonts w:ascii="Century Gothic" w:hAnsi="Century Gothic"/>
          <w:lang w:val="es-ES"/>
        </w:rPr>
        <w:t>, por 32.553 millones para el sector educativo.</w:t>
      </w:r>
    </w:p>
    <w:p w14:paraId="5A270ED0" w14:textId="6F3496DA" w:rsidR="00BD320F" w:rsidRPr="0098372B" w:rsidRDefault="00BD320F" w:rsidP="00CE6DD2">
      <w:pPr>
        <w:pStyle w:val="Ttulo3"/>
        <w:rPr>
          <w:lang w:val="es-ES"/>
        </w:rPr>
      </w:pPr>
      <w:bookmarkStart w:id="30" w:name="_Toc532565922"/>
      <w:r w:rsidRPr="0098372B">
        <w:rPr>
          <w:lang w:val="es-ES"/>
        </w:rPr>
        <w:t>Ingre</w:t>
      </w:r>
      <w:r w:rsidR="00CE6DD2" w:rsidRPr="0098372B">
        <w:rPr>
          <w:lang w:val="es-ES"/>
        </w:rPr>
        <w:t xml:space="preserve">sos de </w:t>
      </w:r>
      <w:r w:rsidR="00A44CB3" w:rsidRPr="0098372B">
        <w:rPr>
          <w:lang w:val="es-ES"/>
        </w:rPr>
        <w:t>e</w:t>
      </w:r>
      <w:r w:rsidR="00CE6DD2" w:rsidRPr="0098372B">
        <w:rPr>
          <w:lang w:val="es-ES"/>
        </w:rPr>
        <w:t xml:space="preserve">stablecimientos </w:t>
      </w:r>
      <w:r w:rsidR="00A44CB3" w:rsidRPr="0098372B">
        <w:rPr>
          <w:lang w:val="es-ES"/>
        </w:rPr>
        <w:t>p</w:t>
      </w:r>
      <w:r w:rsidR="00CE6DD2" w:rsidRPr="0098372B">
        <w:rPr>
          <w:lang w:val="es-ES"/>
        </w:rPr>
        <w:t>úblico</w:t>
      </w:r>
      <w:r w:rsidR="007F77F8" w:rsidRPr="0098372B">
        <w:rPr>
          <w:lang w:val="es-ES"/>
        </w:rPr>
        <w:t>s</w:t>
      </w:r>
      <w:bookmarkEnd w:id="30"/>
    </w:p>
    <w:p w14:paraId="1DE964A0" w14:textId="73721068" w:rsidR="00D415FD" w:rsidRPr="0098372B" w:rsidRDefault="00BD6743" w:rsidP="00C44BEC">
      <w:pPr>
        <w:jc w:val="both"/>
        <w:rPr>
          <w:rFonts w:ascii="Century Gothic" w:hAnsi="Century Gothic"/>
          <w:lang w:val="es-ES"/>
        </w:rPr>
      </w:pPr>
      <w:r>
        <w:rPr>
          <w:rFonts w:ascii="Century Gothic" w:hAnsi="Century Gothic"/>
          <w:lang w:val="es-ES"/>
        </w:rPr>
        <w:t>En e</w:t>
      </w:r>
      <w:r w:rsidR="00B750BC" w:rsidRPr="0098372B">
        <w:rPr>
          <w:rFonts w:ascii="Century Gothic" w:hAnsi="Century Gothic"/>
          <w:lang w:val="es-ES"/>
        </w:rPr>
        <w:t xml:space="preserve">l </w:t>
      </w:r>
      <w:r w:rsidR="0014662F" w:rsidRPr="0098372B">
        <w:rPr>
          <w:rFonts w:ascii="Century Gothic" w:hAnsi="Century Gothic"/>
          <w:lang w:val="es-ES"/>
        </w:rPr>
        <w:t xml:space="preserve">Estatuto Orgánico de Presupuesto, se contempla </w:t>
      </w:r>
      <w:r w:rsidR="006E4C11" w:rsidRPr="0098372B">
        <w:rPr>
          <w:rFonts w:ascii="Century Gothic" w:hAnsi="Century Gothic"/>
          <w:lang w:val="es-ES"/>
        </w:rPr>
        <w:t>lo referente a</w:t>
      </w:r>
      <w:r w:rsidR="0014662F" w:rsidRPr="0098372B">
        <w:rPr>
          <w:rFonts w:ascii="Century Gothic" w:hAnsi="Century Gothic"/>
          <w:lang w:val="es-ES"/>
        </w:rPr>
        <w:t xml:space="preserve"> establecimientos públicos, existen dos establecimientos y una unidad especial que</w:t>
      </w:r>
      <w:r w:rsidR="00A44CB3" w:rsidRPr="0098372B">
        <w:rPr>
          <w:rFonts w:ascii="Century Gothic" w:hAnsi="Century Gothic"/>
          <w:lang w:val="es-ES"/>
        </w:rPr>
        <w:t>,</w:t>
      </w:r>
      <w:r w:rsidR="0014662F" w:rsidRPr="0098372B">
        <w:rPr>
          <w:rFonts w:ascii="Century Gothic" w:hAnsi="Century Gothic"/>
          <w:lang w:val="es-ES"/>
        </w:rPr>
        <w:t xml:space="preserve"> por su naturaleza</w:t>
      </w:r>
      <w:r w:rsidR="00A44CB3" w:rsidRPr="0098372B">
        <w:rPr>
          <w:rFonts w:ascii="Century Gothic" w:hAnsi="Century Gothic"/>
          <w:lang w:val="es-ES"/>
        </w:rPr>
        <w:t>,</w:t>
      </w:r>
      <w:r w:rsidR="0014662F" w:rsidRPr="0098372B">
        <w:rPr>
          <w:rFonts w:ascii="Century Gothic" w:hAnsi="Century Gothic"/>
          <w:lang w:val="es-ES"/>
        </w:rPr>
        <w:t xml:space="preserve"> se le aplica la normativa de un establecimiento público, esta unidad es responsable de la ejecución de las obras del Plan Maestro de Movilidad</w:t>
      </w:r>
      <w:r>
        <w:rPr>
          <w:rFonts w:ascii="Century Gothic" w:hAnsi="Century Gothic"/>
          <w:lang w:val="es-ES"/>
        </w:rPr>
        <w:t xml:space="preserve"> y Transporte</w:t>
      </w:r>
      <w:r w:rsidR="00A44CB3" w:rsidRPr="0098372B">
        <w:rPr>
          <w:rFonts w:ascii="Century Gothic" w:hAnsi="Century Gothic"/>
          <w:lang w:val="es-ES"/>
        </w:rPr>
        <w:t>;</w:t>
      </w:r>
      <w:r w:rsidR="0014662F" w:rsidRPr="0098372B">
        <w:rPr>
          <w:rFonts w:ascii="Century Gothic" w:hAnsi="Century Gothic"/>
          <w:lang w:val="es-ES"/>
        </w:rPr>
        <w:t xml:space="preserve"> los ingresos de estos participan en el presupuesto</w:t>
      </w:r>
      <w:r w:rsidR="00A44CB3" w:rsidRPr="0098372B">
        <w:rPr>
          <w:rFonts w:ascii="Century Gothic" w:hAnsi="Century Gothic"/>
          <w:lang w:val="es-ES"/>
        </w:rPr>
        <w:t>,</w:t>
      </w:r>
      <w:r w:rsidR="0014662F" w:rsidRPr="0098372B">
        <w:rPr>
          <w:rFonts w:ascii="Century Gothic" w:hAnsi="Century Gothic"/>
          <w:lang w:val="es-ES"/>
        </w:rPr>
        <w:t xml:space="preserve"> fren</w:t>
      </w:r>
      <w:r w:rsidR="00A44CB3" w:rsidRPr="0098372B">
        <w:rPr>
          <w:rFonts w:ascii="Century Gothic" w:hAnsi="Century Gothic"/>
          <w:lang w:val="es-ES"/>
        </w:rPr>
        <w:t xml:space="preserve">te a la apropiación definitiva, </w:t>
      </w:r>
      <w:r w:rsidR="0098372B" w:rsidRPr="0098372B">
        <w:rPr>
          <w:rFonts w:ascii="Century Gothic" w:hAnsi="Century Gothic"/>
          <w:lang w:val="es-ES"/>
        </w:rPr>
        <w:t>co</w:t>
      </w:r>
      <w:r w:rsidR="0014662F" w:rsidRPr="0098372B">
        <w:rPr>
          <w:rFonts w:ascii="Century Gothic" w:hAnsi="Century Gothic"/>
          <w:lang w:val="es-ES"/>
        </w:rPr>
        <w:t xml:space="preserve">n </w:t>
      </w:r>
      <w:r w:rsidR="00A44CB3" w:rsidRPr="0098372B">
        <w:rPr>
          <w:rFonts w:ascii="Century Gothic" w:hAnsi="Century Gothic"/>
          <w:lang w:val="es-ES"/>
        </w:rPr>
        <w:t>un</w:t>
      </w:r>
      <w:r w:rsidR="0014662F" w:rsidRPr="0098372B">
        <w:rPr>
          <w:rFonts w:ascii="Century Gothic" w:hAnsi="Century Gothic"/>
          <w:lang w:val="es-ES"/>
        </w:rPr>
        <w:t xml:space="preserve"> 5</w:t>
      </w:r>
      <w:r w:rsidR="00887EF9" w:rsidRPr="0098372B">
        <w:rPr>
          <w:rFonts w:ascii="Century Gothic" w:hAnsi="Century Gothic"/>
          <w:lang w:val="es-ES"/>
        </w:rPr>
        <w:t xml:space="preserve"> por ciento</w:t>
      </w:r>
      <w:r w:rsidR="00A44CB3" w:rsidRPr="0098372B">
        <w:rPr>
          <w:rFonts w:ascii="Century Gothic" w:hAnsi="Century Gothic"/>
          <w:lang w:val="es-ES"/>
        </w:rPr>
        <w:t xml:space="preserve"> y</w:t>
      </w:r>
      <w:r w:rsidR="0014662F" w:rsidRPr="0098372B">
        <w:rPr>
          <w:rFonts w:ascii="Century Gothic" w:hAnsi="Century Gothic"/>
          <w:lang w:val="es-ES"/>
        </w:rPr>
        <w:t xml:space="preserve"> frente al valor recaudado</w:t>
      </w:r>
      <w:r w:rsidR="0098372B" w:rsidRPr="0098372B">
        <w:rPr>
          <w:rFonts w:ascii="Century Gothic" w:hAnsi="Century Gothic"/>
          <w:lang w:val="es-ES"/>
        </w:rPr>
        <w:t xml:space="preserve"> co</w:t>
      </w:r>
      <w:r w:rsidR="0014662F" w:rsidRPr="0098372B">
        <w:rPr>
          <w:rFonts w:ascii="Century Gothic" w:hAnsi="Century Gothic"/>
          <w:lang w:val="es-ES"/>
        </w:rPr>
        <w:t>n un 0,1</w:t>
      </w:r>
      <w:r w:rsidR="00887EF9" w:rsidRPr="0098372B">
        <w:rPr>
          <w:rFonts w:ascii="Century Gothic" w:hAnsi="Century Gothic"/>
          <w:lang w:val="es-ES"/>
        </w:rPr>
        <w:t xml:space="preserve"> por ciento</w:t>
      </w:r>
      <w:r w:rsidR="0014662F" w:rsidRPr="0098372B">
        <w:rPr>
          <w:rFonts w:ascii="Century Gothic" w:hAnsi="Century Gothic"/>
          <w:lang w:val="es-ES"/>
        </w:rPr>
        <w:t>, siendo la Unidad la que menor recaudo presenta</w:t>
      </w:r>
      <w:r w:rsidR="00A44CB3" w:rsidRPr="0098372B">
        <w:rPr>
          <w:rFonts w:ascii="Century Gothic" w:hAnsi="Century Gothic"/>
          <w:lang w:val="es-ES"/>
        </w:rPr>
        <w:t xml:space="preserve">, </w:t>
      </w:r>
      <w:r w:rsidR="0098372B" w:rsidRPr="0098372B">
        <w:rPr>
          <w:rFonts w:ascii="Century Gothic" w:hAnsi="Century Gothic"/>
          <w:lang w:val="es-ES"/>
        </w:rPr>
        <w:t>d</w:t>
      </w:r>
      <w:r w:rsidR="006E4C11" w:rsidRPr="0098372B">
        <w:rPr>
          <w:rFonts w:ascii="Century Gothic" w:hAnsi="Century Gothic"/>
          <w:lang w:val="es-ES"/>
        </w:rPr>
        <w:t>eb</w:t>
      </w:r>
      <w:r w:rsidR="0098372B" w:rsidRPr="0098372B">
        <w:rPr>
          <w:rFonts w:ascii="Century Gothic" w:hAnsi="Century Gothic"/>
          <w:lang w:val="es-ES"/>
        </w:rPr>
        <w:t xml:space="preserve">ido </w:t>
      </w:r>
      <w:r w:rsidR="006E4C11" w:rsidRPr="0098372B">
        <w:rPr>
          <w:rFonts w:ascii="Century Gothic" w:hAnsi="Century Gothic"/>
          <w:lang w:val="es-ES"/>
        </w:rPr>
        <w:t xml:space="preserve">a </w:t>
      </w:r>
      <w:r w:rsidR="0014662F" w:rsidRPr="0098372B">
        <w:rPr>
          <w:rFonts w:ascii="Century Gothic" w:hAnsi="Century Gothic"/>
          <w:lang w:val="es-ES"/>
        </w:rPr>
        <w:t xml:space="preserve">que se realizó el reconocimiento de los recursos que la nación </w:t>
      </w:r>
      <w:r w:rsidR="0098372B" w:rsidRPr="0098372B">
        <w:rPr>
          <w:rFonts w:ascii="Century Gothic" w:hAnsi="Century Gothic"/>
          <w:lang w:val="es-ES"/>
        </w:rPr>
        <w:t>aporta a</w:t>
      </w:r>
      <w:r w:rsidR="0014662F" w:rsidRPr="0098372B">
        <w:rPr>
          <w:rFonts w:ascii="Century Gothic" w:hAnsi="Century Gothic"/>
          <w:lang w:val="es-ES"/>
        </w:rPr>
        <w:t xml:space="preserve">l proyecto, </w:t>
      </w:r>
      <w:r>
        <w:rPr>
          <w:rFonts w:ascii="Century Gothic" w:hAnsi="Century Gothic"/>
          <w:lang w:val="es-ES"/>
        </w:rPr>
        <w:t xml:space="preserve">no obstante </w:t>
      </w:r>
      <w:r w:rsidR="0098372B" w:rsidRPr="0098372B">
        <w:rPr>
          <w:rFonts w:ascii="Century Gothic" w:hAnsi="Century Gothic"/>
          <w:lang w:val="es-ES"/>
        </w:rPr>
        <w:t xml:space="preserve">que </w:t>
      </w:r>
      <w:r w:rsidR="0014662F" w:rsidRPr="0098372B">
        <w:rPr>
          <w:rFonts w:ascii="Century Gothic" w:hAnsi="Century Gothic"/>
          <w:lang w:val="es-ES"/>
        </w:rPr>
        <w:t>no se</w:t>
      </w:r>
      <w:r w:rsidR="0098372B" w:rsidRPr="0098372B">
        <w:rPr>
          <w:rFonts w:ascii="Century Gothic" w:hAnsi="Century Gothic"/>
          <w:lang w:val="es-ES"/>
        </w:rPr>
        <w:t xml:space="preserve"> realizó</w:t>
      </w:r>
      <w:r w:rsidR="0014662F" w:rsidRPr="0098372B">
        <w:rPr>
          <w:rFonts w:ascii="Century Gothic" w:hAnsi="Century Gothic"/>
          <w:lang w:val="es-ES"/>
        </w:rPr>
        <w:t xml:space="preserve"> el giro durante esta vigencia.</w:t>
      </w:r>
    </w:p>
    <w:p w14:paraId="16EE6105" w14:textId="09D95283" w:rsidR="00CE6DD2" w:rsidRPr="0098372B" w:rsidRDefault="00CE6DD2" w:rsidP="00A44CB3">
      <w:pPr>
        <w:spacing w:after="0"/>
        <w:jc w:val="center"/>
        <w:rPr>
          <w:rFonts w:ascii="Century Gothic" w:hAnsi="Century Gothic"/>
          <w:lang w:val="es-ES"/>
        </w:rPr>
      </w:pPr>
      <w:bookmarkStart w:id="31" w:name="_Toc532570511"/>
      <w:r w:rsidRPr="0098372B">
        <w:rPr>
          <w:rFonts w:ascii="Century Gothic" w:hAnsi="Century Gothic"/>
          <w:lang w:val="es-ES"/>
        </w:rPr>
        <w:lastRenderedPageBreak/>
        <w:t xml:space="preserve">Tabla </w:t>
      </w:r>
      <w:r w:rsidRPr="0098372B">
        <w:rPr>
          <w:rFonts w:ascii="Century Gothic" w:hAnsi="Century Gothic"/>
          <w:lang w:val="es-ES"/>
        </w:rPr>
        <w:fldChar w:fldCharType="begin"/>
      </w:r>
      <w:r w:rsidRPr="0098372B">
        <w:rPr>
          <w:rFonts w:ascii="Century Gothic" w:hAnsi="Century Gothic"/>
          <w:lang w:val="es-ES"/>
        </w:rPr>
        <w:instrText xml:space="preserve"> SEQ Tabla \* ARABIC </w:instrText>
      </w:r>
      <w:r w:rsidRPr="0098372B">
        <w:rPr>
          <w:rFonts w:ascii="Century Gothic" w:hAnsi="Century Gothic"/>
          <w:lang w:val="es-ES"/>
        </w:rPr>
        <w:fldChar w:fldCharType="separate"/>
      </w:r>
      <w:r w:rsidR="00934BA3">
        <w:rPr>
          <w:rFonts w:ascii="Century Gothic" w:hAnsi="Century Gothic"/>
          <w:noProof/>
          <w:lang w:val="es-ES"/>
        </w:rPr>
        <w:t>20</w:t>
      </w:r>
      <w:r w:rsidRPr="0098372B">
        <w:rPr>
          <w:rFonts w:ascii="Century Gothic" w:hAnsi="Century Gothic"/>
          <w:lang w:val="es-ES"/>
        </w:rPr>
        <w:fldChar w:fldCharType="end"/>
      </w:r>
      <w:r w:rsidRPr="0098372B">
        <w:rPr>
          <w:rFonts w:ascii="Century Gothic" w:hAnsi="Century Gothic"/>
          <w:lang w:val="es-ES"/>
        </w:rPr>
        <w:t xml:space="preserve">. </w:t>
      </w:r>
      <w:r w:rsidR="0014662F" w:rsidRPr="0098372B">
        <w:rPr>
          <w:rFonts w:ascii="Century Gothic" w:hAnsi="Century Gothic"/>
          <w:lang w:val="es-ES"/>
        </w:rPr>
        <w:t xml:space="preserve">Ejecución ingresos de Establecimientos Públicos y Unidad Administrativa Especial 2017 </w:t>
      </w:r>
      <w:r w:rsidRPr="0098372B">
        <w:rPr>
          <w:rFonts w:ascii="Century Gothic" w:hAnsi="Century Gothic"/>
          <w:lang w:val="es-ES"/>
        </w:rPr>
        <w:t>(millones</w:t>
      </w:r>
      <w:r w:rsidR="0014662F" w:rsidRPr="0098372B">
        <w:rPr>
          <w:rFonts w:ascii="Century Gothic" w:hAnsi="Century Gothic"/>
          <w:lang w:val="es-ES"/>
        </w:rPr>
        <w:t xml:space="preserve"> de pesos)</w:t>
      </w:r>
      <w:bookmarkEnd w:id="31"/>
    </w:p>
    <w:p w14:paraId="520CABF2" w14:textId="72969C06" w:rsidR="00CE6DD2" w:rsidRPr="0098372B" w:rsidRDefault="0014662F" w:rsidP="0014662F">
      <w:pPr>
        <w:spacing w:after="0"/>
        <w:jc w:val="both"/>
        <w:rPr>
          <w:rFonts w:ascii="Century Gothic" w:hAnsi="Century Gothic"/>
          <w:lang w:val="es-ES"/>
        </w:rPr>
      </w:pPr>
      <w:r w:rsidRPr="0098372B">
        <w:rPr>
          <w:rFonts w:ascii="Century Gothic" w:hAnsi="Century Gothic"/>
          <w:noProof/>
          <w:lang w:val="es-ES" w:eastAsia="es-ES"/>
        </w:rPr>
        <w:drawing>
          <wp:inline distT="0" distB="0" distL="0" distR="0" wp14:anchorId="16EC82BA" wp14:editId="0B2B0E69">
            <wp:extent cx="5612130" cy="1755321"/>
            <wp:effectExtent l="0" t="0" r="762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t="6927" b="1"/>
                    <a:stretch/>
                  </pic:blipFill>
                  <pic:spPr bwMode="auto">
                    <a:xfrm>
                      <a:off x="0" y="0"/>
                      <a:ext cx="5612130" cy="1755321"/>
                    </a:xfrm>
                    <a:prstGeom prst="rect">
                      <a:avLst/>
                    </a:prstGeom>
                    <a:noFill/>
                    <a:ln>
                      <a:noFill/>
                    </a:ln>
                    <a:extLst>
                      <a:ext uri="{53640926-AAD7-44D8-BBD7-CCE9431645EC}">
                        <a14:shadowObscured xmlns:a14="http://schemas.microsoft.com/office/drawing/2010/main"/>
                      </a:ext>
                    </a:extLst>
                  </pic:spPr>
                </pic:pic>
              </a:graphicData>
            </a:graphic>
          </wp:inline>
        </w:drawing>
      </w:r>
    </w:p>
    <w:p w14:paraId="4B2D466B" w14:textId="7312564C" w:rsidR="00CE6DD2" w:rsidRPr="0098372B" w:rsidRDefault="00CE6DD2" w:rsidP="00CE6DD2">
      <w:pPr>
        <w:jc w:val="center"/>
        <w:rPr>
          <w:rFonts w:ascii="Century Gothic" w:hAnsi="Century Gothic"/>
          <w:sz w:val="20"/>
          <w:lang w:val="es-ES"/>
        </w:rPr>
      </w:pPr>
      <w:r w:rsidRPr="0098372B">
        <w:rPr>
          <w:rFonts w:ascii="Century Gothic" w:hAnsi="Century Gothic"/>
          <w:sz w:val="20"/>
          <w:lang w:val="es-ES"/>
        </w:rPr>
        <w:t>Fuent</w:t>
      </w:r>
      <w:r w:rsidR="00A1717F" w:rsidRPr="0098372B">
        <w:rPr>
          <w:rFonts w:ascii="Century Gothic" w:hAnsi="Century Gothic"/>
          <w:sz w:val="20"/>
          <w:lang w:val="es-ES"/>
        </w:rPr>
        <w:t>e: Secretaría de Hacienda, 2018</w:t>
      </w:r>
    </w:p>
    <w:p w14:paraId="51FFA791" w14:textId="5DB91F02" w:rsidR="0014662F" w:rsidRPr="00BD6743" w:rsidRDefault="0014662F" w:rsidP="0014662F">
      <w:pPr>
        <w:jc w:val="both"/>
        <w:rPr>
          <w:rFonts w:ascii="Century Gothic" w:hAnsi="Century Gothic"/>
          <w:lang w:val="es-ES"/>
        </w:rPr>
      </w:pPr>
      <w:r w:rsidRPr="00BD6743">
        <w:rPr>
          <w:rFonts w:ascii="Century Gothic" w:hAnsi="Century Gothic"/>
          <w:lang w:val="es-ES"/>
        </w:rPr>
        <w:t>El Instituto Municipal de la Reforma Urbana y Vivienda de Pasto</w:t>
      </w:r>
      <w:r w:rsidR="0041201B" w:rsidRPr="00BD6743">
        <w:rPr>
          <w:rFonts w:ascii="Century Gothic" w:hAnsi="Century Gothic"/>
          <w:lang w:val="es-ES"/>
        </w:rPr>
        <w:t xml:space="preserve"> –</w:t>
      </w:r>
      <w:r w:rsidRPr="00BD6743">
        <w:rPr>
          <w:rFonts w:ascii="Century Gothic" w:hAnsi="Century Gothic"/>
          <w:lang w:val="es-ES"/>
        </w:rPr>
        <w:t xml:space="preserve"> INVIPASTO, es la entidad encargada de coordinar la política de vivienda del </w:t>
      </w:r>
      <w:r w:rsidR="0041201B" w:rsidRPr="00BD6743">
        <w:rPr>
          <w:rFonts w:ascii="Century Gothic" w:hAnsi="Century Gothic"/>
          <w:lang w:val="es-ES"/>
        </w:rPr>
        <w:t>m</w:t>
      </w:r>
      <w:r w:rsidR="0098372B" w:rsidRPr="00BD6743">
        <w:rPr>
          <w:rFonts w:ascii="Century Gothic" w:hAnsi="Century Gothic"/>
          <w:lang w:val="es-ES"/>
        </w:rPr>
        <w:t>unicipio de Pasto; l</w:t>
      </w:r>
      <w:r w:rsidRPr="00BD6743">
        <w:rPr>
          <w:rFonts w:ascii="Century Gothic" w:hAnsi="Century Gothic"/>
          <w:lang w:val="es-ES"/>
        </w:rPr>
        <w:t>os ingresos obtenidos durante la vigencia 2017</w:t>
      </w:r>
      <w:r w:rsidR="0041201B" w:rsidRPr="00BD6743">
        <w:rPr>
          <w:rFonts w:ascii="Century Gothic" w:hAnsi="Century Gothic"/>
          <w:lang w:val="es-ES"/>
        </w:rPr>
        <w:t>,</w:t>
      </w:r>
      <w:r w:rsidRPr="00BD6743">
        <w:rPr>
          <w:rFonts w:ascii="Century Gothic" w:hAnsi="Century Gothic"/>
          <w:lang w:val="es-ES"/>
        </w:rPr>
        <w:t xml:space="preserve"> a</w:t>
      </w:r>
      <w:r w:rsidR="0041201B" w:rsidRPr="00BD6743">
        <w:rPr>
          <w:rFonts w:ascii="Century Gothic" w:hAnsi="Century Gothic"/>
          <w:lang w:val="es-ES"/>
        </w:rPr>
        <w:t xml:space="preserve">scendieron a </w:t>
      </w:r>
      <w:r w:rsidRPr="00BD6743">
        <w:rPr>
          <w:rFonts w:ascii="Century Gothic" w:hAnsi="Century Gothic"/>
          <w:lang w:val="es-ES"/>
        </w:rPr>
        <w:t>la suma de $349 millones con una ejecución del 56,7</w:t>
      </w:r>
      <w:r w:rsidR="00887EF9" w:rsidRPr="00BD6743">
        <w:rPr>
          <w:rFonts w:ascii="Century Gothic" w:hAnsi="Century Gothic"/>
          <w:lang w:val="es-ES"/>
        </w:rPr>
        <w:t xml:space="preserve"> por ciento</w:t>
      </w:r>
      <w:r w:rsidR="0041201B" w:rsidRPr="00BD6743">
        <w:rPr>
          <w:rFonts w:ascii="Century Gothic" w:hAnsi="Century Gothic"/>
          <w:lang w:val="es-ES"/>
        </w:rPr>
        <w:t>;</w:t>
      </w:r>
      <w:r w:rsidRPr="00BD6743">
        <w:rPr>
          <w:rFonts w:ascii="Century Gothic" w:hAnsi="Century Gothic"/>
          <w:lang w:val="es-ES"/>
        </w:rPr>
        <w:t xml:space="preserve"> en el presupuesto de gastos se refleja en el sector vivienda un mayor</w:t>
      </w:r>
      <w:r w:rsidR="009E3AB7" w:rsidRPr="00BD6743">
        <w:rPr>
          <w:rFonts w:ascii="Century Gothic" w:hAnsi="Century Gothic"/>
          <w:lang w:val="es-ES"/>
        </w:rPr>
        <w:t xml:space="preserve"> </w:t>
      </w:r>
      <w:r w:rsidR="00BD6743" w:rsidRPr="00BD6743">
        <w:rPr>
          <w:rFonts w:ascii="Century Gothic" w:hAnsi="Century Gothic"/>
          <w:lang w:val="es-ES"/>
        </w:rPr>
        <w:t xml:space="preserve">valor </w:t>
      </w:r>
      <w:r w:rsidR="009E3AB7" w:rsidRPr="00BD6743">
        <w:rPr>
          <w:rFonts w:ascii="Century Gothic" w:hAnsi="Century Gothic"/>
          <w:lang w:val="es-ES"/>
        </w:rPr>
        <w:t xml:space="preserve">en ejecución, esto es, porque </w:t>
      </w:r>
      <w:r w:rsidRPr="00BD6743">
        <w:rPr>
          <w:rFonts w:ascii="Century Gothic" w:hAnsi="Century Gothic"/>
          <w:lang w:val="es-ES"/>
        </w:rPr>
        <w:t xml:space="preserve">mediante acuerdo del Concejo Municipal se </w:t>
      </w:r>
      <w:r w:rsidR="0041201B" w:rsidRPr="00BD6743">
        <w:rPr>
          <w:rFonts w:ascii="Century Gothic" w:hAnsi="Century Gothic"/>
          <w:lang w:val="es-ES"/>
        </w:rPr>
        <w:t xml:space="preserve">estableció </w:t>
      </w:r>
      <w:r w:rsidRPr="00BD6743">
        <w:rPr>
          <w:rFonts w:ascii="Century Gothic" w:hAnsi="Century Gothic"/>
          <w:lang w:val="es-ES"/>
        </w:rPr>
        <w:t>que el 8</w:t>
      </w:r>
      <w:r w:rsidR="00887EF9" w:rsidRPr="00BD6743">
        <w:rPr>
          <w:rFonts w:ascii="Century Gothic" w:hAnsi="Century Gothic"/>
          <w:lang w:val="es-ES"/>
        </w:rPr>
        <w:t xml:space="preserve"> por ciento</w:t>
      </w:r>
      <w:r w:rsidRPr="00BD6743">
        <w:rPr>
          <w:rFonts w:ascii="Century Gothic" w:hAnsi="Century Gothic"/>
          <w:lang w:val="es-ES"/>
        </w:rPr>
        <w:t xml:space="preserve"> del recaudo </w:t>
      </w:r>
      <w:r w:rsidR="0041201B" w:rsidRPr="00BD6743">
        <w:rPr>
          <w:rFonts w:ascii="Century Gothic" w:hAnsi="Century Gothic"/>
          <w:lang w:val="es-ES"/>
        </w:rPr>
        <w:t>del impuesto predial unificado</w:t>
      </w:r>
      <w:r w:rsidRPr="00BD6743">
        <w:rPr>
          <w:rFonts w:ascii="Century Gothic" w:hAnsi="Century Gothic"/>
          <w:lang w:val="es-ES"/>
        </w:rPr>
        <w:t xml:space="preserve"> se </w:t>
      </w:r>
      <w:r w:rsidR="0041201B" w:rsidRPr="00BD6743">
        <w:rPr>
          <w:rFonts w:ascii="Century Gothic" w:hAnsi="Century Gothic"/>
          <w:lang w:val="es-ES"/>
        </w:rPr>
        <w:t>debe transf</w:t>
      </w:r>
      <w:r w:rsidRPr="00BD6743">
        <w:rPr>
          <w:rFonts w:ascii="Century Gothic" w:hAnsi="Century Gothic"/>
          <w:lang w:val="es-ES"/>
        </w:rPr>
        <w:t>er</w:t>
      </w:r>
      <w:r w:rsidR="0041201B" w:rsidRPr="00BD6743">
        <w:rPr>
          <w:rFonts w:ascii="Century Gothic" w:hAnsi="Century Gothic"/>
          <w:lang w:val="es-ES"/>
        </w:rPr>
        <w:t>ir</w:t>
      </w:r>
      <w:r w:rsidRPr="00BD6743">
        <w:rPr>
          <w:rFonts w:ascii="Century Gothic" w:hAnsi="Century Gothic"/>
          <w:lang w:val="es-ES"/>
        </w:rPr>
        <w:t xml:space="preserve"> a este Establecimiento para financiar la política de </w:t>
      </w:r>
      <w:r w:rsidR="0041201B" w:rsidRPr="00BD6743">
        <w:rPr>
          <w:rFonts w:ascii="Century Gothic" w:hAnsi="Century Gothic"/>
          <w:lang w:val="es-ES"/>
        </w:rPr>
        <w:t>v</w:t>
      </w:r>
      <w:r w:rsidRPr="00BD6743">
        <w:rPr>
          <w:rFonts w:ascii="Century Gothic" w:hAnsi="Century Gothic"/>
          <w:lang w:val="es-ES"/>
        </w:rPr>
        <w:t>ivienda del Municipio.</w:t>
      </w:r>
    </w:p>
    <w:p w14:paraId="57CC5565" w14:textId="337BF598" w:rsidR="0014662F" w:rsidRPr="00BD6743" w:rsidRDefault="0041201B" w:rsidP="0014662F">
      <w:pPr>
        <w:jc w:val="both"/>
        <w:rPr>
          <w:rFonts w:ascii="Century Gothic" w:hAnsi="Century Gothic"/>
          <w:lang w:val="es-ES"/>
        </w:rPr>
      </w:pPr>
      <w:r w:rsidRPr="00BD6743">
        <w:rPr>
          <w:rFonts w:ascii="Century Gothic" w:hAnsi="Century Gothic"/>
          <w:lang w:val="es-ES"/>
        </w:rPr>
        <w:t>Por su parte, e</w:t>
      </w:r>
      <w:r w:rsidR="0014662F" w:rsidRPr="00BD6743">
        <w:rPr>
          <w:rFonts w:ascii="Century Gothic" w:hAnsi="Century Gothic"/>
          <w:lang w:val="es-ES"/>
        </w:rPr>
        <w:t xml:space="preserve">l Instituto </w:t>
      </w:r>
      <w:r w:rsidRPr="00BD6743">
        <w:rPr>
          <w:rFonts w:ascii="Century Gothic" w:hAnsi="Century Gothic"/>
          <w:lang w:val="es-ES"/>
        </w:rPr>
        <w:t xml:space="preserve">Municipal de Deportes – </w:t>
      </w:r>
      <w:r w:rsidR="0014662F" w:rsidRPr="00BD6743">
        <w:rPr>
          <w:rFonts w:ascii="Century Gothic" w:hAnsi="Century Gothic"/>
          <w:lang w:val="es-ES"/>
        </w:rPr>
        <w:t>Pasto Deportes</w:t>
      </w:r>
      <w:r w:rsidRPr="00BD6743">
        <w:rPr>
          <w:rFonts w:ascii="Century Gothic" w:hAnsi="Century Gothic"/>
          <w:lang w:val="es-ES"/>
        </w:rPr>
        <w:t>,</w:t>
      </w:r>
      <w:r w:rsidR="0014662F" w:rsidRPr="00BD6743">
        <w:rPr>
          <w:rFonts w:ascii="Century Gothic" w:hAnsi="Century Gothic"/>
          <w:lang w:val="es-ES"/>
        </w:rPr>
        <w:t xml:space="preserve"> es un establecimiento público del orden municipal, con autonomía administrativa, personería jurídica y patrimonio</w:t>
      </w:r>
      <w:r w:rsidR="003F6DF4" w:rsidRPr="00BD6743">
        <w:rPr>
          <w:rFonts w:ascii="Century Gothic" w:hAnsi="Century Gothic"/>
          <w:lang w:val="es-ES"/>
        </w:rPr>
        <w:t xml:space="preserve"> independiente. Integrante del Sistema N</w:t>
      </w:r>
      <w:r w:rsidR="0014662F" w:rsidRPr="00BD6743">
        <w:rPr>
          <w:rFonts w:ascii="Century Gothic" w:hAnsi="Century Gothic"/>
          <w:lang w:val="es-ES"/>
        </w:rPr>
        <w:t xml:space="preserve">acional del </w:t>
      </w:r>
      <w:r w:rsidR="003F6DF4" w:rsidRPr="00BD6743">
        <w:rPr>
          <w:rFonts w:ascii="Century Gothic" w:hAnsi="Century Gothic"/>
          <w:lang w:val="es-ES"/>
        </w:rPr>
        <w:t>D</w:t>
      </w:r>
      <w:r w:rsidR="0014662F" w:rsidRPr="00BD6743">
        <w:rPr>
          <w:rFonts w:ascii="Century Gothic" w:hAnsi="Century Gothic"/>
          <w:lang w:val="es-ES"/>
        </w:rPr>
        <w:t>eporte y ejecutor del Pl</w:t>
      </w:r>
      <w:r w:rsidR="003F6DF4" w:rsidRPr="00BD6743">
        <w:rPr>
          <w:rFonts w:ascii="Century Gothic" w:hAnsi="Century Gothic"/>
          <w:lang w:val="es-ES"/>
        </w:rPr>
        <w:t>an N</w:t>
      </w:r>
      <w:r w:rsidR="0014662F" w:rsidRPr="00BD6743">
        <w:rPr>
          <w:rFonts w:ascii="Century Gothic" w:hAnsi="Century Gothic"/>
          <w:lang w:val="es-ES"/>
        </w:rPr>
        <w:t xml:space="preserve">acional del Deporte, la Recreación y la Educación Física, en los </w:t>
      </w:r>
      <w:r w:rsidR="00BD6743" w:rsidRPr="00BD6743">
        <w:rPr>
          <w:rFonts w:ascii="Century Gothic" w:hAnsi="Century Gothic"/>
          <w:lang w:val="es-ES"/>
        </w:rPr>
        <w:t>términos de la Ley del Deporte</w:t>
      </w:r>
      <w:r w:rsidR="0014662F" w:rsidRPr="00BD6743">
        <w:rPr>
          <w:rFonts w:ascii="Century Gothic" w:hAnsi="Century Gothic"/>
          <w:lang w:val="es-ES"/>
        </w:rPr>
        <w:t xml:space="preserve">. Los ingresos recaudados </w:t>
      </w:r>
      <w:r w:rsidR="003F6DF4" w:rsidRPr="00BD6743">
        <w:rPr>
          <w:rFonts w:ascii="Century Gothic" w:hAnsi="Century Gothic"/>
          <w:lang w:val="es-ES"/>
        </w:rPr>
        <w:t xml:space="preserve">alcanzaron los 329 </w:t>
      </w:r>
      <w:r w:rsidR="0014662F" w:rsidRPr="00BD6743">
        <w:rPr>
          <w:rFonts w:ascii="Century Gothic" w:hAnsi="Century Gothic"/>
          <w:lang w:val="es-ES"/>
        </w:rPr>
        <w:t>millones, correspondientes a tasas como arrendamientos y al 15</w:t>
      </w:r>
      <w:r w:rsidR="00887EF9" w:rsidRPr="00BD6743">
        <w:rPr>
          <w:rFonts w:ascii="Century Gothic" w:hAnsi="Century Gothic"/>
          <w:lang w:val="es-ES"/>
        </w:rPr>
        <w:t xml:space="preserve"> por ciento</w:t>
      </w:r>
      <w:r w:rsidR="0014662F" w:rsidRPr="00BD6743">
        <w:rPr>
          <w:rFonts w:ascii="Century Gothic" w:hAnsi="Century Gothic"/>
          <w:lang w:val="es-ES"/>
        </w:rPr>
        <w:t xml:space="preserve"> por venta de boletería </w:t>
      </w:r>
      <w:r w:rsidR="007B3CE4" w:rsidRPr="00BD6743">
        <w:rPr>
          <w:rFonts w:ascii="Century Gothic" w:hAnsi="Century Gothic"/>
          <w:lang w:val="es-ES"/>
        </w:rPr>
        <w:t>d</w:t>
      </w:r>
      <w:r w:rsidR="0014662F" w:rsidRPr="00BD6743">
        <w:rPr>
          <w:rFonts w:ascii="Century Gothic" w:hAnsi="Century Gothic"/>
          <w:lang w:val="es-ES"/>
        </w:rPr>
        <w:t xml:space="preserve">el Deportivo Pasto. </w:t>
      </w:r>
      <w:r w:rsidR="007B3CE4" w:rsidRPr="00BD6743">
        <w:rPr>
          <w:rFonts w:ascii="Century Gothic" w:hAnsi="Century Gothic"/>
          <w:lang w:val="es-ES"/>
        </w:rPr>
        <w:t xml:space="preserve">Para el cumplimiento de </w:t>
      </w:r>
      <w:r w:rsidR="0014662F" w:rsidRPr="00BD6743">
        <w:rPr>
          <w:rFonts w:ascii="Century Gothic" w:hAnsi="Century Gothic"/>
          <w:lang w:val="es-ES"/>
        </w:rPr>
        <w:t xml:space="preserve">las metas del Plan de Desarrollo </w:t>
      </w:r>
      <w:r w:rsidR="007B3CE4" w:rsidRPr="00BD6743">
        <w:rPr>
          <w:rFonts w:ascii="Century Gothic" w:hAnsi="Century Gothic"/>
          <w:lang w:val="es-ES"/>
        </w:rPr>
        <w:t>Municipal que están bajo la responsabilidad</w:t>
      </w:r>
      <w:r w:rsidR="0014662F" w:rsidRPr="00BD6743">
        <w:rPr>
          <w:rFonts w:ascii="Century Gothic" w:hAnsi="Century Gothic"/>
          <w:lang w:val="es-ES"/>
        </w:rPr>
        <w:t xml:space="preserve"> de </w:t>
      </w:r>
      <w:r w:rsidR="007B3CE4" w:rsidRPr="00BD6743">
        <w:rPr>
          <w:rFonts w:ascii="Century Gothic" w:hAnsi="Century Gothic"/>
          <w:lang w:val="es-ES"/>
        </w:rPr>
        <w:t xml:space="preserve">este establecimiento, </w:t>
      </w:r>
      <w:r w:rsidR="0014662F" w:rsidRPr="00BD6743">
        <w:rPr>
          <w:rFonts w:ascii="Century Gothic" w:hAnsi="Century Gothic"/>
          <w:lang w:val="es-ES"/>
        </w:rPr>
        <w:t>la administración municipal suscrib</w:t>
      </w:r>
      <w:r w:rsidR="00BD6743">
        <w:rPr>
          <w:rFonts w:ascii="Century Gothic" w:hAnsi="Century Gothic"/>
          <w:lang w:val="es-ES"/>
        </w:rPr>
        <w:t xml:space="preserve">ió </w:t>
      </w:r>
      <w:r w:rsidR="007B3CE4" w:rsidRPr="00BD6743">
        <w:rPr>
          <w:rFonts w:ascii="Century Gothic" w:hAnsi="Century Gothic"/>
          <w:lang w:val="es-ES"/>
        </w:rPr>
        <w:t xml:space="preserve">un </w:t>
      </w:r>
      <w:r w:rsidR="0014662F" w:rsidRPr="00BD6743">
        <w:rPr>
          <w:rFonts w:ascii="Century Gothic" w:hAnsi="Century Gothic"/>
          <w:lang w:val="es-ES"/>
        </w:rPr>
        <w:t>convenio para la ejecución de las diferentes actividades.</w:t>
      </w:r>
    </w:p>
    <w:p w14:paraId="1B6115F1" w14:textId="03810C17" w:rsidR="00CE6DD2" w:rsidRPr="001E2110" w:rsidRDefault="0014662F" w:rsidP="0014662F">
      <w:pPr>
        <w:jc w:val="both"/>
        <w:rPr>
          <w:rFonts w:ascii="Century Gothic" w:hAnsi="Century Gothic"/>
          <w:highlight w:val="yellow"/>
          <w:lang w:val="es-ES"/>
        </w:rPr>
      </w:pPr>
      <w:r w:rsidRPr="00BD6743">
        <w:rPr>
          <w:rFonts w:ascii="Century Gothic" w:hAnsi="Century Gothic"/>
          <w:lang w:val="es-ES"/>
        </w:rPr>
        <w:t>Finalmente</w:t>
      </w:r>
      <w:r w:rsidR="007B3CE4" w:rsidRPr="00BD6743">
        <w:rPr>
          <w:rFonts w:ascii="Century Gothic" w:hAnsi="Century Gothic"/>
          <w:lang w:val="es-ES"/>
        </w:rPr>
        <w:t>,</w:t>
      </w:r>
      <w:r w:rsidRPr="00BD6743">
        <w:rPr>
          <w:rFonts w:ascii="Century Gothic" w:hAnsi="Century Gothic"/>
          <w:lang w:val="es-ES"/>
        </w:rPr>
        <w:t xml:space="preserve"> está la Unidad Administrativa Especial del Sistema Estratégico de Transporte Público </w:t>
      </w:r>
      <w:r w:rsidR="00486F2C" w:rsidRPr="00BD6743">
        <w:rPr>
          <w:rFonts w:ascii="Century Gothic" w:hAnsi="Century Gothic"/>
          <w:lang w:val="es-ES"/>
        </w:rPr>
        <w:t xml:space="preserve">– </w:t>
      </w:r>
      <w:r w:rsidRPr="00BD6743">
        <w:rPr>
          <w:rFonts w:ascii="Century Gothic" w:hAnsi="Century Gothic"/>
          <w:lang w:val="es-ES"/>
        </w:rPr>
        <w:t>AVANTE, su función es planear, coordinar, gestionar, desarrollar e implementar la infraestructura y operación del Sistema Estratégico de Transporte Público de pa</w:t>
      </w:r>
      <w:r w:rsidR="00BD6743" w:rsidRPr="00BD6743">
        <w:rPr>
          <w:rFonts w:ascii="Century Gothic" w:hAnsi="Century Gothic"/>
          <w:lang w:val="es-ES"/>
        </w:rPr>
        <w:t>sajeros para la ciudad de Pasto</w:t>
      </w:r>
      <w:r w:rsidRPr="00BD6743">
        <w:rPr>
          <w:rFonts w:ascii="Century Gothic" w:hAnsi="Century Gothic"/>
          <w:lang w:val="es-ES"/>
        </w:rPr>
        <w:t>. Los ingresos corresponden a los giros que realiza la Nación para cofinanciar el Sistema, los recursos ascendiero</w:t>
      </w:r>
      <w:r w:rsidR="009E3AB7" w:rsidRPr="00BD6743">
        <w:rPr>
          <w:rFonts w:ascii="Century Gothic" w:hAnsi="Century Gothic"/>
          <w:lang w:val="es-ES"/>
        </w:rPr>
        <w:t xml:space="preserve">n a una apropiación definitiva </w:t>
      </w:r>
      <w:r w:rsidR="00486F2C" w:rsidRPr="00BD6743">
        <w:rPr>
          <w:rFonts w:ascii="Century Gothic" w:hAnsi="Century Gothic"/>
          <w:lang w:val="es-ES"/>
        </w:rPr>
        <w:t>de</w:t>
      </w:r>
      <w:r w:rsidRPr="00BD6743">
        <w:rPr>
          <w:rFonts w:ascii="Century Gothic" w:hAnsi="Century Gothic"/>
          <w:lang w:val="es-ES"/>
        </w:rPr>
        <w:t xml:space="preserve"> $37</w:t>
      </w:r>
      <w:r w:rsidR="009E3AB7" w:rsidRPr="00BD6743">
        <w:rPr>
          <w:rFonts w:ascii="Century Gothic" w:hAnsi="Century Gothic"/>
          <w:lang w:val="es-ES"/>
        </w:rPr>
        <w:t>.</w:t>
      </w:r>
      <w:r w:rsidRPr="00BD6743">
        <w:rPr>
          <w:rFonts w:ascii="Century Gothic" w:hAnsi="Century Gothic"/>
          <w:lang w:val="es-ES"/>
        </w:rPr>
        <w:t>051</w:t>
      </w:r>
      <w:r w:rsidR="00BD6743">
        <w:rPr>
          <w:rFonts w:ascii="Century Gothic" w:hAnsi="Century Gothic"/>
          <w:lang w:val="es-ES"/>
        </w:rPr>
        <w:t xml:space="preserve"> millones</w:t>
      </w:r>
      <w:r w:rsidRPr="00BD6743">
        <w:rPr>
          <w:rFonts w:ascii="Century Gothic" w:hAnsi="Century Gothic"/>
          <w:lang w:val="es-ES"/>
        </w:rPr>
        <w:t>.</w:t>
      </w:r>
    </w:p>
    <w:p w14:paraId="7693868E" w14:textId="1DC61649" w:rsidR="00BC5A58" w:rsidRPr="00BD6743" w:rsidRDefault="00311E14" w:rsidP="009931F5">
      <w:pPr>
        <w:pStyle w:val="Ttulo2"/>
        <w:rPr>
          <w:szCs w:val="22"/>
          <w:lang w:val="es-ES"/>
        </w:rPr>
      </w:pPr>
      <w:bookmarkStart w:id="32" w:name="_Toc532565923"/>
      <w:r w:rsidRPr="00BD6743">
        <w:rPr>
          <w:szCs w:val="22"/>
          <w:lang w:val="es-ES"/>
        </w:rPr>
        <w:lastRenderedPageBreak/>
        <w:t xml:space="preserve">Ejecución </w:t>
      </w:r>
      <w:r w:rsidR="00775748" w:rsidRPr="00BD6743">
        <w:rPr>
          <w:szCs w:val="22"/>
          <w:lang w:val="es-ES"/>
        </w:rPr>
        <w:t>de</w:t>
      </w:r>
      <w:r w:rsidRPr="00BD6743">
        <w:rPr>
          <w:szCs w:val="22"/>
          <w:lang w:val="es-ES"/>
        </w:rPr>
        <w:t xml:space="preserve"> gastos </w:t>
      </w:r>
      <w:r w:rsidR="00CE6DD2" w:rsidRPr="00BD6743">
        <w:rPr>
          <w:szCs w:val="22"/>
          <w:lang w:val="es-ES"/>
        </w:rPr>
        <w:t>201</w:t>
      </w:r>
      <w:r w:rsidR="0014662F" w:rsidRPr="00BD6743">
        <w:rPr>
          <w:szCs w:val="22"/>
          <w:lang w:val="es-ES"/>
        </w:rPr>
        <w:t>7</w:t>
      </w:r>
      <w:bookmarkEnd w:id="32"/>
    </w:p>
    <w:p w14:paraId="149DE4C8" w14:textId="088B2568" w:rsidR="00D515A6" w:rsidRPr="00BD6743" w:rsidRDefault="0014662F" w:rsidP="009931F5">
      <w:pPr>
        <w:jc w:val="both"/>
        <w:rPr>
          <w:rFonts w:ascii="Century Gothic" w:hAnsi="Century Gothic"/>
          <w:lang w:val="es-ES"/>
        </w:rPr>
      </w:pPr>
      <w:r w:rsidRPr="00BD6743">
        <w:rPr>
          <w:rFonts w:ascii="Century Gothic" w:hAnsi="Century Gothic"/>
          <w:lang w:val="es-ES"/>
        </w:rPr>
        <w:t xml:space="preserve">El </w:t>
      </w:r>
      <w:r w:rsidR="00486F2C" w:rsidRPr="00BD6743">
        <w:rPr>
          <w:rFonts w:ascii="Century Gothic" w:hAnsi="Century Gothic"/>
          <w:lang w:val="es-ES"/>
        </w:rPr>
        <w:t>m</w:t>
      </w:r>
      <w:r w:rsidRPr="00BD6743">
        <w:rPr>
          <w:rFonts w:ascii="Century Gothic" w:hAnsi="Century Gothic"/>
          <w:lang w:val="es-ES"/>
        </w:rPr>
        <w:t xml:space="preserve">unicipio de Pasto se ha caracterizado por presentar un presupuesto </w:t>
      </w:r>
      <w:r w:rsidR="00EF6FEF" w:rsidRPr="00BD6743">
        <w:rPr>
          <w:rFonts w:ascii="Century Gothic" w:hAnsi="Century Gothic"/>
          <w:lang w:val="es-ES"/>
        </w:rPr>
        <w:t>equilibrado,</w:t>
      </w:r>
      <w:r w:rsidRPr="00BD6743">
        <w:rPr>
          <w:rFonts w:ascii="Century Gothic" w:hAnsi="Century Gothic"/>
          <w:lang w:val="es-ES"/>
        </w:rPr>
        <w:t xml:space="preserve"> por tanto, el valor apropiado en gastos inicialmente alcanzó $671.947 millones, </w:t>
      </w:r>
      <w:r w:rsidR="00BD6743" w:rsidRPr="00BD6743">
        <w:rPr>
          <w:rFonts w:ascii="Century Gothic" w:hAnsi="Century Gothic"/>
          <w:lang w:val="es-ES"/>
        </w:rPr>
        <w:t xml:space="preserve">al finalizar la vigencia se logró </w:t>
      </w:r>
      <w:r w:rsidRPr="00BD6743">
        <w:rPr>
          <w:rFonts w:ascii="Century Gothic" w:hAnsi="Century Gothic"/>
          <w:lang w:val="es-ES"/>
        </w:rPr>
        <w:t xml:space="preserve">un presupuesto definitivo </w:t>
      </w:r>
      <w:r w:rsidR="00BD6743" w:rsidRPr="00BD6743">
        <w:rPr>
          <w:rFonts w:ascii="Century Gothic" w:hAnsi="Century Gothic"/>
          <w:lang w:val="es-ES"/>
        </w:rPr>
        <w:t xml:space="preserve">de </w:t>
      </w:r>
      <w:r w:rsidRPr="00BD6743">
        <w:rPr>
          <w:rFonts w:ascii="Century Gothic" w:hAnsi="Century Gothic"/>
          <w:lang w:val="es-ES"/>
        </w:rPr>
        <w:t>$748.805 millones</w:t>
      </w:r>
      <w:r w:rsidR="00EF6FEF" w:rsidRPr="00BD6743">
        <w:rPr>
          <w:rFonts w:ascii="Century Gothic" w:hAnsi="Century Gothic"/>
          <w:lang w:val="es-ES"/>
        </w:rPr>
        <w:t>,</w:t>
      </w:r>
      <w:r w:rsidRPr="00BD6743">
        <w:rPr>
          <w:rFonts w:ascii="Century Gothic" w:hAnsi="Century Gothic"/>
          <w:lang w:val="es-ES"/>
        </w:rPr>
        <w:t xml:space="preserve"> con un crecimiento frente al inicial del 11</w:t>
      </w:r>
      <w:r w:rsidR="00887EF9" w:rsidRPr="00BD6743">
        <w:rPr>
          <w:rFonts w:ascii="Century Gothic" w:hAnsi="Century Gothic"/>
          <w:lang w:val="es-ES"/>
        </w:rPr>
        <w:t xml:space="preserve"> por ciento</w:t>
      </w:r>
      <w:r w:rsidRPr="00BD6743">
        <w:rPr>
          <w:rFonts w:ascii="Century Gothic" w:hAnsi="Century Gothic"/>
          <w:lang w:val="es-ES"/>
        </w:rPr>
        <w:t>, de este valor se comprometió 80,3</w:t>
      </w:r>
      <w:r w:rsidR="00887EF9" w:rsidRPr="00BD6743">
        <w:rPr>
          <w:rFonts w:ascii="Century Gothic" w:hAnsi="Century Gothic"/>
          <w:lang w:val="es-ES"/>
        </w:rPr>
        <w:t xml:space="preserve"> por ciento</w:t>
      </w:r>
      <w:r w:rsidRPr="00BD6743">
        <w:rPr>
          <w:rFonts w:ascii="Century Gothic" w:hAnsi="Century Gothic"/>
          <w:lang w:val="es-ES"/>
        </w:rPr>
        <w:t>, se obligaron $581.930 millones.</w:t>
      </w:r>
    </w:p>
    <w:p w14:paraId="2F96C54C" w14:textId="19A1EE74" w:rsidR="00D17CF8" w:rsidRPr="00BD6743" w:rsidRDefault="00D17CF8" w:rsidP="00CE6F25">
      <w:pPr>
        <w:pStyle w:val="Epgrafe"/>
        <w:spacing w:after="0" w:line="276" w:lineRule="auto"/>
        <w:jc w:val="center"/>
        <w:rPr>
          <w:rFonts w:ascii="Century Gothic" w:hAnsi="Century Gothic"/>
          <w:b w:val="0"/>
          <w:color w:val="auto"/>
          <w:sz w:val="22"/>
          <w:lang w:val="es-ES"/>
        </w:rPr>
      </w:pPr>
      <w:bookmarkStart w:id="33" w:name="_Toc532570512"/>
      <w:r w:rsidRPr="00BD6743">
        <w:rPr>
          <w:rFonts w:ascii="Century Gothic" w:hAnsi="Century Gothic"/>
          <w:b w:val="0"/>
          <w:color w:val="auto"/>
          <w:sz w:val="22"/>
          <w:lang w:val="es-ES"/>
        </w:rPr>
        <w:t xml:space="preserve">Tabla </w:t>
      </w:r>
      <w:r w:rsidR="00A83A24" w:rsidRPr="00BD6743">
        <w:rPr>
          <w:rFonts w:ascii="Century Gothic" w:hAnsi="Century Gothic"/>
          <w:b w:val="0"/>
          <w:color w:val="auto"/>
          <w:sz w:val="22"/>
          <w:lang w:val="es-ES"/>
        </w:rPr>
        <w:fldChar w:fldCharType="begin"/>
      </w:r>
      <w:r w:rsidRPr="00BD6743">
        <w:rPr>
          <w:rFonts w:ascii="Century Gothic" w:hAnsi="Century Gothic"/>
          <w:b w:val="0"/>
          <w:color w:val="auto"/>
          <w:sz w:val="22"/>
          <w:lang w:val="es-ES"/>
        </w:rPr>
        <w:instrText xml:space="preserve"> SEQ Tabla \* ARABIC </w:instrText>
      </w:r>
      <w:r w:rsidR="00A83A24" w:rsidRPr="00BD6743">
        <w:rPr>
          <w:rFonts w:ascii="Century Gothic" w:hAnsi="Century Gothic"/>
          <w:b w:val="0"/>
          <w:color w:val="auto"/>
          <w:sz w:val="22"/>
          <w:lang w:val="es-ES"/>
        </w:rPr>
        <w:fldChar w:fldCharType="separate"/>
      </w:r>
      <w:r w:rsidR="00934BA3">
        <w:rPr>
          <w:rFonts w:ascii="Century Gothic" w:hAnsi="Century Gothic"/>
          <w:b w:val="0"/>
          <w:noProof/>
          <w:color w:val="auto"/>
          <w:sz w:val="22"/>
          <w:lang w:val="es-ES"/>
        </w:rPr>
        <w:t>21</w:t>
      </w:r>
      <w:r w:rsidR="00A83A24" w:rsidRPr="00BD6743">
        <w:rPr>
          <w:rFonts w:ascii="Century Gothic" w:hAnsi="Century Gothic"/>
          <w:b w:val="0"/>
          <w:color w:val="auto"/>
          <w:sz w:val="22"/>
          <w:lang w:val="es-ES"/>
        </w:rPr>
        <w:fldChar w:fldCharType="end"/>
      </w:r>
      <w:r w:rsidRPr="00BD6743">
        <w:rPr>
          <w:rFonts w:ascii="Century Gothic" w:hAnsi="Century Gothic"/>
          <w:b w:val="0"/>
          <w:color w:val="auto"/>
          <w:sz w:val="22"/>
          <w:lang w:val="es-ES"/>
        </w:rPr>
        <w:t xml:space="preserve">. </w:t>
      </w:r>
      <w:r w:rsidR="00264A69" w:rsidRPr="00BD6743">
        <w:rPr>
          <w:rFonts w:ascii="Century Gothic" w:hAnsi="Century Gothic"/>
          <w:b w:val="0"/>
          <w:color w:val="auto"/>
          <w:sz w:val="22"/>
          <w:lang w:val="es-ES"/>
        </w:rPr>
        <w:t>Composición de gastos 201</w:t>
      </w:r>
      <w:r w:rsidR="00DC15FE" w:rsidRPr="00BD6743">
        <w:rPr>
          <w:rFonts w:ascii="Century Gothic" w:hAnsi="Century Gothic"/>
          <w:b w:val="0"/>
          <w:color w:val="auto"/>
          <w:sz w:val="22"/>
          <w:lang w:val="es-ES"/>
        </w:rPr>
        <w:t>7</w:t>
      </w:r>
      <w:r w:rsidR="00264A69" w:rsidRPr="00BD6743">
        <w:rPr>
          <w:rFonts w:ascii="Century Gothic" w:hAnsi="Century Gothic"/>
          <w:b w:val="0"/>
          <w:color w:val="auto"/>
          <w:sz w:val="22"/>
          <w:lang w:val="es-ES"/>
        </w:rPr>
        <w:t xml:space="preserve"> </w:t>
      </w:r>
      <w:r w:rsidR="00DC15FE" w:rsidRPr="00BD6743">
        <w:rPr>
          <w:rFonts w:ascii="Century Gothic" w:hAnsi="Century Gothic"/>
          <w:b w:val="0"/>
          <w:color w:val="auto"/>
          <w:sz w:val="22"/>
          <w:lang w:val="es-ES"/>
        </w:rPr>
        <w:t>(</w:t>
      </w:r>
      <w:r w:rsidR="00264A69" w:rsidRPr="00BD6743">
        <w:rPr>
          <w:rFonts w:ascii="Century Gothic" w:hAnsi="Century Gothic"/>
          <w:b w:val="0"/>
          <w:color w:val="auto"/>
          <w:sz w:val="22"/>
          <w:lang w:val="es-ES"/>
        </w:rPr>
        <w:t>millones</w:t>
      </w:r>
      <w:r w:rsidR="00DC15FE" w:rsidRPr="00BD6743">
        <w:rPr>
          <w:rFonts w:ascii="Century Gothic" w:hAnsi="Century Gothic"/>
          <w:b w:val="0"/>
          <w:color w:val="auto"/>
          <w:sz w:val="22"/>
          <w:lang w:val="es-ES"/>
        </w:rPr>
        <w:t xml:space="preserve"> de pesos)</w:t>
      </w:r>
      <w:bookmarkEnd w:id="33"/>
    </w:p>
    <w:p w14:paraId="461BBA84" w14:textId="01F9A88A" w:rsidR="00264A69" w:rsidRPr="00BD6743" w:rsidRDefault="00CE6F25" w:rsidP="00CE6F25">
      <w:pPr>
        <w:spacing w:after="0"/>
        <w:rPr>
          <w:rFonts w:ascii="Century Gothic" w:hAnsi="Century Gothic"/>
          <w:lang w:val="es-ES"/>
        </w:rPr>
      </w:pPr>
      <w:r w:rsidRPr="00BD6743">
        <w:rPr>
          <w:rFonts w:ascii="Century Gothic" w:hAnsi="Century Gothic"/>
          <w:noProof/>
          <w:lang w:val="es-ES" w:eastAsia="es-ES"/>
        </w:rPr>
        <w:drawing>
          <wp:inline distT="0" distB="0" distL="0" distR="0" wp14:anchorId="61C35F91" wp14:editId="781B8C1E">
            <wp:extent cx="5612130" cy="1125855"/>
            <wp:effectExtent l="0" t="0" r="762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130" cy="1125855"/>
                    </a:xfrm>
                    <a:prstGeom prst="rect">
                      <a:avLst/>
                    </a:prstGeom>
                    <a:noFill/>
                    <a:ln>
                      <a:noFill/>
                    </a:ln>
                  </pic:spPr>
                </pic:pic>
              </a:graphicData>
            </a:graphic>
          </wp:inline>
        </w:drawing>
      </w:r>
    </w:p>
    <w:p w14:paraId="30CF45DA" w14:textId="14B0FDD8" w:rsidR="00D17CF8" w:rsidRPr="00BD6743" w:rsidRDefault="005F22B9" w:rsidP="009931F5">
      <w:pPr>
        <w:jc w:val="center"/>
        <w:rPr>
          <w:rFonts w:ascii="Century Gothic" w:hAnsi="Century Gothic"/>
          <w:sz w:val="24"/>
          <w:lang w:val="es-ES"/>
        </w:rPr>
      </w:pPr>
      <w:r w:rsidRPr="00BD6743">
        <w:rPr>
          <w:rFonts w:ascii="Century Gothic" w:hAnsi="Century Gothic"/>
          <w:sz w:val="20"/>
          <w:lang w:val="es-ES"/>
        </w:rPr>
        <w:t xml:space="preserve">Fuente: Secretaría de Hacienda, </w:t>
      </w:r>
      <w:r w:rsidR="00D17CF8" w:rsidRPr="00BD6743">
        <w:rPr>
          <w:rFonts w:ascii="Century Gothic" w:hAnsi="Century Gothic"/>
          <w:sz w:val="20"/>
          <w:lang w:val="es-ES"/>
        </w:rPr>
        <w:t>201</w:t>
      </w:r>
      <w:r w:rsidR="00CE6F25" w:rsidRPr="00BD6743">
        <w:rPr>
          <w:rFonts w:ascii="Century Gothic" w:hAnsi="Century Gothic"/>
          <w:sz w:val="20"/>
          <w:lang w:val="es-ES"/>
        </w:rPr>
        <w:t>8</w:t>
      </w:r>
    </w:p>
    <w:p w14:paraId="1AB78541" w14:textId="77777777" w:rsidR="007A0261" w:rsidRPr="00536239" w:rsidRDefault="007A0261" w:rsidP="005F2EF5">
      <w:pPr>
        <w:pStyle w:val="Ttulo3"/>
        <w:rPr>
          <w:lang w:val="es-ES"/>
        </w:rPr>
      </w:pPr>
      <w:bookmarkStart w:id="34" w:name="_Toc532565924"/>
      <w:r w:rsidRPr="00536239">
        <w:rPr>
          <w:lang w:val="es-ES"/>
        </w:rPr>
        <w:t xml:space="preserve">Gastos de </w:t>
      </w:r>
      <w:r w:rsidR="00E76284" w:rsidRPr="00536239">
        <w:rPr>
          <w:lang w:val="es-ES"/>
        </w:rPr>
        <w:t>funcionamiento</w:t>
      </w:r>
      <w:bookmarkEnd w:id="34"/>
    </w:p>
    <w:p w14:paraId="6ED1370D" w14:textId="77777777" w:rsidR="00BD6743" w:rsidRPr="00536239" w:rsidRDefault="00CE6F25" w:rsidP="005F22B9">
      <w:pPr>
        <w:jc w:val="both"/>
        <w:rPr>
          <w:rFonts w:ascii="Century Gothic" w:hAnsi="Century Gothic"/>
          <w:lang w:val="es-ES"/>
        </w:rPr>
      </w:pPr>
      <w:r w:rsidRPr="00536239">
        <w:rPr>
          <w:rFonts w:ascii="Century Gothic" w:hAnsi="Century Gothic"/>
          <w:lang w:val="es-ES"/>
        </w:rPr>
        <w:t>Los gastos de funcionamiento (incluye los financiados con ingresos corrientes de libre destinación y l</w:t>
      </w:r>
      <w:r w:rsidR="009E3AB7" w:rsidRPr="00536239">
        <w:rPr>
          <w:rFonts w:ascii="Century Gothic" w:hAnsi="Century Gothic"/>
          <w:lang w:val="es-ES"/>
        </w:rPr>
        <w:t xml:space="preserve">os de destinación específica), </w:t>
      </w:r>
      <w:r w:rsidRPr="00536239">
        <w:rPr>
          <w:rFonts w:ascii="Century Gothic" w:hAnsi="Century Gothic"/>
          <w:lang w:val="es-ES"/>
        </w:rPr>
        <w:t>corresponden al 9,3</w:t>
      </w:r>
      <w:r w:rsidR="004F5BDD" w:rsidRPr="00536239">
        <w:rPr>
          <w:rFonts w:ascii="Century Gothic" w:hAnsi="Century Gothic"/>
          <w:lang w:val="es-ES"/>
        </w:rPr>
        <w:t xml:space="preserve"> por ciento</w:t>
      </w:r>
      <w:r w:rsidRPr="00536239">
        <w:rPr>
          <w:rFonts w:ascii="Century Gothic" w:hAnsi="Century Gothic"/>
          <w:lang w:val="es-ES"/>
        </w:rPr>
        <w:t xml:space="preserve"> del total de los compromisos, alcanzó una ejecución definitiva de $55</w:t>
      </w:r>
      <w:r w:rsidR="009E3AB7" w:rsidRPr="00536239">
        <w:rPr>
          <w:rFonts w:ascii="Century Gothic" w:hAnsi="Century Gothic"/>
          <w:lang w:val="es-ES"/>
        </w:rPr>
        <w:t>.</w:t>
      </w:r>
      <w:r w:rsidRPr="00536239">
        <w:rPr>
          <w:rFonts w:ascii="Century Gothic" w:hAnsi="Century Gothic"/>
          <w:lang w:val="es-ES"/>
        </w:rPr>
        <w:t xml:space="preserve">965 millones, </w:t>
      </w:r>
      <w:r w:rsidR="00BD6743" w:rsidRPr="00536239">
        <w:rPr>
          <w:rFonts w:ascii="Century Gothic" w:hAnsi="Century Gothic"/>
          <w:lang w:val="es-ES"/>
        </w:rPr>
        <w:t xml:space="preserve">con un </w:t>
      </w:r>
      <w:r w:rsidRPr="00536239">
        <w:rPr>
          <w:rFonts w:ascii="Century Gothic" w:hAnsi="Century Gothic"/>
          <w:lang w:val="es-ES"/>
        </w:rPr>
        <w:t>creci</w:t>
      </w:r>
      <w:r w:rsidR="00BD6743" w:rsidRPr="00536239">
        <w:rPr>
          <w:rFonts w:ascii="Century Gothic" w:hAnsi="Century Gothic"/>
          <w:lang w:val="es-ES"/>
        </w:rPr>
        <w:t xml:space="preserve">miento del </w:t>
      </w:r>
      <w:r w:rsidRPr="00536239">
        <w:rPr>
          <w:rFonts w:ascii="Century Gothic" w:hAnsi="Century Gothic"/>
          <w:lang w:val="es-ES"/>
        </w:rPr>
        <w:t>6,2</w:t>
      </w:r>
      <w:r w:rsidR="00887EF9" w:rsidRPr="00536239">
        <w:rPr>
          <w:rFonts w:ascii="Century Gothic" w:hAnsi="Century Gothic"/>
          <w:lang w:val="es-ES"/>
        </w:rPr>
        <w:t xml:space="preserve"> por ciento</w:t>
      </w:r>
      <w:r w:rsidRPr="00536239">
        <w:rPr>
          <w:rFonts w:ascii="Century Gothic" w:hAnsi="Century Gothic"/>
          <w:lang w:val="es-ES"/>
        </w:rPr>
        <w:t xml:space="preserve"> respecto al año 2016</w:t>
      </w:r>
      <w:r w:rsidR="00BD6743" w:rsidRPr="00536239">
        <w:rPr>
          <w:rFonts w:ascii="Century Gothic" w:hAnsi="Century Gothic"/>
          <w:lang w:val="es-ES"/>
        </w:rPr>
        <w:t>;</w:t>
      </w:r>
      <w:r w:rsidRPr="00536239">
        <w:rPr>
          <w:rFonts w:ascii="Century Gothic" w:hAnsi="Century Gothic"/>
          <w:lang w:val="es-ES"/>
        </w:rPr>
        <w:t xml:space="preserve"> </w:t>
      </w:r>
      <w:r w:rsidR="00BD6743" w:rsidRPr="00536239">
        <w:rPr>
          <w:rFonts w:ascii="Century Gothic" w:hAnsi="Century Gothic"/>
          <w:lang w:val="es-ES"/>
        </w:rPr>
        <w:t xml:space="preserve">de los cuales, </w:t>
      </w:r>
      <w:r w:rsidRPr="00536239">
        <w:rPr>
          <w:rFonts w:ascii="Century Gothic" w:hAnsi="Century Gothic"/>
          <w:lang w:val="es-ES"/>
        </w:rPr>
        <w:t>el 2,7</w:t>
      </w:r>
      <w:r w:rsidR="00887EF9" w:rsidRPr="00536239">
        <w:rPr>
          <w:rFonts w:ascii="Century Gothic" w:hAnsi="Century Gothic"/>
          <w:lang w:val="es-ES"/>
        </w:rPr>
        <w:t xml:space="preserve"> por ciento</w:t>
      </w:r>
      <w:r w:rsidRPr="00536239">
        <w:rPr>
          <w:rFonts w:ascii="Century Gothic" w:hAnsi="Century Gothic"/>
          <w:lang w:val="es-ES"/>
        </w:rPr>
        <w:t xml:space="preserve"> se comprometi</w:t>
      </w:r>
      <w:r w:rsidR="00BD6743" w:rsidRPr="00536239">
        <w:rPr>
          <w:rFonts w:ascii="Century Gothic" w:hAnsi="Century Gothic"/>
          <w:lang w:val="es-ES"/>
        </w:rPr>
        <w:t xml:space="preserve">ó </w:t>
      </w:r>
      <w:r w:rsidRPr="00536239">
        <w:rPr>
          <w:rFonts w:ascii="Century Gothic" w:hAnsi="Century Gothic"/>
          <w:lang w:val="es-ES"/>
        </w:rPr>
        <w:t>en servicio de la deuda, en este se incluye el pago de los bonos ti</w:t>
      </w:r>
      <w:r w:rsidR="00EF6FEF" w:rsidRPr="00536239">
        <w:rPr>
          <w:rFonts w:ascii="Century Gothic" w:hAnsi="Century Gothic"/>
          <w:lang w:val="es-ES"/>
        </w:rPr>
        <w:t>po A y B en cumplimiento de la L</w:t>
      </w:r>
      <w:r w:rsidRPr="00536239">
        <w:rPr>
          <w:rFonts w:ascii="Century Gothic" w:hAnsi="Century Gothic"/>
          <w:lang w:val="es-ES"/>
        </w:rPr>
        <w:t>ey 617 del 2000</w:t>
      </w:r>
      <w:r w:rsidR="00BD6743" w:rsidRPr="00536239">
        <w:rPr>
          <w:rFonts w:ascii="Century Gothic" w:hAnsi="Century Gothic"/>
          <w:lang w:val="es-ES"/>
        </w:rPr>
        <w:t>,</w:t>
      </w:r>
      <w:r w:rsidRPr="00536239">
        <w:rPr>
          <w:rFonts w:ascii="Century Gothic" w:hAnsi="Century Gothic"/>
          <w:lang w:val="es-ES"/>
        </w:rPr>
        <w:t xml:space="preserve"> frente al 2016 se incrementó </w:t>
      </w:r>
      <w:r w:rsidR="00BD6743" w:rsidRPr="00536239">
        <w:rPr>
          <w:rFonts w:ascii="Century Gothic" w:hAnsi="Century Gothic"/>
          <w:lang w:val="es-ES"/>
        </w:rPr>
        <w:t xml:space="preserve">en un </w:t>
      </w:r>
      <w:r w:rsidRPr="00536239">
        <w:rPr>
          <w:rFonts w:ascii="Century Gothic" w:hAnsi="Century Gothic"/>
          <w:lang w:val="es-ES"/>
        </w:rPr>
        <w:t>12,6</w:t>
      </w:r>
      <w:r w:rsidR="00887EF9" w:rsidRPr="00536239">
        <w:rPr>
          <w:rFonts w:ascii="Century Gothic" w:hAnsi="Century Gothic"/>
          <w:lang w:val="es-ES"/>
        </w:rPr>
        <w:t xml:space="preserve"> por ciento</w:t>
      </w:r>
      <w:r w:rsidRPr="00536239">
        <w:rPr>
          <w:rFonts w:ascii="Century Gothic" w:hAnsi="Century Gothic"/>
          <w:lang w:val="es-ES"/>
        </w:rPr>
        <w:t xml:space="preserve">. </w:t>
      </w:r>
    </w:p>
    <w:p w14:paraId="0D7FC5EA" w14:textId="324C41C1" w:rsidR="00536239" w:rsidRDefault="00CE6F25" w:rsidP="005F22B9">
      <w:pPr>
        <w:jc w:val="both"/>
        <w:rPr>
          <w:rFonts w:ascii="Century Gothic" w:hAnsi="Century Gothic"/>
          <w:lang w:val="es-ES"/>
        </w:rPr>
      </w:pPr>
      <w:r w:rsidRPr="00536239">
        <w:rPr>
          <w:rFonts w:ascii="Century Gothic" w:hAnsi="Century Gothic"/>
          <w:lang w:val="es-ES"/>
        </w:rPr>
        <w:t xml:space="preserve">Los recursos de inversión incluidos los del Fondo Local de Salud, los de </w:t>
      </w:r>
      <w:r w:rsidR="00EF6FEF" w:rsidRPr="00536239">
        <w:rPr>
          <w:rFonts w:ascii="Century Gothic" w:hAnsi="Century Gothic"/>
          <w:lang w:val="es-ES"/>
        </w:rPr>
        <w:t>T</w:t>
      </w:r>
      <w:r w:rsidRPr="00536239">
        <w:rPr>
          <w:rFonts w:ascii="Century Gothic" w:hAnsi="Century Gothic"/>
          <w:lang w:val="es-ES"/>
        </w:rPr>
        <w:t xml:space="preserve">ránsito y Transporte y Establecimientos públicos y </w:t>
      </w:r>
      <w:r w:rsidR="00EF6FEF" w:rsidRPr="00536239">
        <w:rPr>
          <w:rFonts w:ascii="Century Gothic" w:hAnsi="Century Gothic"/>
          <w:lang w:val="es-ES"/>
        </w:rPr>
        <w:t xml:space="preserve">la </w:t>
      </w:r>
      <w:r w:rsidRPr="00536239">
        <w:rPr>
          <w:rFonts w:ascii="Century Gothic" w:hAnsi="Century Gothic"/>
          <w:lang w:val="es-ES"/>
        </w:rPr>
        <w:t xml:space="preserve">Unidad Administrativa Especial del Sistema Estratégico de </w:t>
      </w:r>
      <w:r w:rsidR="00EF6FEF" w:rsidRPr="00536239">
        <w:rPr>
          <w:rFonts w:ascii="Century Gothic" w:hAnsi="Century Gothic"/>
          <w:lang w:val="es-ES"/>
        </w:rPr>
        <w:t>T</w:t>
      </w:r>
      <w:r w:rsidRPr="00536239">
        <w:rPr>
          <w:rFonts w:ascii="Century Gothic" w:hAnsi="Century Gothic"/>
          <w:lang w:val="es-ES"/>
        </w:rPr>
        <w:t xml:space="preserve">ransporte </w:t>
      </w:r>
      <w:r w:rsidR="00EF6FEF" w:rsidRPr="00536239">
        <w:rPr>
          <w:rFonts w:ascii="Century Gothic" w:hAnsi="Century Gothic"/>
          <w:lang w:val="es-ES"/>
        </w:rPr>
        <w:t>Pú</w:t>
      </w:r>
      <w:r w:rsidRPr="00536239">
        <w:rPr>
          <w:rFonts w:ascii="Century Gothic" w:hAnsi="Century Gothic"/>
          <w:lang w:val="es-ES"/>
        </w:rPr>
        <w:t>blico UAE – SETP alcanzaron un</w:t>
      </w:r>
      <w:r w:rsidR="00D415FD" w:rsidRPr="00536239">
        <w:rPr>
          <w:rFonts w:ascii="Century Gothic" w:hAnsi="Century Gothic"/>
          <w:lang w:val="es-ES"/>
        </w:rPr>
        <w:t xml:space="preserve"> presupuesto definitivo de $667.</w:t>
      </w:r>
      <w:r w:rsidRPr="00536239">
        <w:rPr>
          <w:rFonts w:ascii="Century Gothic" w:hAnsi="Century Gothic"/>
          <w:lang w:val="es-ES"/>
        </w:rPr>
        <w:t>558 millones</w:t>
      </w:r>
      <w:r w:rsidR="00EF6FEF" w:rsidRPr="00536239">
        <w:rPr>
          <w:rFonts w:ascii="Century Gothic" w:hAnsi="Century Gothic"/>
          <w:lang w:val="es-ES"/>
        </w:rPr>
        <w:t>,</w:t>
      </w:r>
      <w:r w:rsidRPr="00536239">
        <w:rPr>
          <w:rFonts w:ascii="Century Gothic" w:hAnsi="Century Gothic"/>
          <w:lang w:val="es-ES"/>
        </w:rPr>
        <w:t xml:space="preserve"> de los cuales</w:t>
      </w:r>
      <w:r w:rsidR="00EF6FEF" w:rsidRPr="00536239">
        <w:rPr>
          <w:rFonts w:ascii="Century Gothic" w:hAnsi="Century Gothic"/>
          <w:lang w:val="es-ES"/>
        </w:rPr>
        <w:t>,</w:t>
      </w:r>
      <w:r w:rsidRPr="00536239">
        <w:rPr>
          <w:rFonts w:ascii="Century Gothic" w:hAnsi="Century Gothic"/>
          <w:lang w:val="es-ES"/>
        </w:rPr>
        <w:t xml:space="preserve"> se comprometieron el 79,3</w:t>
      </w:r>
      <w:r w:rsidR="00887EF9" w:rsidRPr="00536239">
        <w:rPr>
          <w:rFonts w:ascii="Century Gothic" w:hAnsi="Century Gothic"/>
          <w:lang w:val="es-ES"/>
        </w:rPr>
        <w:t xml:space="preserve"> por ciento</w:t>
      </w:r>
      <w:r w:rsidR="00EF6FEF" w:rsidRPr="00536239">
        <w:rPr>
          <w:rFonts w:ascii="Century Gothic" w:hAnsi="Century Gothic"/>
          <w:lang w:val="es-ES"/>
        </w:rPr>
        <w:t>,</w:t>
      </w:r>
      <w:r w:rsidRPr="00536239">
        <w:rPr>
          <w:rFonts w:ascii="Century Gothic" w:hAnsi="Century Gothic"/>
          <w:lang w:val="es-ES"/>
        </w:rPr>
        <w:t xml:space="preserve"> por valor de </w:t>
      </w:r>
      <w:r w:rsidR="00EF6FEF" w:rsidRPr="00536239">
        <w:rPr>
          <w:rFonts w:ascii="Century Gothic" w:hAnsi="Century Gothic"/>
          <w:lang w:val="es-ES"/>
        </w:rPr>
        <w:t>$</w:t>
      </w:r>
      <w:r w:rsidRPr="00536239">
        <w:rPr>
          <w:rFonts w:ascii="Century Gothic" w:hAnsi="Century Gothic"/>
          <w:lang w:val="es-ES"/>
        </w:rPr>
        <w:t>529</w:t>
      </w:r>
      <w:r w:rsidR="00D415FD" w:rsidRPr="00536239">
        <w:rPr>
          <w:rFonts w:ascii="Century Gothic" w:hAnsi="Century Gothic"/>
          <w:lang w:val="es-ES"/>
        </w:rPr>
        <w:t>.</w:t>
      </w:r>
      <w:r w:rsidRPr="00536239">
        <w:rPr>
          <w:rFonts w:ascii="Century Gothic" w:hAnsi="Century Gothic"/>
          <w:lang w:val="es-ES"/>
        </w:rPr>
        <w:t>334 millones, los recursos de inversión participan en el presupuesto comprometido con el 88</w:t>
      </w:r>
      <w:r w:rsidR="00887EF9" w:rsidRPr="00536239">
        <w:rPr>
          <w:rFonts w:ascii="Century Gothic" w:hAnsi="Century Gothic"/>
          <w:lang w:val="es-ES"/>
        </w:rPr>
        <w:t xml:space="preserve"> por ciento</w:t>
      </w:r>
      <w:r w:rsidRPr="00536239">
        <w:rPr>
          <w:rFonts w:ascii="Century Gothic" w:hAnsi="Century Gothic"/>
          <w:lang w:val="es-ES"/>
        </w:rPr>
        <w:t xml:space="preserve"> y estos crecieron frente al 2016 en un 13</w:t>
      </w:r>
      <w:r w:rsidR="00887EF9" w:rsidRPr="00536239">
        <w:rPr>
          <w:rFonts w:ascii="Century Gothic" w:hAnsi="Century Gothic"/>
          <w:lang w:val="es-ES"/>
        </w:rPr>
        <w:t xml:space="preserve"> por ciento</w:t>
      </w:r>
      <w:r w:rsidRPr="00536239">
        <w:rPr>
          <w:rFonts w:ascii="Century Gothic" w:hAnsi="Century Gothic"/>
          <w:lang w:val="es-ES"/>
        </w:rPr>
        <w:t xml:space="preserve"> y la apropiación definitiva se incrementó en un 21</w:t>
      </w:r>
      <w:r w:rsidR="00887EF9" w:rsidRPr="00536239">
        <w:rPr>
          <w:rFonts w:ascii="Century Gothic" w:hAnsi="Century Gothic"/>
          <w:lang w:val="es-ES"/>
        </w:rPr>
        <w:t xml:space="preserve"> por ciento</w:t>
      </w:r>
      <w:r w:rsidRPr="00536239">
        <w:rPr>
          <w:rFonts w:ascii="Century Gothic" w:hAnsi="Century Gothic"/>
          <w:lang w:val="es-ES"/>
        </w:rPr>
        <w:t>.</w:t>
      </w:r>
    </w:p>
    <w:p w14:paraId="32834D9A" w14:textId="77777777" w:rsidR="00536239" w:rsidRDefault="00536239">
      <w:pPr>
        <w:rPr>
          <w:rFonts w:ascii="Century Gothic" w:hAnsi="Century Gothic"/>
          <w:lang w:val="es-ES"/>
        </w:rPr>
      </w:pPr>
      <w:r>
        <w:rPr>
          <w:rFonts w:ascii="Century Gothic" w:hAnsi="Century Gothic"/>
          <w:lang w:val="es-ES"/>
        </w:rPr>
        <w:br w:type="page"/>
      </w:r>
    </w:p>
    <w:p w14:paraId="79D8576E" w14:textId="1105689E" w:rsidR="005F22B9" w:rsidRPr="00536239" w:rsidRDefault="005F22B9" w:rsidP="00CE6F25">
      <w:pPr>
        <w:pStyle w:val="Epgrafe"/>
        <w:spacing w:after="0"/>
        <w:jc w:val="center"/>
        <w:rPr>
          <w:rFonts w:ascii="Century Gothic" w:hAnsi="Century Gothic"/>
          <w:b w:val="0"/>
          <w:color w:val="auto"/>
          <w:sz w:val="22"/>
          <w:szCs w:val="22"/>
          <w:lang w:val="es-ES"/>
        </w:rPr>
      </w:pPr>
      <w:bookmarkStart w:id="35" w:name="_Toc532566057"/>
      <w:r w:rsidRPr="00536239">
        <w:rPr>
          <w:rFonts w:ascii="Century Gothic" w:hAnsi="Century Gothic"/>
          <w:b w:val="0"/>
          <w:color w:val="auto"/>
          <w:sz w:val="22"/>
          <w:szCs w:val="22"/>
          <w:lang w:val="es-ES"/>
        </w:rPr>
        <w:lastRenderedPageBreak/>
        <w:t xml:space="preserve">Gráfica </w:t>
      </w:r>
      <w:r w:rsidRPr="00536239">
        <w:rPr>
          <w:rFonts w:ascii="Century Gothic" w:hAnsi="Century Gothic"/>
          <w:b w:val="0"/>
          <w:color w:val="auto"/>
          <w:sz w:val="22"/>
          <w:szCs w:val="22"/>
          <w:lang w:val="es-ES"/>
        </w:rPr>
        <w:fldChar w:fldCharType="begin"/>
      </w:r>
      <w:r w:rsidRPr="00536239">
        <w:rPr>
          <w:rFonts w:ascii="Century Gothic" w:hAnsi="Century Gothic"/>
          <w:b w:val="0"/>
          <w:color w:val="auto"/>
          <w:sz w:val="22"/>
          <w:szCs w:val="22"/>
          <w:lang w:val="es-ES"/>
        </w:rPr>
        <w:instrText xml:space="preserve"> SEQ Gráfica \* ARABIC </w:instrText>
      </w:r>
      <w:r w:rsidRPr="00536239">
        <w:rPr>
          <w:rFonts w:ascii="Century Gothic" w:hAnsi="Century Gothic"/>
          <w:b w:val="0"/>
          <w:color w:val="auto"/>
          <w:sz w:val="22"/>
          <w:szCs w:val="22"/>
          <w:lang w:val="es-ES"/>
        </w:rPr>
        <w:fldChar w:fldCharType="separate"/>
      </w:r>
      <w:r w:rsidR="004A2E30" w:rsidRPr="00536239">
        <w:rPr>
          <w:rFonts w:ascii="Century Gothic" w:hAnsi="Century Gothic"/>
          <w:b w:val="0"/>
          <w:noProof/>
          <w:color w:val="auto"/>
          <w:sz w:val="22"/>
          <w:szCs w:val="22"/>
          <w:lang w:val="es-ES"/>
        </w:rPr>
        <w:t>4</w:t>
      </w:r>
      <w:r w:rsidRPr="00536239">
        <w:rPr>
          <w:rFonts w:ascii="Century Gothic" w:hAnsi="Century Gothic"/>
          <w:b w:val="0"/>
          <w:color w:val="auto"/>
          <w:sz w:val="22"/>
          <w:szCs w:val="22"/>
          <w:lang w:val="es-ES"/>
        </w:rPr>
        <w:fldChar w:fldCharType="end"/>
      </w:r>
      <w:r w:rsidRPr="00536239">
        <w:rPr>
          <w:rFonts w:ascii="Century Gothic" w:hAnsi="Century Gothic"/>
          <w:b w:val="0"/>
          <w:color w:val="auto"/>
          <w:sz w:val="22"/>
          <w:szCs w:val="22"/>
          <w:lang w:val="es-ES"/>
        </w:rPr>
        <w:t xml:space="preserve">. </w:t>
      </w:r>
      <w:r w:rsidRPr="00536239">
        <w:rPr>
          <w:rFonts w:ascii="Century Gothic" w:hAnsi="Century Gothic"/>
          <w:b w:val="0"/>
          <w:bCs w:val="0"/>
          <w:color w:val="auto"/>
          <w:sz w:val="22"/>
          <w:szCs w:val="22"/>
          <w:lang w:val="es-ES"/>
        </w:rPr>
        <w:t xml:space="preserve">Gastos de </w:t>
      </w:r>
      <w:r w:rsidR="00CE6F25" w:rsidRPr="00536239">
        <w:rPr>
          <w:rFonts w:ascii="Century Gothic" w:hAnsi="Century Gothic"/>
          <w:b w:val="0"/>
          <w:bCs w:val="0"/>
          <w:color w:val="auto"/>
          <w:sz w:val="22"/>
          <w:szCs w:val="22"/>
          <w:lang w:val="es-ES"/>
        </w:rPr>
        <w:t>funcionamiento por unidades 2017</w:t>
      </w:r>
      <w:r w:rsidRPr="00536239">
        <w:rPr>
          <w:rFonts w:ascii="Century Gothic" w:hAnsi="Century Gothic"/>
          <w:b w:val="0"/>
          <w:color w:val="auto"/>
          <w:sz w:val="22"/>
          <w:szCs w:val="22"/>
          <w:lang w:val="es-ES"/>
        </w:rPr>
        <w:t xml:space="preserve"> (</w:t>
      </w:r>
      <w:r w:rsidR="00880E74" w:rsidRPr="00536239">
        <w:rPr>
          <w:rFonts w:ascii="Century Gothic" w:hAnsi="Century Gothic"/>
          <w:b w:val="0"/>
          <w:color w:val="auto"/>
          <w:sz w:val="22"/>
          <w:szCs w:val="22"/>
          <w:lang w:val="es-ES"/>
        </w:rPr>
        <w:t>m</w:t>
      </w:r>
      <w:r w:rsidRPr="00536239">
        <w:rPr>
          <w:rFonts w:ascii="Century Gothic" w:hAnsi="Century Gothic"/>
          <w:b w:val="0"/>
          <w:color w:val="auto"/>
          <w:sz w:val="22"/>
          <w:szCs w:val="22"/>
          <w:lang w:val="es-ES"/>
        </w:rPr>
        <w:t>illones</w:t>
      </w:r>
      <w:r w:rsidR="00CE6F25" w:rsidRPr="00536239">
        <w:rPr>
          <w:rFonts w:ascii="Century Gothic" w:hAnsi="Century Gothic"/>
          <w:b w:val="0"/>
          <w:color w:val="auto"/>
          <w:sz w:val="22"/>
          <w:szCs w:val="22"/>
          <w:lang w:val="es-ES"/>
        </w:rPr>
        <w:t xml:space="preserve"> de pesos</w:t>
      </w:r>
      <w:r w:rsidRPr="00536239">
        <w:rPr>
          <w:rFonts w:ascii="Century Gothic" w:hAnsi="Century Gothic"/>
          <w:b w:val="0"/>
          <w:color w:val="auto"/>
          <w:sz w:val="22"/>
          <w:szCs w:val="22"/>
          <w:lang w:val="es-ES"/>
        </w:rPr>
        <w:t>)</w:t>
      </w:r>
      <w:bookmarkEnd w:id="35"/>
    </w:p>
    <w:p w14:paraId="7B497160" w14:textId="4B8F6D9B" w:rsidR="00CE6F25" w:rsidRPr="00536239" w:rsidRDefault="00CE6F25" w:rsidP="00CE6F25">
      <w:pPr>
        <w:spacing w:after="0"/>
        <w:jc w:val="center"/>
        <w:rPr>
          <w:rFonts w:ascii="Century Gothic" w:hAnsi="Century Gothic"/>
          <w:lang w:val="es-ES"/>
        </w:rPr>
      </w:pPr>
      <w:r w:rsidRPr="00536239">
        <w:rPr>
          <w:rFonts w:ascii="Century Gothic" w:hAnsi="Century Gothic"/>
          <w:noProof/>
          <w:lang w:val="es-ES" w:eastAsia="es-ES"/>
        </w:rPr>
        <w:drawing>
          <wp:inline distT="0" distB="0" distL="0" distR="0" wp14:anchorId="586CA534" wp14:editId="5F9B5F68">
            <wp:extent cx="3985260" cy="2232660"/>
            <wp:effectExtent l="0" t="0" r="0"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0D9F345" w14:textId="6E2ECE65" w:rsidR="00CE6F25" w:rsidRPr="00536239" w:rsidRDefault="00CE6F25" w:rsidP="00CE6F25">
      <w:pPr>
        <w:jc w:val="center"/>
        <w:rPr>
          <w:rFonts w:ascii="Century Gothic" w:hAnsi="Century Gothic"/>
          <w:sz w:val="24"/>
          <w:lang w:val="es-ES"/>
        </w:rPr>
      </w:pPr>
      <w:r w:rsidRPr="00536239">
        <w:rPr>
          <w:rFonts w:ascii="Century Gothic" w:hAnsi="Century Gothic"/>
          <w:sz w:val="20"/>
          <w:lang w:val="es-ES"/>
        </w:rPr>
        <w:t>Fuente: Secretaría de Hacienda, 2018</w:t>
      </w:r>
    </w:p>
    <w:p w14:paraId="26A54216" w14:textId="148ED7E2" w:rsidR="00CE6F25" w:rsidRPr="00536239" w:rsidRDefault="00CE6F25" w:rsidP="00CE6F25">
      <w:pPr>
        <w:jc w:val="both"/>
        <w:rPr>
          <w:rFonts w:ascii="Century Gothic" w:hAnsi="Century Gothic"/>
          <w:lang w:val="es-ES"/>
        </w:rPr>
      </w:pPr>
      <w:r w:rsidRPr="00536239">
        <w:rPr>
          <w:rFonts w:ascii="Century Gothic" w:hAnsi="Century Gothic"/>
          <w:lang w:val="es-ES"/>
        </w:rPr>
        <w:t>Las transferencias para funcionamiento de la Personería y Concejo Municipal crec</w:t>
      </w:r>
      <w:r w:rsidR="00536239" w:rsidRPr="00536239">
        <w:rPr>
          <w:rFonts w:ascii="Century Gothic" w:hAnsi="Century Gothic"/>
          <w:lang w:val="es-ES"/>
        </w:rPr>
        <w:t>ieron</w:t>
      </w:r>
      <w:r w:rsidRPr="00536239">
        <w:rPr>
          <w:rFonts w:ascii="Century Gothic" w:hAnsi="Century Gothic"/>
          <w:lang w:val="es-ES"/>
        </w:rPr>
        <w:t xml:space="preserve"> de acuerdo a los ingresos corrientes de libre destinación que</w:t>
      </w:r>
      <w:r w:rsidR="00EF6FEF" w:rsidRPr="00536239">
        <w:rPr>
          <w:rFonts w:ascii="Century Gothic" w:hAnsi="Century Gothic"/>
          <w:lang w:val="es-ES"/>
        </w:rPr>
        <w:t>,</w:t>
      </w:r>
      <w:r w:rsidRPr="00536239">
        <w:rPr>
          <w:rFonts w:ascii="Century Gothic" w:hAnsi="Century Gothic"/>
          <w:lang w:val="es-ES"/>
        </w:rPr>
        <w:t xml:space="preserve"> para la vige</w:t>
      </w:r>
      <w:r w:rsidR="00D415FD" w:rsidRPr="00536239">
        <w:rPr>
          <w:rFonts w:ascii="Century Gothic" w:hAnsi="Century Gothic"/>
          <w:lang w:val="es-ES"/>
        </w:rPr>
        <w:t>ncia 2017</w:t>
      </w:r>
      <w:r w:rsidR="00EF6FEF" w:rsidRPr="00536239">
        <w:rPr>
          <w:rFonts w:ascii="Century Gothic" w:hAnsi="Century Gothic"/>
          <w:lang w:val="es-ES"/>
        </w:rPr>
        <w:t>,</w:t>
      </w:r>
      <w:r w:rsidR="00D415FD" w:rsidRPr="00536239">
        <w:rPr>
          <w:rFonts w:ascii="Century Gothic" w:hAnsi="Century Gothic"/>
          <w:lang w:val="es-ES"/>
        </w:rPr>
        <w:t xml:space="preserve"> se proyectaron en $86.</w:t>
      </w:r>
      <w:r w:rsidRPr="00536239">
        <w:rPr>
          <w:rFonts w:ascii="Century Gothic" w:hAnsi="Century Gothic"/>
          <w:lang w:val="es-ES"/>
        </w:rPr>
        <w:t xml:space="preserve">443 millones, </w:t>
      </w:r>
      <w:r w:rsidR="00D415FD" w:rsidRPr="00536239">
        <w:rPr>
          <w:rFonts w:ascii="Century Gothic" w:hAnsi="Century Gothic"/>
          <w:lang w:val="es-ES"/>
        </w:rPr>
        <w:t>alcanzando una ejecución de $88.</w:t>
      </w:r>
      <w:r w:rsidRPr="00536239">
        <w:rPr>
          <w:rFonts w:ascii="Century Gothic" w:hAnsi="Century Gothic"/>
          <w:lang w:val="es-ES"/>
        </w:rPr>
        <w:t xml:space="preserve">143 millones, </w:t>
      </w:r>
      <w:r w:rsidR="00EF6FEF" w:rsidRPr="00536239">
        <w:rPr>
          <w:rFonts w:ascii="Century Gothic" w:hAnsi="Century Gothic"/>
          <w:lang w:val="es-ES"/>
        </w:rPr>
        <w:t>a</w:t>
      </w:r>
      <w:r w:rsidRPr="00536239">
        <w:rPr>
          <w:rFonts w:ascii="Century Gothic" w:hAnsi="Century Gothic"/>
          <w:lang w:val="es-ES"/>
        </w:rPr>
        <w:t>l Concejo Municipal además se le transfiere recursos para el pago de las sesiones de los Concejales, que de acuerdo a la categoría del Municipio</w:t>
      </w:r>
      <w:r w:rsidR="00EF6FEF" w:rsidRPr="00536239">
        <w:rPr>
          <w:rFonts w:ascii="Century Gothic" w:hAnsi="Century Gothic"/>
          <w:lang w:val="es-ES"/>
        </w:rPr>
        <w:t>,</w:t>
      </w:r>
      <w:r w:rsidRPr="00536239">
        <w:rPr>
          <w:rFonts w:ascii="Century Gothic" w:hAnsi="Century Gothic"/>
          <w:lang w:val="es-ES"/>
        </w:rPr>
        <w:t xml:space="preserve"> corresponde a 150 sesiones ordinarias y 40 extraordinarias y finalmente la transferencia a la C</w:t>
      </w:r>
      <w:r w:rsidR="00536239" w:rsidRPr="00536239">
        <w:rPr>
          <w:rFonts w:ascii="Century Gothic" w:hAnsi="Century Gothic"/>
          <w:lang w:val="es-ES"/>
        </w:rPr>
        <w:t>ontraloría Municipal se realizó</w:t>
      </w:r>
      <w:r w:rsidRPr="00536239">
        <w:rPr>
          <w:rFonts w:ascii="Century Gothic" w:hAnsi="Century Gothic"/>
          <w:lang w:val="es-ES"/>
        </w:rPr>
        <w:t xml:space="preserve"> de acuerdo a lo establecido en la </w:t>
      </w:r>
      <w:r w:rsidR="00D415FD" w:rsidRPr="00536239">
        <w:rPr>
          <w:rFonts w:ascii="Century Gothic" w:hAnsi="Century Gothic"/>
          <w:lang w:val="es-ES"/>
        </w:rPr>
        <w:t xml:space="preserve">Ley </w:t>
      </w:r>
      <w:r w:rsidRPr="00536239">
        <w:rPr>
          <w:rFonts w:ascii="Century Gothic" w:hAnsi="Century Gothic"/>
          <w:lang w:val="es-ES"/>
        </w:rPr>
        <w:t>1416 de 2010. Las transferencias a los entes de control frente a los compromisos participa</w:t>
      </w:r>
      <w:r w:rsidR="00536239">
        <w:rPr>
          <w:rFonts w:ascii="Century Gothic" w:hAnsi="Century Gothic"/>
          <w:lang w:val="es-ES"/>
        </w:rPr>
        <w:t>ro</w:t>
      </w:r>
      <w:r w:rsidRPr="00536239">
        <w:rPr>
          <w:rFonts w:ascii="Century Gothic" w:hAnsi="Century Gothic"/>
          <w:lang w:val="es-ES"/>
        </w:rPr>
        <w:t xml:space="preserve">n </w:t>
      </w:r>
      <w:r w:rsidR="00536239">
        <w:rPr>
          <w:rFonts w:ascii="Century Gothic" w:hAnsi="Century Gothic"/>
          <w:lang w:val="es-ES"/>
        </w:rPr>
        <w:t>co</w:t>
      </w:r>
      <w:r w:rsidRPr="00536239">
        <w:rPr>
          <w:rFonts w:ascii="Century Gothic" w:hAnsi="Century Gothic"/>
          <w:lang w:val="es-ES"/>
        </w:rPr>
        <w:t>n el 10,9</w:t>
      </w:r>
      <w:r w:rsidR="00887EF9" w:rsidRPr="00536239">
        <w:rPr>
          <w:rFonts w:ascii="Century Gothic" w:hAnsi="Century Gothic"/>
          <w:lang w:val="es-ES"/>
        </w:rPr>
        <w:t xml:space="preserve"> por ciento</w:t>
      </w:r>
      <w:r w:rsidRPr="00536239">
        <w:rPr>
          <w:rFonts w:ascii="Century Gothic" w:hAnsi="Century Gothic"/>
          <w:lang w:val="es-ES"/>
        </w:rPr>
        <w:t>.</w:t>
      </w:r>
    </w:p>
    <w:p w14:paraId="2CE51BC9" w14:textId="42458A1F" w:rsidR="00CE6F25" w:rsidRPr="00536239" w:rsidRDefault="00CE6F25" w:rsidP="00CE6F25">
      <w:pPr>
        <w:jc w:val="both"/>
        <w:rPr>
          <w:rFonts w:ascii="Century Gothic" w:hAnsi="Century Gothic"/>
          <w:lang w:val="es-ES"/>
        </w:rPr>
      </w:pPr>
      <w:r w:rsidRPr="00536239">
        <w:rPr>
          <w:rFonts w:ascii="Century Gothic" w:hAnsi="Century Gothic"/>
          <w:lang w:val="es-ES"/>
        </w:rPr>
        <w:t>Los gastos de funcionamiento del sector central alcanzaron una apropiación definitiva de $51</w:t>
      </w:r>
      <w:r w:rsidR="00D415FD" w:rsidRPr="00536239">
        <w:rPr>
          <w:rFonts w:ascii="Century Gothic" w:hAnsi="Century Gothic"/>
          <w:lang w:val="es-ES"/>
        </w:rPr>
        <w:t>.</w:t>
      </w:r>
      <w:r w:rsidRPr="00536239">
        <w:rPr>
          <w:rFonts w:ascii="Century Gothic" w:hAnsi="Century Gothic"/>
          <w:lang w:val="es-ES"/>
        </w:rPr>
        <w:t>644 millones con el 88,5</w:t>
      </w:r>
      <w:r w:rsidR="00887EF9" w:rsidRPr="00536239">
        <w:rPr>
          <w:rFonts w:ascii="Century Gothic" w:hAnsi="Century Gothic"/>
          <w:lang w:val="es-ES"/>
        </w:rPr>
        <w:t xml:space="preserve"> por ciento</w:t>
      </w:r>
      <w:r w:rsidRPr="00536239">
        <w:rPr>
          <w:rFonts w:ascii="Century Gothic" w:hAnsi="Century Gothic"/>
          <w:lang w:val="es-ES"/>
        </w:rPr>
        <w:t xml:space="preserve"> de compromisos, estos gastos son los que </w:t>
      </w:r>
      <w:r w:rsidR="00536239" w:rsidRPr="00536239">
        <w:rPr>
          <w:rFonts w:ascii="Century Gothic" w:hAnsi="Century Gothic"/>
          <w:lang w:val="es-ES"/>
        </w:rPr>
        <w:t xml:space="preserve">presentan </w:t>
      </w:r>
      <w:r w:rsidRPr="00536239">
        <w:rPr>
          <w:rFonts w:ascii="Century Gothic" w:hAnsi="Century Gothic"/>
          <w:lang w:val="es-ES"/>
        </w:rPr>
        <w:t>mayor participación en los compromisos con el 81,7</w:t>
      </w:r>
      <w:r w:rsidR="00887EF9" w:rsidRPr="00536239">
        <w:rPr>
          <w:rFonts w:ascii="Century Gothic" w:hAnsi="Century Gothic"/>
          <w:lang w:val="es-ES"/>
        </w:rPr>
        <w:t xml:space="preserve"> por ciento</w:t>
      </w:r>
      <w:r w:rsidR="00536239" w:rsidRPr="00536239">
        <w:rPr>
          <w:rFonts w:ascii="Century Gothic" w:hAnsi="Century Gothic"/>
          <w:lang w:val="es-ES"/>
        </w:rPr>
        <w:t>;</w:t>
      </w:r>
      <w:r w:rsidRPr="00536239">
        <w:rPr>
          <w:rFonts w:ascii="Century Gothic" w:hAnsi="Century Gothic"/>
          <w:lang w:val="es-ES"/>
        </w:rPr>
        <w:t xml:space="preserve"> frente al año 2016 la apropiación definitiva creció en un 4,5</w:t>
      </w:r>
      <w:r w:rsidR="00887EF9" w:rsidRPr="00536239">
        <w:rPr>
          <w:rFonts w:ascii="Century Gothic" w:hAnsi="Century Gothic"/>
          <w:lang w:val="es-ES"/>
        </w:rPr>
        <w:t xml:space="preserve"> por ciento</w:t>
      </w:r>
      <w:r w:rsidRPr="00536239">
        <w:rPr>
          <w:rFonts w:ascii="Century Gothic" w:hAnsi="Century Gothic"/>
          <w:lang w:val="es-ES"/>
        </w:rPr>
        <w:t>.</w:t>
      </w:r>
    </w:p>
    <w:p w14:paraId="6C67C708" w14:textId="6380EF7C" w:rsidR="00F9168A" w:rsidRDefault="00CE6F25" w:rsidP="00CE6F25">
      <w:pPr>
        <w:jc w:val="both"/>
        <w:rPr>
          <w:rFonts w:ascii="Century Gothic" w:hAnsi="Century Gothic"/>
          <w:lang w:val="es-ES"/>
        </w:rPr>
      </w:pPr>
      <w:r w:rsidRPr="00536239">
        <w:rPr>
          <w:rFonts w:ascii="Century Gothic" w:hAnsi="Century Gothic"/>
          <w:lang w:val="es-ES"/>
        </w:rPr>
        <w:t xml:space="preserve">Los gastos de funcionamiento del Fondo Local de Salud se </w:t>
      </w:r>
      <w:r w:rsidR="00D415FD" w:rsidRPr="00536239">
        <w:rPr>
          <w:rFonts w:ascii="Century Gothic" w:hAnsi="Century Gothic"/>
          <w:lang w:val="es-ES"/>
        </w:rPr>
        <w:t xml:space="preserve">comprometieron en un </w:t>
      </w:r>
      <w:r w:rsidRPr="00536239">
        <w:rPr>
          <w:rFonts w:ascii="Century Gothic" w:hAnsi="Century Gothic"/>
          <w:lang w:val="es-ES"/>
        </w:rPr>
        <w:t>82,4</w:t>
      </w:r>
      <w:r w:rsidR="00887EF9" w:rsidRPr="00536239">
        <w:rPr>
          <w:rFonts w:ascii="Century Gothic" w:hAnsi="Century Gothic"/>
          <w:lang w:val="es-ES"/>
        </w:rPr>
        <w:t xml:space="preserve"> por ciento</w:t>
      </w:r>
      <w:r w:rsidR="00D415FD" w:rsidRPr="00536239">
        <w:rPr>
          <w:rFonts w:ascii="Century Gothic" w:hAnsi="Century Gothic"/>
          <w:lang w:val="es-ES"/>
        </w:rPr>
        <w:t xml:space="preserve">, estos corresponden al </w:t>
      </w:r>
      <w:r w:rsidRPr="00536239">
        <w:rPr>
          <w:rFonts w:ascii="Century Gothic" w:hAnsi="Century Gothic"/>
          <w:lang w:val="es-ES"/>
        </w:rPr>
        <w:t>3,9</w:t>
      </w:r>
      <w:r w:rsidR="00887EF9" w:rsidRPr="00536239">
        <w:rPr>
          <w:rFonts w:ascii="Century Gothic" w:hAnsi="Century Gothic"/>
          <w:lang w:val="es-ES"/>
        </w:rPr>
        <w:t xml:space="preserve"> por ciento</w:t>
      </w:r>
      <w:r w:rsidRPr="00536239">
        <w:rPr>
          <w:rFonts w:ascii="Century Gothic" w:hAnsi="Century Gothic"/>
          <w:lang w:val="es-ES"/>
        </w:rPr>
        <w:t xml:space="preserve"> frente a la apropiación definitiva y en los compromisos participa</w:t>
      </w:r>
      <w:r w:rsidR="00536239" w:rsidRPr="00536239">
        <w:rPr>
          <w:rFonts w:ascii="Century Gothic" w:hAnsi="Century Gothic"/>
          <w:lang w:val="es-ES"/>
        </w:rPr>
        <w:t>ro</w:t>
      </w:r>
      <w:r w:rsidRPr="00536239">
        <w:rPr>
          <w:rFonts w:ascii="Century Gothic" w:hAnsi="Century Gothic"/>
          <w:lang w:val="es-ES"/>
        </w:rPr>
        <w:t xml:space="preserve">n </w:t>
      </w:r>
      <w:r w:rsidR="00536239" w:rsidRPr="00536239">
        <w:rPr>
          <w:rFonts w:ascii="Century Gothic" w:hAnsi="Century Gothic"/>
          <w:lang w:val="es-ES"/>
        </w:rPr>
        <w:t>co</w:t>
      </w:r>
      <w:r w:rsidRPr="00536239">
        <w:rPr>
          <w:rFonts w:ascii="Century Gothic" w:hAnsi="Century Gothic"/>
          <w:lang w:val="es-ES"/>
        </w:rPr>
        <w:t>n el 2,7</w:t>
      </w:r>
      <w:r w:rsidR="00887EF9" w:rsidRPr="00536239">
        <w:rPr>
          <w:rFonts w:ascii="Century Gothic" w:hAnsi="Century Gothic"/>
          <w:lang w:val="es-ES"/>
        </w:rPr>
        <w:t xml:space="preserve"> por ciento</w:t>
      </w:r>
      <w:r w:rsidRPr="00536239">
        <w:rPr>
          <w:rFonts w:ascii="Century Gothic" w:hAnsi="Century Gothic"/>
          <w:lang w:val="es-ES"/>
        </w:rPr>
        <w:t>. Los gastos de funciona</w:t>
      </w:r>
      <w:r w:rsidR="00D415FD" w:rsidRPr="00536239">
        <w:rPr>
          <w:rFonts w:ascii="Century Gothic" w:hAnsi="Century Gothic"/>
          <w:lang w:val="es-ES"/>
        </w:rPr>
        <w:t>miento de</w:t>
      </w:r>
      <w:r w:rsidR="00536239">
        <w:rPr>
          <w:rFonts w:ascii="Century Gothic" w:hAnsi="Century Gothic"/>
          <w:lang w:val="es-ES"/>
        </w:rPr>
        <w:t>l Fondo de</w:t>
      </w:r>
      <w:r w:rsidR="00D415FD" w:rsidRPr="00536239">
        <w:rPr>
          <w:rFonts w:ascii="Century Gothic" w:hAnsi="Century Gothic"/>
          <w:lang w:val="es-ES"/>
        </w:rPr>
        <w:t xml:space="preserve"> Tránsito y Transporte</w:t>
      </w:r>
      <w:r w:rsidRPr="00536239">
        <w:rPr>
          <w:rFonts w:ascii="Century Gothic" w:hAnsi="Century Gothic"/>
          <w:lang w:val="es-ES"/>
        </w:rPr>
        <w:t xml:space="preserve"> se comprometieron e</w:t>
      </w:r>
      <w:r w:rsidR="00536239" w:rsidRPr="00536239">
        <w:rPr>
          <w:rFonts w:ascii="Century Gothic" w:hAnsi="Century Gothic"/>
          <w:lang w:val="es-ES"/>
        </w:rPr>
        <w:t>n</w:t>
      </w:r>
      <w:r w:rsidRPr="00536239">
        <w:rPr>
          <w:rFonts w:ascii="Century Gothic" w:hAnsi="Century Gothic"/>
          <w:lang w:val="es-ES"/>
        </w:rPr>
        <w:t xml:space="preserve"> 85,5</w:t>
      </w:r>
      <w:r w:rsidR="00536239">
        <w:rPr>
          <w:rFonts w:ascii="Century Gothic" w:hAnsi="Century Gothic"/>
          <w:lang w:val="es-ES"/>
        </w:rPr>
        <w:t xml:space="preserve"> por ciento y participaron con </w:t>
      </w:r>
      <w:r w:rsidRPr="00536239">
        <w:rPr>
          <w:rFonts w:ascii="Century Gothic" w:hAnsi="Century Gothic"/>
          <w:lang w:val="es-ES"/>
        </w:rPr>
        <w:t>el 4,4</w:t>
      </w:r>
      <w:r w:rsidR="00887EF9" w:rsidRPr="00536239">
        <w:rPr>
          <w:rFonts w:ascii="Century Gothic" w:hAnsi="Century Gothic"/>
          <w:lang w:val="es-ES"/>
        </w:rPr>
        <w:t xml:space="preserve"> por ciento</w:t>
      </w:r>
      <w:r w:rsidR="00536239">
        <w:rPr>
          <w:rFonts w:ascii="Century Gothic" w:hAnsi="Century Gothic"/>
          <w:lang w:val="es-ES"/>
        </w:rPr>
        <w:t xml:space="preserve"> respecto al total</w:t>
      </w:r>
      <w:r w:rsidRPr="00536239">
        <w:rPr>
          <w:rFonts w:ascii="Century Gothic" w:hAnsi="Century Gothic"/>
          <w:lang w:val="es-ES"/>
        </w:rPr>
        <w:t>.</w:t>
      </w:r>
    </w:p>
    <w:p w14:paraId="64705E22" w14:textId="77777777" w:rsidR="00F9168A" w:rsidRDefault="00F9168A">
      <w:pPr>
        <w:rPr>
          <w:rFonts w:ascii="Century Gothic" w:hAnsi="Century Gothic"/>
          <w:lang w:val="es-ES"/>
        </w:rPr>
      </w:pPr>
      <w:r>
        <w:rPr>
          <w:rFonts w:ascii="Century Gothic" w:hAnsi="Century Gothic"/>
          <w:lang w:val="es-ES"/>
        </w:rPr>
        <w:br w:type="page"/>
      </w:r>
    </w:p>
    <w:p w14:paraId="5E2FBC65" w14:textId="5A9C21EE" w:rsidR="00EB0DB1" w:rsidRPr="00536239" w:rsidRDefault="00EB0DB1" w:rsidP="009456BF">
      <w:pPr>
        <w:pStyle w:val="Epgrafe"/>
        <w:spacing w:after="0" w:line="276" w:lineRule="auto"/>
        <w:jc w:val="center"/>
        <w:rPr>
          <w:rFonts w:ascii="Century Gothic" w:hAnsi="Century Gothic"/>
          <w:b w:val="0"/>
          <w:color w:val="auto"/>
          <w:sz w:val="22"/>
          <w:szCs w:val="22"/>
          <w:lang w:val="es-ES"/>
        </w:rPr>
      </w:pPr>
      <w:bookmarkStart w:id="36" w:name="_Toc532566058"/>
      <w:r w:rsidRPr="00536239">
        <w:rPr>
          <w:rFonts w:ascii="Century Gothic" w:hAnsi="Century Gothic"/>
          <w:b w:val="0"/>
          <w:color w:val="auto"/>
          <w:sz w:val="22"/>
          <w:szCs w:val="22"/>
          <w:lang w:val="es-ES"/>
        </w:rPr>
        <w:lastRenderedPageBreak/>
        <w:t xml:space="preserve">Gráfica </w:t>
      </w:r>
      <w:r w:rsidR="00A83A24" w:rsidRPr="00536239">
        <w:rPr>
          <w:rFonts w:ascii="Century Gothic" w:hAnsi="Century Gothic"/>
          <w:b w:val="0"/>
          <w:color w:val="auto"/>
          <w:sz w:val="22"/>
          <w:szCs w:val="22"/>
          <w:lang w:val="es-ES"/>
        </w:rPr>
        <w:fldChar w:fldCharType="begin"/>
      </w:r>
      <w:r w:rsidRPr="00536239">
        <w:rPr>
          <w:rFonts w:ascii="Century Gothic" w:hAnsi="Century Gothic"/>
          <w:b w:val="0"/>
          <w:color w:val="auto"/>
          <w:sz w:val="22"/>
          <w:szCs w:val="22"/>
          <w:lang w:val="es-ES"/>
        </w:rPr>
        <w:instrText xml:space="preserve"> SEQ Gráfica \* ARABIC </w:instrText>
      </w:r>
      <w:r w:rsidR="00A83A24" w:rsidRPr="00536239">
        <w:rPr>
          <w:rFonts w:ascii="Century Gothic" w:hAnsi="Century Gothic"/>
          <w:b w:val="0"/>
          <w:color w:val="auto"/>
          <w:sz w:val="22"/>
          <w:szCs w:val="22"/>
          <w:lang w:val="es-ES"/>
        </w:rPr>
        <w:fldChar w:fldCharType="separate"/>
      </w:r>
      <w:r w:rsidR="004A2E30" w:rsidRPr="00536239">
        <w:rPr>
          <w:rFonts w:ascii="Century Gothic" w:hAnsi="Century Gothic"/>
          <w:b w:val="0"/>
          <w:noProof/>
          <w:color w:val="auto"/>
          <w:sz w:val="22"/>
          <w:szCs w:val="22"/>
          <w:lang w:val="es-ES"/>
        </w:rPr>
        <w:t>5</w:t>
      </w:r>
      <w:r w:rsidR="00A83A24" w:rsidRPr="00536239">
        <w:rPr>
          <w:rFonts w:ascii="Century Gothic" w:hAnsi="Century Gothic"/>
          <w:b w:val="0"/>
          <w:color w:val="auto"/>
          <w:sz w:val="22"/>
          <w:szCs w:val="22"/>
          <w:lang w:val="es-ES"/>
        </w:rPr>
        <w:fldChar w:fldCharType="end"/>
      </w:r>
      <w:r w:rsidRPr="00536239">
        <w:rPr>
          <w:rFonts w:ascii="Century Gothic" w:hAnsi="Century Gothic"/>
          <w:b w:val="0"/>
          <w:color w:val="auto"/>
          <w:sz w:val="22"/>
          <w:szCs w:val="22"/>
          <w:lang w:val="es-ES"/>
        </w:rPr>
        <w:t xml:space="preserve">. </w:t>
      </w:r>
      <w:r w:rsidR="005F22B9" w:rsidRPr="00536239">
        <w:rPr>
          <w:rFonts w:ascii="Century Gothic" w:hAnsi="Century Gothic"/>
          <w:b w:val="0"/>
          <w:color w:val="auto"/>
          <w:sz w:val="22"/>
          <w:szCs w:val="22"/>
          <w:lang w:val="es-ES"/>
        </w:rPr>
        <w:t xml:space="preserve">Composición </w:t>
      </w:r>
      <w:r w:rsidR="009456BF" w:rsidRPr="00536239">
        <w:rPr>
          <w:rFonts w:ascii="Century Gothic" w:hAnsi="Century Gothic"/>
          <w:b w:val="0"/>
          <w:color w:val="auto"/>
          <w:sz w:val="22"/>
          <w:szCs w:val="22"/>
          <w:lang w:val="es-ES"/>
        </w:rPr>
        <w:t xml:space="preserve">presupuesto definitivo gastos de funcionamiento 2017 </w:t>
      </w:r>
      <w:r w:rsidR="005F22B9" w:rsidRPr="00536239">
        <w:rPr>
          <w:rFonts w:ascii="Century Gothic" w:hAnsi="Century Gothic"/>
          <w:b w:val="0"/>
          <w:color w:val="auto"/>
          <w:sz w:val="22"/>
          <w:szCs w:val="22"/>
          <w:lang w:val="es-ES"/>
        </w:rPr>
        <w:t>(millones</w:t>
      </w:r>
      <w:r w:rsidR="009456BF" w:rsidRPr="00536239">
        <w:rPr>
          <w:rFonts w:ascii="Century Gothic" w:hAnsi="Century Gothic"/>
          <w:b w:val="0"/>
          <w:color w:val="auto"/>
          <w:sz w:val="22"/>
          <w:szCs w:val="22"/>
          <w:lang w:val="es-ES"/>
        </w:rPr>
        <w:t xml:space="preserve"> de pesos</w:t>
      </w:r>
      <w:r w:rsidR="005F22B9" w:rsidRPr="00536239">
        <w:rPr>
          <w:rFonts w:ascii="Century Gothic" w:hAnsi="Century Gothic"/>
          <w:b w:val="0"/>
          <w:color w:val="auto"/>
          <w:sz w:val="22"/>
          <w:szCs w:val="22"/>
          <w:lang w:val="es-ES"/>
        </w:rPr>
        <w:t>)</w:t>
      </w:r>
      <w:bookmarkEnd w:id="36"/>
    </w:p>
    <w:p w14:paraId="7D90CBA5" w14:textId="36E171F4" w:rsidR="009456BF" w:rsidRPr="00536239" w:rsidRDefault="009456BF" w:rsidP="009456BF">
      <w:pPr>
        <w:spacing w:after="0"/>
        <w:jc w:val="center"/>
        <w:rPr>
          <w:rFonts w:ascii="Century Gothic" w:hAnsi="Century Gothic"/>
          <w:lang w:val="es-ES"/>
        </w:rPr>
      </w:pPr>
      <w:r w:rsidRPr="00536239">
        <w:rPr>
          <w:rFonts w:ascii="Century Gothic" w:hAnsi="Century Gothic"/>
          <w:noProof/>
          <w:lang w:val="es-ES" w:eastAsia="es-ES"/>
        </w:rPr>
        <w:drawing>
          <wp:inline distT="0" distB="0" distL="0" distR="0" wp14:anchorId="01DD5E9C" wp14:editId="22F7A138">
            <wp:extent cx="3764280" cy="1457511"/>
            <wp:effectExtent l="0" t="0" r="7620" b="952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a14="http://schemas.microsoft.com/office/drawing/2010/main" val="0"/>
                        </a:ext>
                      </a:extLst>
                    </a:blip>
                    <a:srcRect l="7092" t="18940" r="1669" b="22391"/>
                    <a:stretch/>
                  </pic:blipFill>
                  <pic:spPr bwMode="auto">
                    <a:xfrm>
                      <a:off x="0" y="0"/>
                      <a:ext cx="3762511" cy="1456826"/>
                    </a:xfrm>
                    <a:prstGeom prst="rect">
                      <a:avLst/>
                    </a:prstGeom>
                    <a:noFill/>
                    <a:ln>
                      <a:noFill/>
                    </a:ln>
                    <a:extLst>
                      <a:ext uri="{53640926-AAD7-44D8-BBD7-CCE9431645EC}">
                        <a14:shadowObscured xmlns:a14="http://schemas.microsoft.com/office/drawing/2010/main"/>
                      </a:ext>
                    </a:extLst>
                  </pic:spPr>
                </pic:pic>
              </a:graphicData>
            </a:graphic>
          </wp:inline>
        </w:drawing>
      </w:r>
    </w:p>
    <w:p w14:paraId="143BF594" w14:textId="37F93338" w:rsidR="00D17CF8" w:rsidRPr="00536239" w:rsidRDefault="00D17CF8" w:rsidP="009931F5">
      <w:pPr>
        <w:jc w:val="center"/>
        <w:rPr>
          <w:rFonts w:ascii="Century Gothic" w:hAnsi="Century Gothic"/>
          <w:sz w:val="20"/>
          <w:lang w:val="es-ES"/>
        </w:rPr>
      </w:pPr>
      <w:r w:rsidRPr="00536239">
        <w:rPr>
          <w:rFonts w:ascii="Century Gothic" w:hAnsi="Century Gothic"/>
          <w:sz w:val="20"/>
          <w:lang w:val="es-ES"/>
        </w:rPr>
        <w:t>Fuente: Secretaría de Hacienda, 201</w:t>
      </w:r>
      <w:r w:rsidR="009456BF" w:rsidRPr="00536239">
        <w:rPr>
          <w:rFonts w:ascii="Century Gothic" w:hAnsi="Century Gothic"/>
          <w:sz w:val="20"/>
          <w:lang w:val="es-ES"/>
        </w:rPr>
        <w:t>8</w:t>
      </w:r>
    </w:p>
    <w:p w14:paraId="2A900085" w14:textId="18C3AD53" w:rsidR="009456BF" w:rsidRPr="00536239" w:rsidRDefault="009456BF" w:rsidP="009456BF">
      <w:pPr>
        <w:jc w:val="both"/>
        <w:rPr>
          <w:rFonts w:ascii="Century Gothic" w:hAnsi="Century Gothic"/>
          <w:lang w:val="es-ES"/>
        </w:rPr>
      </w:pPr>
      <w:r w:rsidRPr="00536239">
        <w:rPr>
          <w:rFonts w:ascii="Century Gothic" w:hAnsi="Century Gothic"/>
          <w:lang w:val="es-ES"/>
        </w:rPr>
        <w:t>Las transferencias son las de mayor participación con un 47,7</w:t>
      </w:r>
      <w:r w:rsidR="00887EF9" w:rsidRPr="00536239">
        <w:rPr>
          <w:rFonts w:ascii="Century Gothic" w:hAnsi="Century Gothic"/>
          <w:lang w:val="es-ES"/>
        </w:rPr>
        <w:t xml:space="preserve"> por ciento</w:t>
      </w:r>
      <w:r w:rsidRPr="00536239">
        <w:rPr>
          <w:rFonts w:ascii="Century Gothic" w:hAnsi="Century Gothic"/>
          <w:lang w:val="es-ES"/>
        </w:rPr>
        <w:t>, en estas se contemplan los valores que transfiere el Municipio a los entes de control, además se incluyen las transferencias que corresponden a los ingresos de libre destinación como son los pagos de las mesadas pensionales y las que corresponden a destinación</w:t>
      </w:r>
      <w:r w:rsidR="00536239" w:rsidRPr="00536239">
        <w:rPr>
          <w:rFonts w:ascii="Century Gothic" w:hAnsi="Century Gothic"/>
          <w:lang w:val="es-ES"/>
        </w:rPr>
        <w:t xml:space="preserve"> específica como </w:t>
      </w:r>
      <w:r w:rsidRPr="00536239">
        <w:rPr>
          <w:rFonts w:ascii="Century Gothic" w:hAnsi="Century Gothic"/>
          <w:lang w:val="es-ES"/>
        </w:rPr>
        <w:t>los valores que se transfieren a los bomberos y el 15</w:t>
      </w:r>
      <w:r w:rsidR="00887EF9" w:rsidRPr="00536239">
        <w:rPr>
          <w:rFonts w:ascii="Century Gothic" w:hAnsi="Century Gothic"/>
          <w:lang w:val="es-ES"/>
        </w:rPr>
        <w:t xml:space="preserve"> por ciento</w:t>
      </w:r>
      <w:r w:rsidRPr="00536239">
        <w:rPr>
          <w:rFonts w:ascii="Century Gothic" w:hAnsi="Century Gothic"/>
          <w:lang w:val="es-ES"/>
        </w:rPr>
        <w:t xml:space="preserve"> del impuesto predial que se transfiere a la </w:t>
      </w:r>
      <w:r w:rsidR="00D415FD" w:rsidRPr="00536239">
        <w:rPr>
          <w:rFonts w:ascii="Century Gothic" w:hAnsi="Century Gothic"/>
          <w:lang w:val="es-ES"/>
        </w:rPr>
        <w:t xml:space="preserve">Corporación Autónoma de Nariño </w:t>
      </w:r>
      <w:r w:rsidRPr="00536239">
        <w:rPr>
          <w:rFonts w:ascii="Century Gothic" w:hAnsi="Century Gothic"/>
          <w:lang w:val="es-ES"/>
        </w:rPr>
        <w:t>CO</w:t>
      </w:r>
      <w:r w:rsidR="00D415FD" w:rsidRPr="00536239">
        <w:rPr>
          <w:rFonts w:ascii="Century Gothic" w:hAnsi="Century Gothic"/>
          <w:lang w:val="es-ES"/>
        </w:rPr>
        <w:t>RPONARIÑO, que corresponde a $6.</w:t>
      </w:r>
      <w:r w:rsidRPr="00536239">
        <w:rPr>
          <w:rFonts w:ascii="Century Gothic" w:hAnsi="Century Gothic"/>
          <w:lang w:val="es-ES"/>
        </w:rPr>
        <w:t>905 millones. Siguen en participación los gastos de personal con el 38,4</w:t>
      </w:r>
      <w:r w:rsidR="00887EF9" w:rsidRPr="00536239">
        <w:rPr>
          <w:rFonts w:ascii="Century Gothic" w:hAnsi="Century Gothic"/>
          <w:lang w:val="es-ES"/>
        </w:rPr>
        <w:t xml:space="preserve"> por ciento</w:t>
      </w:r>
      <w:r w:rsidRPr="00536239">
        <w:rPr>
          <w:rFonts w:ascii="Century Gothic" w:hAnsi="Century Gothic"/>
          <w:lang w:val="es-ES"/>
        </w:rPr>
        <w:t xml:space="preserve"> y los gastos generales con el 13,9</w:t>
      </w:r>
      <w:r w:rsidR="00887EF9" w:rsidRPr="00536239">
        <w:rPr>
          <w:rFonts w:ascii="Century Gothic" w:hAnsi="Century Gothic"/>
          <w:lang w:val="es-ES"/>
        </w:rPr>
        <w:t xml:space="preserve"> por ciento</w:t>
      </w:r>
      <w:r w:rsidRPr="00536239">
        <w:rPr>
          <w:rFonts w:ascii="Century Gothic" w:hAnsi="Century Gothic"/>
          <w:lang w:val="es-ES"/>
        </w:rPr>
        <w:t>.</w:t>
      </w:r>
    </w:p>
    <w:p w14:paraId="6D556599" w14:textId="7170AB91" w:rsidR="009456BF" w:rsidRPr="00536239" w:rsidRDefault="009456BF" w:rsidP="009456BF">
      <w:pPr>
        <w:jc w:val="both"/>
        <w:rPr>
          <w:rFonts w:ascii="Century Gothic" w:hAnsi="Century Gothic"/>
          <w:lang w:val="es-ES"/>
        </w:rPr>
      </w:pPr>
      <w:r w:rsidRPr="00536239">
        <w:rPr>
          <w:rFonts w:ascii="Century Gothic" w:hAnsi="Century Gothic"/>
          <w:lang w:val="es-ES"/>
        </w:rPr>
        <w:t>En la siguiente gráfica se observa los compromisos de los gastos de funcionamiento frente a los apropiados en el presupuesto definitivo.</w:t>
      </w:r>
    </w:p>
    <w:p w14:paraId="587D6F17" w14:textId="11CE1DF1" w:rsidR="009456BF" w:rsidRPr="00536239" w:rsidRDefault="009456BF" w:rsidP="009456BF">
      <w:pPr>
        <w:pStyle w:val="Epgrafe"/>
        <w:spacing w:after="0" w:line="276" w:lineRule="auto"/>
        <w:jc w:val="center"/>
        <w:rPr>
          <w:rFonts w:ascii="Century Gothic" w:hAnsi="Century Gothic"/>
          <w:b w:val="0"/>
          <w:color w:val="auto"/>
          <w:sz w:val="22"/>
          <w:szCs w:val="22"/>
          <w:lang w:val="es-ES"/>
        </w:rPr>
      </w:pPr>
      <w:bookmarkStart w:id="37" w:name="_Toc532566059"/>
      <w:r w:rsidRPr="00536239">
        <w:rPr>
          <w:rFonts w:ascii="Century Gothic" w:hAnsi="Century Gothic"/>
          <w:b w:val="0"/>
          <w:color w:val="auto"/>
          <w:sz w:val="22"/>
          <w:szCs w:val="22"/>
          <w:lang w:val="es-ES"/>
        </w:rPr>
        <w:t xml:space="preserve">Gráfica </w:t>
      </w:r>
      <w:r w:rsidRPr="00536239">
        <w:rPr>
          <w:rFonts w:ascii="Century Gothic" w:hAnsi="Century Gothic"/>
          <w:b w:val="0"/>
          <w:color w:val="auto"/>
          <w:sz w:val="22"/>
          <w:szCs w:val="22"/>
          <w:lang w:val="es-ES"/>
        </w:rPr>
        <w:fldChar w:fldCharType="begin"/>
      </w:r>
      <w:r w:rsidRPr="00536239">
        <w:rPr>
          <w:rFonts w:ascii="Century Gothic" w:hAnsi="Century Gothic"/>
          <w:b w:val="0"/>
          <w:color w:val="auto"/>
          <w:sz w:val="22"/>
          <w:szCs w:val="22"/>
          <w:lang w:val="es-ES"/>
        </w:rPr>
        <w:instrText xml:space="preserve"> SEQ Gráfica \* ARABIC </w:instrText>
      </w:r>
      <w:r w:rsidRPr="00536239">
        <w:rPr>
          <w:rFonts w:ascii="Century Gothic" w:hAnsi="Century Gothic"/>
          <w:b w:val="0"/>
          <w:color w:val="auto"/>
          <w:sz w:val="22"/>
          <w:szCs w:val="22"/>
          <w:lang w:val="es-ES"/>
        </w:rPr>
        <w:fldChar w:fldCharType="separate"/>
      </w:r>
      <w:r w:rsidR="004A2E30" w:rsidRPr="00536239">
        <w:rPr>
          <w:rFonts w:ascii="Century Gothic" w:hAnsi="Century Gothic"/>
          <w:b w:val="0"/>
          <w:noProof/>
          <w:color w:val="auto"/>
          <w:sz w:val="22"/>
          <w:szCs w:val="22"/>
          <w:lang w:val="es-ES"/>
        </w:rPr>
        <w:t>6</w:t>
      </w:r>
      <w:r w:rsidRPr="00536239">
        <w:rPr>
          <w:rFonts w:ascii="Century Gothic" w:hAnsi="Century Gothic"/>
          <w:b w:val="0"/>
          <w:color w:val="auto"/>
          <w:sz w:val="22"/>
          <w:szCs w:val="22"/>
          <w:lang w:val="es-ES"/>
        </w:rPr>
        <w:fldChar w:fldCharType="end"/>
      </w:r>
      <w:r w:rsidRPr="00536239">
        <w:rPr>
          <w:rFonts w:ascii="Century Gothic" w:hAnsi="Century Gothic"/>
          <w:b w:val="0"/>
          <w:color w:val="auto"/>
          <w:sz w:val="22"/>
          <w:szCs w:val="22"/>
          <w:lang w:val="es-ES"/>
        </w:rPr>
        <w:t>. Composición presupuesto definitivo gastos de funcionamiento 2017 (millones de pesos)</w:t>
      </w:r>
      <w:bookmarkEnd w:id="37"/>
    </w:p>
    <w:p w14:paraId="42E7C521" w14:textId="5CD2445B" w:rsidR="009456BF" w:rsidRPr="00536239" w:rsidRDefault="009456BF" w:rsidP="009456BF">
      <w:pPr>
        <w:spacing w:after="0"/>
        <w:jc w:val="center"/>
        <w:rPr>
          <w:rFonts w:ascii="Century Gothic" w:hAnsi="Century Gothic"/>
          <w:lang w:val="es-ES"/>
        </w:rPr>
      </w:pPr>
      <w:r w:rsidRPr="00536239">
        <w:rPr>
          <w:rFonts w:ascii="Century Gothic" w:hAnsi="Century Gothic"/>
          <w:noProof/>
          <w:lang w:val="es-ES" w:eastAsia="es-ES"/>
        </w:rPr>
        <w:drawing>
          <wp:inline distT="0" distB="0" distL="0" distR="0" wp14:anchorId="09953971" wp14:editId="48740C66">
            <wp:extent cx="4118153" cy="224790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a:extLst>
                        <a:ext uri="{28A0092B-C50C-407E-A947-70E740481C1C}">
                          <a14:useLocalDpi xmlns:a14="http://schemas.microsoft.com/office/drawing/2010/main" val="0"/>
                        </a:ext>
                      </a:extLst>
                    </a:blip>
                    <a:srcRect l="3051" t="4187" r="1641" b="3448"/>
                    <a:stretch/>
                  </pic:blipFill>
                  <pic:spPr bwMode="auto">
                    <a:xfrm>
                      <a:off x="0" y="0"/>
                      <a:ext cx="4121999" cy="2249999"/>
                    </a:xfrm>
                    <a:prstGeom prst="rect">
                      <a:avLst/>
                    </a:prstGeom>
                    <a:noFill/>
                    <a:ln>
                      <a:noFill/>
                    </a:ln>
                    <a:extLst>
                      <a:ext uri="{53640926-AAD7-44D8-BBD7-CCE9431645EC}">
                        <a14:shadowObscured xmlns:a14="http://schemas.microsoft.com/office/drawing/2010/main"/>
                      </a:ext>
                    </a:extLst>
                  </pic:spPr>
                </pic:pic>
              </a:graphicData>
            </a:graphic>
          </wp:inline>
        </w:drawing>
      </w:r>
    </w:p>
    <w:p w14:paraId="0D2DAC8A" w14:textId="169D9F69" w:rsidR="009456BF" w:rsidRPr="00536239" w:rsidRDefault="009456BF" w:rsidP="009456BF">
      <w:pPr>
        <w:jc w:val="center"/>
        <w:rPr>
          <w:rFonts w:ascii="Century Gothic" w:hAnsi="Century Gothic"/>
          <w:lang w:val="es-ES"/>
        </w:rPr>
      </w:pPr>
      <w:r w:rsidRPr="00536239">
        <w:rPr>
          <w:rFonts w:ascii="Century Gothic" w:hAnsi="Century Gothic"/>
          <w:sz w:val="20"/>
          <w:lang w:val="es-ES"/>
        </w:rPr>
        <w:t>Fuente: Secretaría de Hacienda, 2018</w:t>
      </w:r>
    </w:p>
    <w:p w14:paraId="50824D8B" w14:textId="1E77E733" w:rsidR="009456BF" w:rsidRPr="00536239" w:rsidRDefault="009456BF" w:rsidP="009456BF">
      <w:pPr>
        <w:jc w:val="both"/>
        <w:rPr>
          <w:rFonts w:ascii="Century Gothic" w:hAnsi="Century Gothic"/>
          <w:lang w:val="es-ES"/>
        </w:rPr>
      </w:pPr>
      <w:r w:rsidRPr="00536239">
        <w:rPr>
          <w:rFonts w:ascii="Century Gothic" w:hAnsi="Century Gothic"/>
          <w:lang w:val="es-ES"/>
        </w:rPr>
        <w:lastRenderedPageBreak/>
        <w:t>Los gastos de personal se comprometieron en el 92,1</w:t>
      </w:r>
      <w:r w:rsidR="00887EF9" w:rsidRPr="00536239">
        <w:rPr>
          <w:rFonts w:ascii="Century Gothic" w:hAnsi="Century Gothic"/>
          <w:lang w:val="es-ES"/>
        </w:rPr>
        <w:t xml:space="preserve"> por ciento</w:t>
      </w:r>
      <w:r w:rsidRPr="00536239">
        <w:rPr>
          <w:rFonts w:ascii="Century Gothic" w:hAnsi="Century Gothic"/>
          <w:lang w:val="es-ES"/>
        </w:rPr>
        <w:t>, seguido por las transferencias en un 89</w:t>
      </w:r>
      <w:r w:rsidR="00887EF9" w:rsidRPr="00536239">
        <w:rPr>
          <w:rFonts w:ascii="Century Gothic" w:hAnsi="Century Gothic"/>
          <w:lang w:val="es-ES"/>
        </w:rPr>
        <w:t xml:space="preserve"> por ciento</w:t>
      </w:r>
      <w:r w:rsidRPr="00536239">
        <w:rPr>
          <w:rFonts w:ascii="Century Gothic" w:hAnsi="Century Gothic"/>
          <w:lang w:val="es-ES"/>
        </w:rPr>
        <w:t xml:space="preserve"> y los gastos generales alcanzaron el 82,2</w:t>
      </w:r>
      <w:r w:rsidR="00887EF9" w:rsidRPr="00536239">
        <w:rPr>
          <w:rFonts w:ascii="Century Gothic" w:hAnsi="Century Gothic"/>
          <w:lang w:val="es-ES"/>
        </w:rPr>
        <w:t xml:space="preserve"> por ciento</w:t>
      </w:r>
      <w:r w:rsidRPr="00536239">
        <w:rPr>
          <w:rFonts w:ascii="Century Gothic" w:hAnsi="Century Gothic"/>
          <w:lang w:val="es-ES"/>
        </w:rPr>
        <w:t>.</w:t>
      </w:r>
    </w:p>
    <w:p w14:paraId="36CF5235" w14:textId="229B0457" w:rsidR="009456BF" w:rsidRPr="00536239" w:rsidRDefault="009456BF" w:rsidP="00CD0559">
      <w:pPr>
        <w:pStyle w:val="Epgrafe"/>
        <w:spacing w:after="0" w:line="276" w:lineRule="auto"/>
        <w:rPr>
          <w:rFonts w:ascii="Century Gothic" w:hAnsi="Century Gothic"/>
          <w:b w:val="0"/>
          <w:color w:val="auto"/>
          <w:sz w:val="22"/>
          <w:szCs w:val="22"/>
          <w:lang w:val="es-ES"/>
        </w:rPr>
      </w:pPr>
      <w:bookmarkStart w:id="38" w:name="_Toc532566060"/>
      <w:r w:rsidRPr="00536239">
        <w:rPr>
          <w:rFonts w:ascii="Century Gothic" w:hAnsi="Century Gothic"/>
          <w:b w:val="0"/>
          <w:color w:val="auto"/>
          <w:sz w:val="22"/>
          <w:szCs w:val="22"/>
          <w:lang w:val="es-ES"/>
        </w:rPr>
        <w:t xml:space="preserve">Gráfica </w:t>
      </w:r>
      <w:r w:rsidRPr="00536239">
        <w:rPr>
          <w:rFonts w:ascii="Century Gothic" w:hAnsi="Century Gothic"/>
          <w:b w:val="0"/>
          <w:color w:val="auto"/>
          <w:sz w:val="22"/>
          <w:szCs w:val="22"/>
          <w:lang w:val="es-ES"/>
        </w:rPr>
        <w:fldChar w:fldCharType="begin"/>
      </w:r>
      <w:r w:rsidRPr="00536239">
        <w:rPr>
          <w:rFonts w:ascii="Century Gothic" w:hAnsi="Century Gothic"/>
          <w:b w:val="0"/>
          <w:color w:val="auto"/>
          <w:sz w:val="22"/>
          <w:szCs w:val="22"/>
          <w:lang w:val="es-ES"/>
        </w:rPr>
        <w:instrText xml:space="preserve"> SEQ Gráfica \* ARABIC </w:instrText>
      </w:r>
      <w:r w:rsidRPr="00536239">
        <w:rPr>
          <w:rFonts w:ascii="Century Gothic" w:hAnsi="Century Gothic"/>
          <w:b w:val="0"/>
          <w:color w:val="auto"/>
          <w:sz w:val="22"/>
          <w:szCs w:val="22"/>
          <w:lang w:val="es-ES"/>
        </w:rPr>
        <w:fldChar w:fldCharType="separate"/>
      </w:r>
      <w:r w:rsidR="004A2E30" w:rsidRPr="00536239">
        <w:rPr>
          <w:rFonts w:ascii="Century Gothic" w:hAnsi="Century Gothic"/>
          <w:b w:val="0"/>
          <w:noProof/>
          <w:color w:val="auto"/>
          <w:sz w:val="22"/>
          <w:szCs w:val="22"/>
          <w:lang w:val="es-ES"/>
        </w:rPr>
        <w:t>7</w:t>
      </w:r>
      <w:r w:rsidRPr="00536239">
        <w:rPr>
          <w:rFonts w:ascii="Century Gothic" w:hAnsi="Century Gothic"/>
          <w:b w:val="0"/>
          <w:color w:val="auto"/>
          <w:sz w:val="22"/>
          <w:szCs w:val="22"/>
          <w:lang w:val="es-ES"/>
        </w:rPr>
        <w:fldChar w:fldCharType="end"/>
      </w:r>
      <w:r w:rsidRPr="00536239">
        <w:rPr>
          <w:rFonts w:ascii="Century Gothic" w:hAnsi="Century Gothic"/>
          <w:b w:val="0"/>
          <w:color w:val="auto"/>
          <w:sz w:val="22"/>
          <w:szCs w:val="22"/>
          <w:lang w:val="es-ES"/>
        </w:rPr>
        <w:t>. Desagregación transferencias Entes de Control 2017 (millones de pesos)</w:t>
      </w:r>
      <w:bookmarkEnd w:id="38"/>
    </w:p>
    <w:p w14:paraId="00278A2F" w14:textId="1BA6FB59" w:rsidR="009456BF" w:rsidRPr="00536239" w:rsidRDefault="009456BF" w:rsidP="00CD0559">
      <w:pPr>
        <w:spacing w:after="0"/>
        <w:jc w:val="center"/>
        <w:rPr>
          <w:rFonts w:ascii="Century Gothic" w:hAnsi="Century Gothic"/>
          <w:lang w:val="es-ES"/>
        </w:rPr>
      </w:pPr>
      <w:r w:rsidRPr="00536239">
        <w:rPr>
          <w:rFonts w:ascii="Century Gothic" w:hAnsi="Century Gothic"/>
          <w:noProof/>
          <w:lang w:val="es-ES" w:eastAsia="es-ES"/>
        </w:rPr>
        <w:drawing>
          <wp:inline distT="0" distB="0" distL="0" distR="0" wp14:anchorId="70055521" wp14:editId="1FC2EDCC">
            <wp:extent cx="3695700" cy="1428399"/>
            <wp:effectExtent l="0" t="0" r="0" b="63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7489" t="19862" r="2080" b="21940"/>
                    <a:stretch/>
                  </pic:blipFill>
                  <pic:spPr bwMode="auto">
                    <a:xfrm>
                      <a:off x="0" y="0"/>
                      <a:ext cx="3697969" cy="1429276"/>
                    </a:xfrm>
                    <a:prstGeom prst="rect">
                      <a:avLst/>
                    </a:prstGeom>
                    <a:noFill/>
                    <a:ln>
                      <a:noFill/>
                    </a:ln>
                    <a:extLst>
                      <a:ext uri="{53640926-AAD7-44D8-BBD7-CCE9431645EC}">
                        <a14:shadowObscured xmlns:a14="http://schemas.microsoft.com/office/drawing/2010/main"/>
                      </a:ext>
                    </a:extLst>
                  </pic:spPr>
                </pic:pic>
              </a:graphicData>
            </a:graphic>
          </wp:inline>
        </w:drawing>
      </w:r>
    </w:p>
    <w:p w14:paraId="35D92E9D" w14:textId="75B75DFD" w:rsidR="00CD0559" w:rsidRPr="00536239" w:rsidRDefault="00CD0559" w:rsidP="00CD0559">
      <w:pPr>
        <w:jc w:val="center"/>
        <w:rPr>
          <w:rFonts w:ascii="Century Gothic" w:hAnsi="Century Gothic"/>
          <w:sz w:val="20"/>
          <w:lang w:val="es-ES"/>
        </w:rPr>
      </w:pPr>
      <w:r w:rsidRPr="00536239">
        <w:rPr>
          <w:rFonts w:ascii="Century Gothic" w:hAnsi="Century Gothic"/>
          <w:sz w:val="20"/>
          <w:lang w:val="es-ES"/>
        </w:rPr>
        <w:t>Fuente: Secretaría de Hacienda, 2018</w:t>
      </w:r>
    </w:p>
    <w:p w14:paraId="15243140" w14:textId="19B560EF" w:rsidR="00CD0559" w:rsidRPr="00536239" w:rsidRDefault="00CD0559" w:rsidP="00CD0559">
      <w:pPr>
        <w:jc w:val="both"/>
        <w:rPr>
          <w:rFonts w:ascii="Century Gothic" w:hAnsi="Century Gothic"/>
          <w:lang w:val="es-ES"/>
        </w:rPr>
      </w:pPr>
      <w:r w:rsidRPr="00536239">
        <w:rPr>
          <w:rFonts w:ascii="Century Gothic" w:hAnsi="Century Gothic"/>
          <w:lang w:val="es-ES"/>
        </w:rPr>
        <w:t xml:space="preserve">Las transferencias a los Entes de Control se mantienen dentro de los límites establecidos en la Ley 617 de 2001 para el Concejo, la Personería y la Contraloría Municipal de acuerdo a lo establecido en la </w:t>
      </w:r>
      <w:r w:rsidR="009E3AB7" w:rsidRPr="00536239">
        <w:rPr>
          <w:rFonts w:ascii="Century Gothic" w:hAnsi="Century Gothic"/>
          <w:lang w:val="es-ES"/>
        </w:rPr>
        <w:t xml:space="preserve">Ley </w:t>
      </w:r>
      <w:r w:rsidRPr="00536239">
        <w:rPr>
          <w:rFonts w:ascii="Century Gothic" w:hAnsi="Century Gothic"/>
          <w:lang w:val="es-ES"/>
        </w:rPr>
        <w:t>1416 de 2010.</w:t>
      </w:r>
    </w:p>
    <w:p w14:paraId="5B48DBF2" w14:textId="77777777" w:rsidR="007A0261" w:rsidRPr="00536239" w:rsidRDefault="007A0261" w:rsidP="005F2EF5">
      <w:pPr>
        <w:pStyle w:val="Ttulo3"/>
        <w:rPr>
          <w:lang w:val="es-ES"/>
        </w:rPr>
      </w:pPr>
      <w:bookmarkStart w:id="39" w:name="_Toc532565925"/>
      <w:r w:rsidRPr="00536239">
        <w:rPr>
          <w:lang w:val="es-ES"/>
        </w:rPr>
        <w:t>Servicio de la deuda</w:t>
      </w:r>
      <w:bookmarkEnd w:id="39"/>
    </w:p>
    <w:p w14:paraId="3F674769" w14:textId="219A9FF7" w:rsidR="00C729B8" w:rsidRPr="00536239" w:rsidRDefault="00F10F78" w:rsidP="00C729B8">
      <w:pPr>
        <w:jc w:val="both"/>
        <w:rPr>
          <w:rFonts w:ascii="Century Gothic" w:hAnsi="Century Gothic"/>
        </w:rPr>
      </w:pPr>
      <w:r w:rsidRPr="00536239">
        <w:rPr>
          <w:rFonts w:ascii="Century Gothic" w:hAnsi="Century Gothic"/>
        </w:rPr>
        <w:t>El s</w:t>
      </w:r>
      <w:r w:rsidR="00C729B8" w:rsidRPr="00536239">
        <w:rPr>
          <w:rFonts w:ascii="Century Gothic" w:hAnsi="Century Gothic"/>
        </w:rPr>
        <w:t xml:space="preserve">ervicio de </w:t>
      </w:r>
      <w:r w:rsidRPr="00536239">
        <w:rPr>
          <w:rFonts w:ascii="Century Gothic" w:hAnsi="Century Gothic"/>
        </w:rPr>
        <w:t xml:space="preserve">la </w:t>
      </w:r>
      <w:r w:rsidR="00C729B8" w:rsidRPr="00536239">
        <w:rPr>
          <w:rFonts w:ascii="Century Gothic" w:hAnsi="Century Gothic"/>
        </w:rPr>
        <w:t xml:space="preserve">deuda incrementa en </w:t>
      </w:r>
      <w:r w:rsidRPr="00536239">
        <w:rPr>
          <w:rFonts w:ascii="Century Gothic" w:hAnsi="Century Gothic"/>
        </w:rPr>
        <w:t xml:space="preserve">un </w:t>
      </w:r>
      <w:r w:rsidR="00C729B8" w:rsidRPr="00536239">
        <w:rPr>
          <w:rFonts w:ascii="Century Gothic" w:hAnsi="Century Gothic"/>
        </w:rPr>
        <w:t>12</w:t>
      </w:r>
      <w:r w:rsidR="00AA639F" w:rsidRPr="00536239">
        <w:rPr>
          <w:rFonts w:ascii="Century Gothic" w:hAnsi="Century Gothic"/>
        </w:rPr>
        <w:t xml:space="preserve"> por ciento</w:t>
      </w:r>
      <w:r w:rsidR="00C729B8" w:rsidRPr="00536239">
        <w:rPr>
          <w:rFonts w:ascii="Century Gothic" w:hAnsi="Century Gothic"/>
        </w:rPr>
        <w:t xml:space="preserve"> frente al año 2018, esto es porque se incluye el pago de la deuda de los nuevos créditos.</w:t>
      </w:r>
    </w:p>
    <w:p w14:paraId="606643A5" w14:textId="6F580E2E" w:rsidR="00C729B8" w:rsidRPr="00536239" w:rsidRDefault="00C729B8" w:rsidP="00C729B8">
      <w:pPr>
        <w:spacing w:after="0"/>
        <w:jc w:val="center"/>
        <w:rPr>
          <w:rFonts w:ascii="Century Gothic" w:hAnsi="Century Gothic"/>
        </w:rPr>
      </w:pPr>
      <w:bookmarkStart w:id="40" w:name="_Toc532570513"/>
      <w:r w:rsidRPr="00536239">
        <w:rPr>
          <w:rFonts w:ascii="Century Gothic" w:hAnsi="Century Gothic"/>
          <w:lang w:val="es-ES"/>
        </w:rPr>
        <w:t xml:space="preserve">Tabla </w:t>
      </w:r>
      <w:r w:rsidRPr="00536239">
        <w:rPr>
          <w:rFonts w:ascii="Century Gothic" w:hAnsi="Century Gothic"/>
          <w:lang w:val="es-ES"/>
        </w:rPr>
        <w:fldChar w:fldCharType="begin"/>
      </w:r>
      <w:r w:rsidRPr="00536239">
        <w:rPr>
          <w:rFonts w:ascii="Century Gothic" w:hAnsi="Century Gothic"/>
          <w:lang w:val="es-ES"/>
        </w:rPr>
        <w:instrText xml:space="preserve"> SEQ Tabla \* ARABIC </w:instrText>
      </w:r>
      <w:r w:rsidRPr="00536239">
        <w:rPr>
          <w:rFonts w:ascii="Century Gothic" w:hAnsi="Century Gothic"/>
          <w:lang w:val="es-ES"/>
        </w:rPr>
        <w:fldChar w:fldCharType="separate"/>
      </w:r>
      <w:r w:rsidR="00934BA3">
        <w:rPr>
          <w:rFonts w:ascii="Century Gothic" w:hAnsi="Century Gothic"/>
          <w:noProof/>
          <w:lang w:val="es-ES"/>
        </w:rPr>
        <w:t>22</w:t>
      </w:r>
      <w:r w:rsidRPr="00536239">
        <w:rPr>
          <w:rFonts w:ascii="Century Gothic" w:hAnsi="Century Gothic"/>
          <w:lang w:val="es-ES"/>
        </w:rPr>
        <w:fldChar w:fldCharType="end"/>
      </w:r>
      <w:r w:rsidRPr="00536239">
        <w:rPr>
          <w:rFonts w:ascii="Century Gothic" w:hAnsi="Century Gothic"/>
          <w:lang w:val="es-ES"/>
        </w:rPr>
        <w:t>. Servicio de la deuda</w:t>
      </w:r>
      <w:bookmarkEnd w:id="40"/>
      <w:r w:rsidRPr="00536239">
        <w:rPr>
          <w:rFonts w:ascii="Century Gothic" w:hAnsi="Century Gothic"/>
          <w:lang w:val="es-ES"/>
        </w:rPr>
        <w:t xml:space="preserve"> </w:t>
      </w:r>
    </w:p>
    <w:tbl>
      <w:tblPr>
        <w:tblW w:w="5000" w:type="pct"/>
        <w:tblLayout w:type="fixed"/>
        <w:tblCellMar>
          <w:left w:w="70" w:type="dxa"/>
          <w:right w:w="70" w:type="dxa"/>
        </w:tblCellMar>
        <w:tblLook w:val="04A0" w:firstRow="1" w:lastRow="0" w:firstColumn="1" w:lastColumn="0" w:noHBand="0" w:noVBand="1"/>
      </w:tblPr>
      <w:tblGrid>
        <w:gridCol w:w="3167"/>
        <w:gridCol w:w="1440"/>
        <w:gridCol w:w="1444"/>
        <w:gridCol w:w="1442"/>
        <w:gridCol w:w="1485"/>
      </w:tblGrid>
      <w:tr w:rsidR="00C729B8" w:rsidRPr="00536239" w14:paraId="7D50E87B" w14:textId="77777777" w:rsidTr="00F2324B">
        <w:trPr>
          <w:trHeight w:val="552"/>
        </w:trPr>
        <w:tc>
          <w:tcPr>
            <w:tcW w:w="1764"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8C7F176" w14:textId="4EA92747" w:rsidR="00C729B8" w:rsidRPr="00536239" w:rsidRDefault="00C729B8" w:rsidP="00C729B8">
            <w:pPr>
              <w:spacing w:after="0" w:line="240" w:lineRule="auto"/>
              <w:jc w:val="center"/>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Concepto</w:t>
            </w:r>
          </w:p>
        </w:tc>
        <w:tc>
          <w:tcPr>
            <w:tcW w:w="802" w:type="pct"/>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29873733" w14:textId="2BC7ECAE" w:rsidR="00C729B8" w:rsidRPr="00536239" w:rsidRDefault="00C729B8" w:rsidP="00C729B8">
            <w:pPr>
              <w:spacing w:after="0" w:line="240" w:lineRule="auto"/>
              <w:jc w:val="center"/>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Presupuesto inicial 2018</w:t>
            </w:r>
          </w:p>
        </w:tc>
        <w:tc>
          <w:tcPr>
            <w:tcW w:w="804" w:type="pct"/>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435D789E" w14:textId="0F369D4D" w:rsidR="00C729B8" w:rsidRPr="00536239" w:rsidRDefault="00C729B8" w:rsidP="00C729B8">
            <w:pPr>
              <w:spacing w:after="0" w:line="240" w:lineRule="auto"/>
              <w:jc w:val="center"/>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Participación 2018</w:t>
            </w:r>
            <w:r w:rsidR="00AA639F" w:rsidRPr="00536239">
              <w:rPr>
                <w:rFonts w:ascii="Century Gothic" w:eastAsia="Times New Roman" w:hAnsi="Century Gothic" w:cs="Arial"/>
                <w:b/>
                <w:color w:val="000000"/>
                <w:sz w:val="20"/>
                <w:lang w:val="es-ES" w:eastAsia="es-ES"/>
              </w:rPr>
              <w:t xml:space="preserve"> %</w:t>
            </w:r>
          </w:p>
        </w:tc>
        <w:tc>
          <w:tcPr>
            <w:tcW w:w="803" w:type="pct"/>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73E91E1C" w14:textId="042279C8" w:rsidR="00C729B8" w:rsidRPr="00536239" w:rsidRDefault="00C729B8" w:rsidP="00C729B8">
            <w:pPr>
              <w:spacing w:after="0" w:line="240" w:lineRule="auto"/>
              <w:jc w:val="center"/>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Presupuesto inicial 2019</w:t>
            </w:r>
          </w:p>
        </w:tc>
        <w:tc>
          <w:tcPr>
            <w:tcW w:w="827" w:type="pct"/>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51351AC5" w14:textId="21B4F95C" w:rsidR="00C729B8" w:rsidRPr="00536239" w:rsidRDefault="00C729B8" w:rsidP="00C729B8">
            <w:pPr>
              <w:spacing w:after="0" w:line="240" w:lineRule="auto"/>
              <w:jc w:val="center"/>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Participación 2019</w:t>
            </w:r>
            <w:r w:rsidR="00AA639F" w:rsidRPr="00536239">
              <w:rPr>
                <w:rFonts w:ascii="Century Gothic" w:eastAsia="Times New Roman" w:hAnsi="Century Gothic" w:cs="Arial"/>
                <w:b/>
                <w:color w:val="000000"/>
                <w:sz w:val="20"/>
                <w:lang w:val="es-ES" w:eastAsia="es-ES"/>
              </w:rPr>
              <w:t xml:space="preserve"> %</w:t>
            </w:r>
          </w:p>
        </w:tc>
      </w:tr>
      <w:tr w:rsidR="00C729B8" w:rsidRPr="00536239" w14:paraId="52DB2AF9" w14:textId="77777777" w:rsidTr="00F2324B">
        <w:trPr>
          <w:trHeight w:val="276"/>
        </w:trPr>
        <w:tc>
          <w:tcPr>
            <w:tcW w:w="1764" w:type="pct"/>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23F3AC9F" w14:textId="77777777" w:rsidR="00C729B8" w:rsidRPr="00536239" w:rsidRDefault="00C729B8" w:rsidP="00C729B8">
            <w:pPr>
              <w:spacing w:after="0" w:line="240" w:lineRule="auto"/>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Deuda interna</w:t>
            </w:r>
          </w:p>
        </w:tc>
        <w:tc>
          <w:tcPr>
            <w:tcW w:w="802" w:type="pct"/>
            <w:tcBorders>
              <w:top w:val="nil"/>
              <w:left w:val="nil"/>
              <w:bottom w:val="single" w:sz="4" w:space="0" w:color="auto"/>
              <w:right w:val="single" w:sz="4" w:space="0" w:color="auto"/>
            </w:tcBorders>
            <w:shd w:val="clear" w:color="auto" w:fill="auto"/>
            <w:noWrap/>
            <w:vAlign w:val="center"/>
            <w:hideMark/>
          </w:tcPr>
          <w:p w14:paraId="563225DA" w14:textId="71D0C7C5" w:rsidR="00C729B8" w:rsidRPr="00536239" w:rsidRDefault="00C729B8"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 xml:space="preserve">16.205 </w:t>
            </w:r>
          </w:p>
        </w:tc>
        <w:tc>
          <w:tcPr>
            <w:tcW w:w="804" w:type="pct"/>
            <w:tcBorders>
              <w:top w:val="nil"/>
              <w:left w:val="nil"/>
              <w:bottom w:val="single" w:sz="4" w:space="0" w:color="auto"/>
              <w:right w:val="single" w:sz="4" w:space="0" w:color="auto"/>
            </w:tcBorders>
            <w:shd w:val="clear" w:color="auto" w:fill="auto"/>
            <w:noWrap/>
            <w:vAlign w:val="center"/>
            <w:hideMark/>
          </w:tcPr>
          <w:p w14:paraId="5CE31115" w14:textId="5462D39A" w:rsidR="00C729B8" w:rsidRPr="00536239" w:rsidRDefault="00C729B8" w:rsidP="00AA639F">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92</w:t>
            </w:r>
          </w:p>
        </w:tc>
        <w:tc>
          <w:tcPr>
            <w:tcW w:w="803" w:type="pct"/>
            <w:tcBorders>
              <w:top w:val="nil"/>
              <w:left w:val="nil"/>
              <w:bottom w:val="single" w:sz="4" w:space="0" w:color="auto"/>
              <w:right w:val="single" w:sz="4" w:space="0" w:color="auto"/>
            </w:tcBorders>
            <w:shd w:val="clear" w:color="auto" w:fill="auto"/>
            <w:noWrap/>
            <w:vAlign w:val="center"/>
            <w:hideMark/>
          </w:tcPr>
          <w:p w14:paraId="0E133A42" w14:textId="093A7974" w:rsidR="00C729B8" w:rsidRPr="00536239" w:rsidRDefault="00C729B8"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 xml:space="preserve">18.040 </w:t>
            </w:r>
          </w:p>
        </w:tc>
        <w:tc>
          <w:tcPr>
            <w:tcW w:w="827" w:type="pct"/>
            <w:tcBorders>
              <w:top w:val="nil"/>
              <w:left w:val="nil"/>
              <w:bottom w:val="single" w:sz="4" w:space="0" w:color="auto"/>
              <w:right w:val="single" w:sz="4" w:space="0" w:color="auto"/>
            </w:tcBorders>
            <w:shd w:val="clear" w:color="auto" w:fill="auto"/>
            <w:noWrap/>
            <w:vAlign w:val="center"/>
            <w:hideMark/>
          </w:tcPr>
          <w:p w14:paraId="12AEB179" w14:textId="6DDA9106" w:rsidR="00C729B8" w:rsidRPr="00536239" w:rsidRDefault="00C729B8" w:rsidP="00AA639F">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93</w:t>
            </w:r>
          </w:p>
        </w:tc>
      </w:tr>
      <w:tr w:rsidR="00C729B8" w:rsidRPr="00536239" w14:paraId="761C26B1" w14:textId="77777777" w:rsidTr="00F2324B">
        <w:trPr>
          <w:trHeight w:val="276"/>
        </w:trPr>
        <w:tc>
          <w:tcPr>
            <w:tcW w:w="1764" w:type="pct"/>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3D0C7F41" w14:textId="382269D5" w:rsidR="00C729B8" w:rsidRPr="00536239" w:rsidRDefault="00F2324B" w:rsidP="00C729B8">
            <w:pPr>
              <w:spacing w:after="0" w:line="240" w:lineRule="auto"/>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D</w:t>
            </w:r>
            <w:r w:rsidR="00C729B8" w:rsidRPr="00536239">
              <w:rPr>
                <w:rFonts w:ascii="Century Gothic" w:eastAsia="Times New Roman" w:hAnsi="Century Gothic" w:cs="Arial"/>
                <w:b/>
                <w:color w:val="000000"/>
                <w:sz w:val="20"/>
                <w:lang w:val="es-ES" w:eastAsia="es-ES"/>
              </w:rPr>
              <w:t>euda externa</w:t>
            </w:r>
          </w:p>
        </w:tc>
        <w:tc>
          <w:tcPr>
            <w:tcW w:w="802" w:type="pct"/>
            <w:tcBorders>
              <w:top w:val="nil"/>
              <w:left w:val="nil"/>
              <w:bottom w:val="single" w:sz="4" w:space="0" w:color="auto"/>
              <w:right w:val="single" w:sz="4" w:space="0" w:color="auto"/>
            </w:tcBorders>
            <w:shd w:val="clear" w:color="auto" w:fill="auto"/>
            <w:noWrap/>
            <w:vAlign w:val="center"/>
            <w:hideMark/>
          </w:tcPr>
          <w:p w14:paraId="237AB090" w14:textId="718CBB69" w:rsidR="00C729B8" w:rsidRPr="00536239" w:rsidRDefault="00C729B8"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 xml:space="preserve">218 </w:t>
            </w:r>
          </w:p>
        </w:tc>
        <w:tc>
          <w:tcPr>
            <w:tcW w:w="804" w:type="pct"/>
            <w:tcBorders>
              <w:top w:val="nil"/>
              <w:left w:val="nil"/>
              <w:bottom w:val="single" w:sz="4" w:space="0" w:color="auto"/>
              <w:right w:val="single" w:sz="4" w:space="0" w:color="auto"/>
            </w:tcBorders>
            <w:shd w:val="clear" w:color="auto" w:fill="auto"/>
            <w:noWrap/>
            <w:vAlign w:val="center"/>
            <w:hideMark/>
          </w:tcPr>
          <w:p w14:paraId="34D456E2" w14:textId="36066E5A" w:rsidR="00C729B8" w:rsidRPr="00536239" w:rsidRDefault="00AA639F"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1</w:t>
            </w:r>
          </w:p>
        </w:tc>
        <w:tc>
          <w:tcPr>
            <w:tcW w:w="803" w:type="pct"/>
            <w:tcBorders>
              <w:top w:val="nil"/>
              <w:left w:val="nil"/>
              <w:bottom w:val="single" w:sz="4" w:space="0" w:color="auto"/>
              <w:right w:val="single" w:sz="4" w:space="0" w:color="auto"/>
            </w:tcBorders>
            <w:shd w:val="clear" w:color="auto" w:fill="auto"/>
            <w:noWrap/>
            <w:vAlign w:val="center"/>
            <w:hideMark/>
          </w:tcPr>
          <w:p w14:paraId="5115FC62" w14:textId="73FE98D8" w:rsidR="00C729B8" w:rsidRPr="00536239" w:rsidRDefault="00C729B8"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 xml:space="preserve">210 </w:t>
            </w:r>
          </w:p>
        </w:tc>
        <w:tc>
          <w:tcPr>
            <w:tcW w:w="827" w:type="pct"/>
            <w:tcBorders>
              <w:top w:val="nil"/>
              <w:left w:val="nil"/>
              <w:bottom w:val="single" w:sz="4" w:space="0" w:color="auto"/>
              <w:right w:val="single" w:sz="4" w:space="0" w:color="auto"/>
            </w:tcBorders>
            <w:shd w:val="clear" w:color="auto" w:fill="auto"/>
            <w:noWrap/>
            <w:vAlign w:val="center"/>
            <w:hideMark/>
          </w:tcPr>
          <w:p w14:paraId="5380251A" w14:textId="5A68BEFF" w:rsidR="00C729B8" w:rsidRPr="00536239" w:rsidRDefault="00AA639F"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1</w:t>
            </w:r>
          </w:p>
        </w:tc>
      </w:tr>
      <w:tr w:rsidR="00C729B8" w:rsidRPr="00536239" w14:paraId="535BFB9A" w14:textId="77777777" w:rsidTr="00F2324B">
        <w:trPr>
          <w:trHeight w:val="276"/>
        </w:trPr>
        <w:tc>
          <w:tcPr>
            <w:tcW w:w="1764" w:type="pct"/>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310542BF" w14:textId="77777777" w:rsidR="00C729B8" w:rsidRPr="00536239" w:rsidRDefault="00C729B8" w:rsidP="00C729B8">
            <w:pPr>
              <w:spacing w:after="0" w:line="240" w:lineRule="auto"/>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 xml:space="preserve">Bonos </w:t>
            </w:r>
          </w:p>
        </w:tc>
        <w:tc>
          <w:tcPr>
            <w:tcW w:w="802" w:type="pct"/>
            <w:tcBorders>
              <w:top w:val="nil"/>
              <w:left w:val="nil"/>
              <w:bottom w:val="single" w:sz="4" w:space="0" w:color="auto"/>
              <w:right w:val="single" w:sz="4" w:space="0" w:color="auto"/>
            </w:tcBorders>
            <w:shd w:val="clear" w:color="auto" w:fill="auto"/>
            <w:noWrap/>
            <w:vAlign w:val="center"/>
            <w:hideMark/>
          </w:tcPr>
          <w:p w14:paraId="31DE6930" w14:textId="3EFEAC19" w:rsidR="00C729B8" w:rsidRPr="00536239" w:rsidRDefault="00C729B8"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 xml:space="preserve">1.249 </w:t>
            </w:r>
          </w:p>
        </w:tc>
        <w:tc>
          <w:tcPr>
            <w:tcW w:w="804" w:type="pct"/>
            <w:tcBorders>
              <w:top w:val="nil"/>
              <w:left w:val="nil"/>
              <w:bottom w:val="single" w:sz="4" w:space="0" w:color="auto"/>
              <w:right w:val="single" w:sz="4" w:space="0" w:color="auto"/>
            </w:tcBorders>
            <w:shd w:val="clear" w:color="auto" w:fill="auto"/>
            <w:noWrap/>
            <w:vAlign w:val="center"/>
            <w:hideMark/>
          </w:tcPr>
          <w:p w14:paraId="3C761B13" w14:textId="60204693" w:rsidR="00C729B8" w:rsidRPr="00536239" w:rsidRDefault="00AA639F"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7</w:t>
            </w:r>
          </w:p>
        </w:tc>
        <w:tc>
          <w:tcPr>
            <w:tcW w:w="803" w:type="pct"/>
            <w:tcBorders>
              <w:top w:val="nil"/>
              <w:left w:val="nil"/>
              <w:bottom w:val="single" w:sz="4" w:space="0" w:color="auto"/>
              <w:right w:val="single" w:sz="4" w:space="0" w:color="auto"/>
            </w:tcBorders>
            <w:shd w:val="clear" w:color="auto" w:fill="auto"/>
            <w:noWrap/>
            <w:vAlign w:val="center"/>
            <w:hideMark/>
          </w:tcPr>
          <w:p w14:paraId="19F96A11" w14:textId="235208AC" w:rsidR="00C729B8" w:rsidRPr="00536239" w:rsidRDefault="00C729B8"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 xml:space="preserve">1.228 </w:t>
            </w:r>
          </w:p>
        </w:tc>
        <w:tc>
          <w:tcPr>
            <w:tcW w:w="827" w:type="pct"/>
            <w:tcBorders>
              <w:top w:val="nil"/>
              <w:left w:val="nil"/>
              <w:bottom w:val="single" w:sz="4" w:space="0" w:color="auto"/>
              <w:right w:val="single" w:sz="4" w:space="0" w:color="auto"/>
            </w:tcBorders>
            <w:shd w:val="clear" w:color="auto" w:fill="auto"/>
            <w:noWrap/>
            <w:vAlign w:val="center"/>
            <w:hideMark/>
          </w:tcPr>
          <w:p w14:paraId="1066D091" w14:textId="43B9B5E7" w:rsidR="00C729B8" w:rsidRPr="00536239" w:rsidRDefault="00AA639F" w:rsidP="00C729B8">
            <w:pPr>
              <w:spacing w:after="0" w:line="240" w:lineRule="auto"/>
              <w:jc w:val="right"/>
              <w:rPr>
                <w:rFonts w:ascii="Century Gothic" w:eastAsia="Times New Roman" w:hAnsi="Century Gothic" w:cs="Arial"/>
                <w:color w:val="000000"/>
                <w:sz w:val="20"/>
                <w:lang w:val="es-ES" w:eastAsia="es-ES"/>
              </w:rPr>
            </w:pPr>
            <w:r w:rsidRPr="00536239">
              <w:rPr>
                <w:rFonts w:ascii="Century Gothic" w:eastAsia="Times New Roman" w:hAnsi="Century Gothic" w:cs="Arial"/>
                <w:color w:val="000000"/>
                <w:sz w:val="20"/>
                <w:lang w:val="es-ES" w:eastAsia="es-ES"/>
              </w:rPr>
              <w:t>6</w:t>
            </w:r>
          </w:p>
        </w:tc>
      </w:tr>
      <w:tr w:rsidR="00C729B8" w:rsidRPr="00536239" w14:paraId="53D004CD" w14:textId="77777777" w:rsidTr="00F2324B">
        <w:trPr>
          <w:trHeight w:val="276"/>
        </w:trPr>
        <w:tc>
          <w:tcPr>
            <w:tcW w:w="1764" w:type="pct"/>
            <w:tcBorders>
              <w:top w:val="nil"/>
              <w:left w:val="single" w:sz="4" w:space="0" w:color="auto"/>
              <w:bottom w:val="single" w:sz="4" w:space="0" w:color="auto"/>
              <w:right w:val="single" w:sz="4" w:space="0" w:color="auto"/>
            </w:tcBorders>
            <w:shd w:val="clear" w:color="000000" w:fill="C4D79B"/>
            <w:noWrap/>
            <w:vAlign w:val="bottom"/>
            <w:hideMark/>
          </w:tcPr>
          <w:p w14:paraId="0AD0343E" w14:textId="77777777" w:rsidR="00C729B8" w:rsidRPr="00536239" w:rsidRDefault="00C729B8" w:rsidP="00C729B8">
            <w:pPr>
              <w:spacing w:after="0" w:line="240" w:lineRule="auto"/>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Total servicio de deuda</w:t>
            </w:r>
          </w:p>
        </w:tc>
        <w:tc>
          <w:tcPr>
            <w:tcW w:w="802" w:type="pct"/>
            <w:tcBorders>
              <w:top w:val="nil"/>
              <w:left w:val="nil"/>
              <w:bottom w:val="single" w:sz="4" w:space="0" w:color="auto"/>
              <w:right w:val="single" w:sz="4" w:space="0" w:color="auto"/>
            </w:tcBorders>
            <w:shd w:val="clear" w:color="000000" w:fill="C4D79B"/>
            <w:noWrap/>
            <w:vAlign w:val="center"/>
            <w:hideMark/>
          </w:tcPr>
          <w:p w14:paraId="7070D436" w14:textId="4B1D05C9" w:rsidR="00C729B8" w:rsidRPr="00536239" w:rsidRDefault="00C729B8" w:rsidP="00C729B8">
            <w:pPr>
              <w:spacing w:after="0" w:line="240" w:lineRule="auto"/>
              <w:jc w:val="right"/>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 xml:space="preserve">17.671 </w:t>
            </w:r>
          </w:p>
        </w:tc>
        <w:tc>
          <w:tcPr>
            <w:tcW w:w="804" w:type="pct"/>
            <w:tcBorders>
              <w:top w:val="nil"/>
              <w:left w:val="nil"/>
              <w:bottom w:val="single" w:sz="4" w:space="0" w:color="auto"/>
              <w:right w:val="single" w:sz="4" w:space="0" w:color="auto"/>
            </w:tcBorders>
            <w:shd w:val="clear" w:color="000000" w:fill="C4D79B"/>
            <w:noWrap/>
            <w:vAlign w:val="center"/>
            <w:hideMark/>
          </w:tcPr>
          <w:p w14:paraId="338A0378" w14:textId="27BD6DC1" w:rsidR="00C729B8" w:rsidRPr="00536239" w:rsidRDefault="00AA639F" w:rsidP="00C729B8">
            <w:pPr>
              <w:spacing w:after="0" w:line="240" w:lineRule="auto"/>
              <w:jc w:val="right"/>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100</w:t>
            </w:r>
          </w:p>
        </w:tc>
        <w:tc>
          <w:tcPr>
            <w:tcW w:w="803" w:type="pct"/>
            <w:tcBorders>
              <w:top w:val="nil"/>
              <w:left w:val="nil"/>
              <w:bottom w:val="single" w:sz="4" w:space="0" w:color="auto"/>
              <w:right w:val="single" w:sz="4" w:space="0" w:color="auto"/>
            </w:tcBorders>
            <w:shd w:val="clear" w:color="000000" w:fill="C4D79B"/>
            <w:noWrap/>
            <w:vAlign w:val="center"/>
            <w:hideMark/>
          </w:tcPr>
          <w:p w14:paraId="50B3E2FE" w14:textId="1D23646F" w:rsidR="00C729B8" w:rsidRPr="00536239" w:rsidRDefault="00C729B8" w:rsidP="00C729B8">
            <w:pPr>
              <w:spacing w:after="0" w:line="240" w:lineRule="auto"/>
              <w:jc w:val="right"/>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 xml:space="preserve">19.478 </w:t>
            </w:r>
          </w:p>
        </w:tc>
        <w:tc>
          <w:tcPr>
            <w:tcW w:w="827" w:type="pct"/>
            <w:tcBorders>
              <w:top w:val="nil"/>
              <w:left w:val="nil"/>
              <w:bottom w:val="single" w:sz="4" w:space="0" w:color="auto"/>
              <w:right w:val="single" w:sz="4" w:space="0" w:color="auto"/>
            </w:tcBorders>
            <w:shd w:val="clear" w:color="000000" w:fill="C4D79B"/>
            <w:noWrap/>
            <w:vAlign w:val="center"/>
            <w:hideMark/>
          </w:tcPr>
          <w:p w14:paraId="2018004B" w14:textId="07F056FC" w:rsidR="00C729B8" w:rsidRPr="00536239" w:rsidRDefault="00AA639F" w:rsidP="00C729B8">
            <w:pPr>
              <w:spacing w:after="0" w:line="240" w:lineRule="auto"/>
              <w:jc w:val="right"/>
              <w:rPr>
                <w:rFonts w:ascii="Century Gothic" w:eastAsia="Times New Roman" w:hAnsi="Century Gothic" w:cs="Arial"/>
                <w:b/>
                <w:color w:val="000000"/>
                <w:sz w:val="20"/>
                <w:lang w:val="es-ES" w:eastAsia="es-ES"/>
              </w:rPr>
            </w:pPr>
            <w:r w:rsidRPr="00536239">
              <w:rPr>
                <w:rFonts w:ascii="Century Gothic" w:eastAsia="Times New Roman" w:hAnsi="Century Gothic" w:cs="Arial"/>
                <w:b/>
                <w:color w:val="000000"/>
                <w:sz w:val="20"/>
                <w:lang w:val="es-ES" w:eastAsia="es-ES"/>
              </w:rPr>
              <w:t>100</w:t>
            </w:r>
          </w:p>
        </w:tc>
      </w:tr>
    </w:tbl>
    <w:p w14:paraId="2890FC44" w14:textId="1D523491" w:rsidR="007A0261" w:rsidRPr="002F6022" w:rsidRDefault="00D17CF8" w:rsidP="009931F5">
      <w:pPr>
        <w:jc w:val="center"/>
        <w:rPr>
          <w:rFonts w:ascii="Century Gothic" w:hAnsi="Century Gothic"/>
          <w:lang w:val="es-ES"/>
        </w:rPr>
      </w:pPr>
      <w:r w:rsidRPr="002F6022">
        <w:rPr>
          <w:rFonts w:ascii="Century Gothic" w:hAnsi="Century Gothic"/>
          <w:sz w:val="20"/>
          <w:lang w:val="es-ES"/>
        </w:rPr>
        <w:t>Fuente: Secretaría de Hacienda, 201</w:t>
      </w:r>
      <w:r w:rsidR="00CD0559" w:rsidRPr="002F6022">
        <w:rPr>
          <w:rFonts w:ascii="Century Gothic" w:hAnsi="Century Gothic"/>
          <w:sz w:val="20"/>
          <w:lang w:val="es-ES"/>
        </w:rPr>
        <w:t>8</w:t>
      </w:r>
    </w:p>
    <w:p w14:paraId="5D2A7353" w14:textId="77777777" w:rsidR="007A0261" w:rsidRPr="002F6022" w:rsidRDefault="007A0261" w:rsidP="005F2EF5">
      <w:pPr>
        <w:pStyle w:val="Ttulo3"/>
        <w:rPr>
          <w:lang w:val="es-ES"/>
        </w:rPr>
      </w:pPr>
      <w:bookmarkStart w:id="41" w:name="_Toc532565926"/>
      <w:r w:rsidRPr="002F6022">
        <w:rPr>
          <w:lang w:val="es-ES"/>
        </w:rPr>
        <w:t xml:space="preserve">Gastos de </w:t>
      </w:r>
      <w:r w:rsidR="00E76284" w:rsidRPr="002F6022">
        <w:rPr>
          <w:lang w:val="es-ES"/>
        </w:rPr>
        <w:t>inversión</w:t>
      </w:r>
      <w:bookmarkEnd w:id="41"/>
    </w:p>
    <w:p w14:paraId="07A9391A" w14:textId="5E546506" w:rsidR="00B011D8" w:rsidRPr="002F6022" w:rsidRDefault="00B011D8" w:rsidP="00B011D8">
      <w:pPr>
        <w:jc w:val="both"/>
        <w:rPr>
          <w:rFonts w:ascii="Century Gothic" w:hAnsi="Century Gothic"/>
          <w:lang w:val="es-ES"/>
        </w:rPr>
      </w:pPr>
      <w:r w:rsidRPr="002F6022">
        <w:rPr>
          <w:rFonts w:ascii="Century Gothic" w:hAnsi="Century Gothic"/>
          <w:lang w:val="es-ES"/>
        </w:rPr>
        <w:t>Los gastos de inversión proyectados para la vigencia 2017 fueron del orden de $592.423 millones (incluye Fondos, Establecimientos y Unidad Administrativa), se observa que el sector con mayor participación es el de Educación con 39,6</w:t>
      </w:r>
      <w:r w:rsidR="00887EF9" w:rsidRPr="002F6022">
        <w:rPr>
          <w:rFonts w:ascii="Century Gothic" w:hAnsi="Century Gothic"/>
          <w:lang w:val="es-ES"/>
        </w:rPr>
        <w:t xml:space="preserve"> por ciento</w:t>
      </w:r>
      <w:r w:rsidRPr="002F6022">
        <w:rPr>
          <w:rFonts w:ascii="Century Gothic" w:hAnsi="Century Gothic"/>
          <w:lang w:val="es-ES"/>
        </w:rPr>
        <w:t>, Salud con 28,9</w:t>
      </w:r>
      <w:r w:rsidR="00887EF9" w:rsidRPr="002F6022">
        <w:rPr>
          <w:rFonts w:ascii="Century Gothic" w:hAnsi="Century Gothic"/>
          <w:lang w:val="es-ES"/>
        </w:rPr>
        <w:t xml:space="preserve"> por ciento</w:t>
      </w:r>
      <w:r w:rsidR="002F6022" w:rsidRPr="002F6022">
        <w:rPr>
          <w:rFonts w:ascii="Century Gothic" w:hAnsi="Century Gothic"/>
          <w:lang w:val="es-ES"/>
        </w:rPr>
        <w:t>, mientras que</w:t>
      </w:r>
      <w:r w:rsidRPr="002F6022">
        <w:rPr>
          <w:rFonts w:ascii="Century Gothic" w:hAnsi="Century Gothic"/>
          <w:lang w:val="es-ES"/>
        </w:rPr>
        <w:t xml:space="preserve"> el de menor participación es del de Desarrollo Comunitario.</w:t>
      </w:r>
    </w:p>
    <w:p w14:paraId="409720F4" w14:textId="7F90F284" w:rsidR="00D515A6" w:rsidRPr="002F6022" w:rsidRDefault="00B011D8" w:rsidP="00B011D8">
      <w:pPr>
        <w:jc w:val="both"/>
        <w:rPr>
          <w:rFonts w:ascii="Century Gothic" w:hAnsi="Century Gothic"/>
          <w:lang w:val="es-ES"/>
        </w:rPr>
      </w:pPr>
      <w:r w:rsidRPr="002F6022">
        <w:rPr>
          <w:rFonts w:ascii="Century Gothic" w:hAnsi="Century Gothic"/>
          <w:lang w:val="es-ES"/>
        </w:rPr>
        <w:lastRenderedPageBreak/>
        <w:t>El presupuesto de Educación crec</w:t>
      </w:r>
      <w:r w:rsidR="002F6022" w:rsidRPr="002F6022">
        <w:rPr>
          <w:rFonts w:ascii="Century Gothic" w:hAnsi="Century Gothic"/>
          <w:lang w:val="es-ES"/>
        </w:rPr>
        <w:t>ió</w:t>
      </w:r>
      <w:r w:rsidRPr="002F6022">
        <w:rPr>
          <w:rFonts w:ascii="Century Gothic" w:hAnsi="Century Gothic"/>
          <w:lang w:val="es-ES"/>
        </w:rPr>
        <w:t xml:space="preserve"> durante estos dos últimos años</w:t>
      </w:r>
      <w:r w:rsidR="002F6022" w:rsidRPr="002F6022">
        <w:rPr>
          <w:rFonts w:ascii="Century Gothic" w:hAnsi="Century Gothic"/>
          <w:lang w:val="es-ES"/>
        </w:rPr>
        <w:t>,</w:t>
      </w:r>
      <w:r w:rsidRPr="002F6022">
        <w:rPr>
          <w:rFonts w:ascii="Century Gothic" w:hAnsi="Century Gothic"/>
          <w:lang w:val="es-ES"/>
        </w:rPr>
        <w:t xml:space="preserve"> por cuanto se realizó desahorro de los recursos </w:t>
      </w:r>
      <w:r w:rsidR="00D54630">
        <w:rPr>
          <w:rFonts w:ascii="Century Gothic" w:hAnsi="Century Gothic"/>
          <w:lang w:val="es-ES"/>
        </w:rPr>
        <w:t>FONPET</w:t>
      </w:r>
      <w:r w:rsidR="00F2324B" w:rsidRPr="002F6022">
        <w:rPr>
          <w:rFonts w:ascii="Century Gothic" w:hAnsi="Century Gothic"/>
          <w:lang w:val="es-ES"/>
        </w:rPr>
        <w:t xml:space="preserve">, para el año 2016 $51.178 </w:t>
      </w:r>
      <w:r w:rsidRPr="002F6022">
        <w:rPr>
          <w:rFonts w:ascii="Century Gothic" w:hAnsi="Century Gothic"/>
          <w:lang w:val="es-ES"/>
        </w:rPr>
        <w:t>millones y para el año 2017 $31.505 millones.</w:t>
      </w:r>
    </w:p>
    <w:p w14:paraId="78148503" w14:textId="135C4B2E" w:rsidR="00EB0DB1" w:rsidRPr="002F6022" w:rsidRDefault="00B011D8" w:rsidP="00B011D8">
      <w:pPr>
        <w:pStyle w:val="Epgrafe"/>
        <w:spacing w:after="0" w:line="276" w:lineRule="auto"/>
        <w:jc w:val="center"/>
        <w:rPr>
          <w:rFonts w:ascii="Century Gothic" w:hAnsi="Century Gothic"/>
          <w:b w:val="0"/>
          <w:color w:val="auto"/>
          <w:sz w:val="22"/>
          <w:szCs w:val="22"/>
          <w:lang w:val="es-ES"/>
        </w:rPr>
      </w:pPr>
      <w:bookmarkStart w:id="42" w:name="_Toc532570514"/>
      <w:r w:rsidRPr="002F6022">
        <w:rPr>
          <w:rFonts w:ascii="Century Gothic" w:hAnsi="Century Gothic"/>
          <w:b w:val="0"/>
          <w:color w:val="auto"/>
          <w:sz w:val="22"/>
          <w:lang w:val="es-ES"/>
        </w:rPr>
        <w:t xml:space="preserve">Tabla </w:t>
      </w:r>
      <w:r w:rsidRPr="002F6022">
        <w:rPr>
          <w:rFonts w:ascii="Century Gothic" w:hAnsi="Century Gothic"/>
          <w:b w:val="0"/>
          <w:color w:val="auto"/>
          <w:sz w:val="22"/>
          <w:lang w:val="es-ES"/>
        </w:rPr>
        <w:fldChar w:fldCharType="begin"/>
      </w:r>
      <w:r w:rsidRPr="002F6022">
        <w:rPr>
          <w:rFonts w:ascii="Century Gothic" w:hAnsi="Century Gothic"/>
          <w:b w:val="0"/>
          <w:color w:val="auto"/>
          <w:sz w:val="22"/>
          <w:lang w:val="es-ES"/>
        </w:rPr>
        <w:instrText xml:space="preserve"> SEQ Tabla \* ARABIC </w:instrText>
      </w:r>
      <w:r w:rsidRPr="002F6022">
        <w:rPr>
          <w:rFonts w:ascii="Century Gothic" w:hAnsi="Century Gothic"/>
          <w:b w:val="0"/>
          <w:color w:val="auto"/>
          <w:sz w:val="22"/>
          <w:lang w:val="es-ES"/>
        </w:rPr>
        <w:fldChar w:fldCharType="separate"/>
      </w:r>
      <w:r w:rsidR="00934BA3" w:rsidRPr="002F6022">
        <w:rPr>
          <w:rFonts w:ascii="Century Gothic" w:hAnsi="Century Gothic"/>
          <w:b w:val="0"/>
          <w:noProof/>
          <w:color w:val="auto"/>
          <w:sz w:val="22"/>
          <w:lang w:val="es-ES"/>
        </w:rPr>
        <w:t>23</w:t>
      </w:r>
      <w:r w:rsidRPr="002F6022">
        <w:rPr>
          <w:rFonts w:ascii="Century Gothic" w:hAnsi="Century Gothic"/>
          <w:b w:val="0"/>
          <w:color w:val="auto"/>
          <w:sz w:val="22"/>
          <w:lang w:val="es-ES"/>
        </w:rPr>
        <w:fldChar w:fldCharType="end"/>
      </w:r>
      <w:r w:rsidRPr="002F6022">
        <w:rPr>
          <w:rFonts w:ascii="Century Gothic" w:hAnsi="Century Gothic"/>
          <w:b w:val="0"/>
          <w:color w:val="auto"/>
          <w:sz w:val="22"/>
          <w:lang w:val="es-ES"/>
        </w:rPr>
        <w:t xml:space="preserve">. Composición </w:t>
      </w:r>
      <w:r w:rsidR="00EB0DB1" w:rsidRPr="002F6022">
        <w:rPr>
          <w:rFonts w:ascii="Century Gothic" w:hAnsi="Century Gothic"/>
          <w:b w:val="0"/>
          <w:color w:val="auto"/>
          <w:sz w:val="22"/>
          <w:szCs w:val="22"/>
          <w:lang w:val="es-ES"/>
        </w:rPr>
        <w:t xml:space="preserve">de </w:t>
      </w:r>
      <w:r w:rsidRPr="002F6022">
        <w:rPr>
          <w:rFonts w:ascii="Century Gothic" w:hAnsi="Century Gothic"/>
          <w:b w:val="0"/>
          <w:color w:val="auto"/>
          <w:sz w:val="22"/>
          <w:szCs w:val="22"/>
          <w:lang w:val="es-ES"/>
        </w:rPr>
        <w:t xml:space="preserve">gastos de </w:t>
      </w:r>
      <w:r w:rsidR="00EB0DB1" w:rsidRPr="002F6022">
        <w:rPr>
          <w:rFonts w:ascii="Century Gothic" w:hAnsi="Century Gothic"/>
          <w:b w:val="0"/>
          <w:color w:val="auto"/>
          <w:sz w:val="22"/>
          <w:szCs w:val="22"/>
          <w:lang w:val="es-ES"/>
        </w:rPr>
        <w:t>inversión</w:t>
      </w:r>
      <w:r w:rsidR="007408A1" w:rsidRPr="002F6022">
        <w:rPr>
          <w:rFonts w:ascii="Century Gothic" w:hAnsi="Century Gothic"/>
          <w:b w:val="0"/>
          <w:color w:val="auto"/>
          <w:sz w:val="22"/>
          <w:szCs w:val="22"/>
          <w:lang w:val="es-ES"/>
        </w:rPr>
        <w:t xml:space="preserve"> por sectores </w:t>
      </w:r>
      <w:r w:rsidR="00EB0DB1" w:rsidRPr="002F6022">
        <w:rPr>
          <w:rFonts w:ascii="Century Gothic" w:hAnsi="Century Gothic"/>
          <w:b w:val="0"/>
          <w:color w:val="auto"/>
          <w:sz w:val="22"/>
          <w:szCs w:val="22"/>
          <w:lang w:val="es-ES"/>
        </w:rPr>
        <w:t>201</w:t>
      </w:r>
      <w:r w:rsidRPr="002F6022">
        <w:rPr>
          <w:rFonts w:ascii="Century Gothic" w:hAnsi="Century Gothic"/>
          <w:b w:val="0"/>
          <w:color w:val="auto"/>
          <w:sz w:val="22"/>
          <w:szCs w:val="22"/>
          <w:lang w:val="es-ES"/>
        </w:rPr>
        <w:t>7</w:t>
      </w:r>
      <w:r w:rsidR="00EB0DB1" w:rsidRPr="002F6022">
        <w:rPr>
          <w:rFonts w:ascii="Century Gothic" w:hAnsi="Century Gothic"/>
          <w:b w:val="0"/>
          <w:color w:val="auto"/>
          <w:sz w:val="22"/>
          <w:szCs w:val="22"/>
          <w:lang w:val="es-ES"/>
        </w:rPr>
        <w:t xml:space="preserve"> (millones</w:t>
      </w:r>
      <w:r w:rsidRPr="002F6022">
        <w:rPr>
          <w:rFonts w:ascii="Century Gothic" w:hAnsi="Century Gothic"/>
          <w:b w:val="0"/>
          <w:color w:val="auto"/>
          <w:sz w:val="22"/>
          <w:szCs w:val="22"/>
          <w:lang w:val="es-ES"/>
        </w:rPr>
        <w:t xml:space="preserve"> de pesos</w:t>
      </w:r>
      <w:r w:rsidR="00EB0DB1" w:rsidRPr="002F6022">
        <w:rPr>
          <w:rFonts w:ascii="Century Gothic" w:hAnsi="Century Gothic"/>
          <w:b w:val="0"/>
          <w:color w:val="auto"/>
          <w:sz w:val="22"/>
          <w:szCs w:val="22"/>
          <w:lang w:val="es-ES"/>
        </w:rPr>
        <w:t>)</w:t>
      </w:r>
      <w:bookmarkEnd w:id="42"/>
    </w:p>
    <w:p w14:paraId="463FBBC0" w14:textId="56BCDAB5" w:rsidR="005F22B9" w:rsidRPr="002F6022" w:rsidRDefault="00B011D8" w:rsidP="00B011D8">
      <w:pPr>
        <w:spacing w:after="0"/>
        <w:jc w:val="center"/>
        <w:rPr>
          <w:rFonts w:ascii="Century Gothic" w:hAnsi="Century Gothic"/>
          <w:lang w:val="es-ES"/>
        </w:rPr>
      </w:pPr>
      <w:r w:rsidRPr="002F6022">
        <w:rPr>
          <w:rFonts w:ascii="Century Gothic" w:hAnsi="Century Gothic"/>
          <w:noProof/>
          <w:lang w:val="es-ES" w:eastAsia="es-ES"/>
        </w:rPr>
        <w:drawing>
          <wp:inline distT="0" distB="0" distL="0" distR="0" wp14:anchorId="261F3808" wp14:editId="159CB50C">
            <wp:extent cx="5612130" cy="3156585"/>
            <wp:effectExtent l="0" t="0" r="7620" b="571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p>
    <w:p w14:paraId="16129D47" w14:textId="4A9277C0" w:rsidR="007A0261" w:rsidRPr="002F6022" w:rsidRDefault="00D17CF8" w:rsidP="009931F5">
      <w:pPr>
        <w:jc w:val="center"/>
        <w:rPr>
          <w:rFonts w:ascii="Century Gothic" w:hAnsi="Century Gothic"/>
          <w:sz w:val="20"/>
          <w:lang w:val="es-ES"/>
        </w:rPr>
      </w:pPr>
      <w:r w:rsidRPr="002F6022">
        <w:rPr>
          <w:rFonts w:ascii="Century Gothic" w:hAnsi="Century Gothic"/>
          <w:sz w:val="20"/>
          <w:lang w:val="es-ES"/>
        </w:rPr>
        <w:t>Fuente: Secretaría de Hacienda, 201</w:t>
      </w:r>
      <w:r w:rsidR="005C2AC9" w:rsidRPr="002F6022">
        <w:rPr>
          <w:rFonts w:ascii="Century Gothic" w:hAnsi="Century Gothic"/>
          <w:sz w:val="20"/>
          <w:lang w:val="es-ES"/>
        </w:rPr>
        <w:t>8</w:t>
      </w:r>
    </w:p>
    <w:p w14:paraId="63286F2D" w14:textId="47DCC4D1" w:rsidR="00D515A6" w:rsidRPr="002F6022" w:rsidRDefault="00B011D8" w:rsidP="007408A1">
      <w:pPr>
        <w:jc w:val="both"/>
        <w:rPr>
          <w:rFonts w:ascii="Century Gothic" w:hAnsi="Century Gothic"/>
          <w:lang w:val="es-ES"/>
        </w:rPr>
      </w:pPr>
      <w:r w:rsidRPr="002F6022">
        <w:rPr>
          <w:rFonts w:ascii="Century Gothic" w:hAnsi="Century Gothic"/>
          <w:lang w:val="es-ES"/>
        </w:rPr>
        <w:t xml:space="preserve">Se observa que los sectores con mayor ejecución son, el </w:t>
      </w:r>
      <w:r w:rsidR="00D415FD" w:rsidRPr="002F6022">
        <w:rPr>
          <w:rFonts w:ascii="Century Gothic" w:hAnsi="Century Gothic"/>
          <w:lang w:val="es-ES"/>
        </w:rPr>
        <w:t xml:space="preserve">de Servicios Públicos </w:t>
      </w:r>
      <w:r w:rsidRPr="002F6022">
        <w:rPr>
          <w:rFonts w:ascii="Century Gothic" w:hAnsi="Century Gothic"/>
          <w:lang w:val="es-ES"/>
        </w:rPr>
        <w:t>(alumbrado y electrificación rural) con el 98</w:t>
      </w:r>
      <w:r w:rsidR="00887EF9" w:rsidRPr="002F6022">
        <w:rPr>
          <w:rFonts w:ascii="Century Gothic" w:hAnsi="Century Gothic"/>
          <w:lang w:val="es-ES"/>
        </w:rPr>
        <w:t xml:space="preserve"> por ciento</w:t>
      </w:r>
      <w:r w:rsidR="00D415FD" w:rsidRPr="002F6022">
        <w:rPr>
          <w:rFonts w:ascii="Century Gothic" w:hAnsi="Century Gothic"/>
          <w:lang w:val="es-ES"/>
        </w:rPr>
        <w:t xml:space="preserve">, seguido del </w:t>
      </w:r>
      <w:r w:rsidRPr="002F6022">
        <w:rPr>
          <w:rFonts w:ascii="Century Gothic" w:hAnsi="Century Gothic"/>
          <w:lang w:val="es-ES"/>
        </w:rPr>
        <w:t>Sector Salud con un 97</w:t>
      </w:r>
      <w:r w:rsidR="00887EF9" w:rsidRPr="002F6022">
        <w:rPr>
          <w:rFonts w:ascii="Century Gothic" w:hAnsi="Century Gothic"/>
          <w:lang w:val="es-ES"/>
        </w:rPr>
        <w:t xml:space="preserve"> por ciento</w:t>
      </w:r>
      <w:r w:rsidRPr="002F6022">
        <w:rPr>
          <w:rFonts w:ascii="Century Gothic" w:hAnsi="Century Gothic"/>
          <w:lang w:val="es-ES"/>
        </w:rPr>
        <w:t xml:space="preserve"> y el que presenta la más baja ejecución es el de grupos vulnerables</w:t>
      </w:r>
      <w:r w:rsidR="002F6022" w:rsidRPr="002F6022">
        <w:rPr>
          <w:rFonts w:ascii="Century Gothic" w:hAnsi="Century Gothic"/>
          <w:lang w:val="es-ES"/>
        </w:rPr>
        <w:t>,</w:t>
      </w:r>
      <w:r w:rsidRPr="002F6022">
        <w:rPr>
          <w:rFonts w:ascii="Century Gothic" w:hAnsi="Century Gothic"/>
          <w:lang w:val="es-ES"/>
        </w:rPr>
        <w:t xml:space="preserve"> </w:t>
      </w:r>
      <w:r w:rsidR="002F6022" w:rsidRPr="002F6022">
        <w:rPr>
          <w:rFonts w:ascii="Century Gothic" w:hAnsi="Century Gothic"/>
          <w:lang w:val="es-ES"/>
        </w:rPr>
        <w:t xml:space="preserve">debido a que </w:t>
      </w:r>
      <w:r w:rsidRPr="002F6022">
        <w:rPr>
          <w:rFonts w:ascii="Century Gothic" w:hAnsi="Century Gothic"/>
          <w:lang w:val="es-ES"/>
        </w:rPr>
        <w:t>tienen recursos del balance correspondientes al 70</w:t>
      </w:r>
      <w:r w:rsidR="00887EF9" w:rsidRPr="002F6022">
        <w:rPr>
          <w:rFonts w:ascii="Century Gothic" w:hAnsi="Century Gothic"/>
          <w:lang w:val="es-ES"/>
        </w:rPr>
        <w:t xml:space="preserve"> por ciento</w:t>
      </w:r>
      <w:r w:rsidRPr="002F6022">
        <w:rPr>
          <w:rFonts w:ascii="Century Gothic" w:hAnsi="Century Gothic"/>
          <w:lang w:val="es-ES"/>
        </w:rPr>
        <w:t xml:space="preserve"> de la estampi</w:t>
      </w:r>
      <w:r w:rsidR="002F6022" w:rsidRPr="002F6022">
        <w:rPr>
          <w:rFonts w:ascii="Century Gothic" w:hAnsi="Century Gothic"/>
          <w:lang w:val="es-ES"/>
        </w:rPr>
        <w:t>lla Adulto Mayor cuya destinació</w:t>
      </w:r>
      <w:r w:rsidRPr="002F6022">
        <w:rPr>
          <w:rFonts w:ascii="Century Gothic" w:hAnsi="Century Gothic"/>
          <w:lang w:val="es-ES"/>
        </w:rPr>
        <w:t xml:space="preserve">n </w:t>
      </w:r>
      <w:proofErr w:type="spellStart"/>
      <w:r w:rsidR="002F6022" w:rsidRPr="002F6022">
        <w:rPr>
          <w:rFonts w:ascii="Century Gothic" w:hAnsi="Century Gothic"/>
          <w:lang w:val="es-ES"/>
        </w:rPr>
        <w:t>es</w:t>
      </w:r>
      <w:r w:rsidR="002F6022">
        <w:rPr>
          <w:rFonts w:ascii="Century Gothic" w:hAnsi="Century Gothic"/>
          <w:lang w:val="es-ES"/>
        </w:rPr>
        <w:t>ta</w:t>
      </w:r>
      <w:proofErr w:type="spellEnd"/>
      <w:r w:rsidR="002F6022">
        <w:rPr>
          <w:rFonts w:ascii="Century Gothic" w:hAnsi="Century Gothic"/>
          <w:lang w:val="es-ES"/>
        </w:rPr>
        <w:t xml:space="preserve"> orientada</w:t>
      </w:r>
      <w:r w:rsidR="002F6022" w:rsidRPr="002F6022">
        <w:rPr>
          <w:rFonts w:ascii="Century Gothic" w:hAnsi="Century Gothic"/>
          <w:lang w:val="es-ES"/>
        </w:rPr>
        <w:t xml:space="preserve"> específica</w:t>
      </w:r>
      <w:r w:rsidR="002F6022">
        <w:rPr>
          <w:rFonts w:ascii="Century Gothic" w:hAnsi="Century Gothic"/>
          <w:lang w:val="es-ES"/>
        </w:rPr>
        <w:t>mente</w:t>
      </w:r>
      <w:r w:rsidR="002F6022" w:rsidRPr="002F6022">
        <w:rPr>
          <w:rFonts w:ascii="Century Gothic" w:hAnsi="Century Gothic"/>
          <w:lang w:val="es-ES"/>
        </w:rPr>
        <w:t xml:space="preserve"> para </w:t>
      </w:r>
      <w:r w:rsidRPr="002F6022">
        <w:rPr>
          <w:rFonts w:ascii="Century Gothic" w:hAnsi="Century Gothic"/>
          <w:lang w:val="es-ES"/>
        </w:rPr>
        <w:t>l</w:t>
      </w:r>
      <w:r w:rsidR="002F6022">
        <w:rPr>
          <w:rFonts w:ascii="Century Gothic" w:hAnsi="Century Gothic"/>
          <w:lang w:val="es-ES"/>
        </w:rPr>
        <w:t>a financiación de l</w:t>
      </w:r>
      <w:r w:rsidRPr="002F6022">
        <w:rPr>
          <w:rFonts w:ascii="Century Gothic" w:hAnsi="Century Gothic"/>
          <w:lang w:val="es-ES"/>
        </w:rPr>
        <w:t>os Centros Día.</w:t>
      </w:r>
    </w:p>
    <w:p w14:paraId="0BD3C36B" w14:textId="4DBE3D1E" w:rsidR="003C01E5" w:rsidRPr="003E1962" w:rsidRDefault="00896530" w:rsidP="00E10140">
      <w:pPr>
        <w:pStyle w:val="Ttulo1"/>
      </w:pPr>
      <w:bookmarkStart w:id="43" w:name="_Toc532565927"/>
      <w:r w:rsidRPr="003E1962">
        <w:t xml:space="preserve">Estimación del costo fiscal de las exenciones tributarias existentes en la vigencia </w:t>
      </w:r>
      <w:r w:rsidR="00FB6F92" w:rsidRPr="003E1962">
        <w:t>201</w:t>
      </w:r>
      <w:r w:rsidR="00950ACD">
        <w:t>7</w:t>
      </w:r>
      <w:r w:rsidR="00FB6F92" w:rsidRPr="003E1962">
        <w:t>.</w:t>
      </w:r>
      <w:bookmarkEnd w:id="43"/>
    </w:p>
    <w:p w14:paraId="2B5895ED" w14:textId="11E3498D" w:rsidR="00E10140" w:rsidRPr="003E1962" w:rsidRDefault="00E10140" w:rsidP="00E10140">
      <w:pPr>
        <w:pStyle w:val="Textoindependiente"/>
        <w:spacing w:after="200" w:line="276" w:lineRule="auto"/>
        <w:jc w:val="both"/>
        <w:rPr>
          <w:sz w:val="22"/>
          <w:szCs w:val="22"/>
          <w:lang w:val="es-ES"/>
        </w:rPr>
      </w:pPr>
      <w:r w:rsidRPr="003E1962">
        <w:rPr>
          <w:sz w:val="22"/>
          <w:szCs w:val="22"/>
          <w:lang w:val="es-ES"/>
        </w:rPr>
        <w:t xml:space="preserve">En el </w:t>
      </w:r>
      <w:r w:rsidR="00950ACD">
        <w:rPr>
          <w:sz w:val="22"/>
          <w:szCs w:val="22"/>
          <w:lang w:val="es-ES"/>
        </w:rPr>
        <w:t xml:space="preserve">nuevo </w:t>
      </w:r>
      <w:r w:rsidRPr="003E1962">
        <w:rPr>
          <w:sz w:val="22"/>
          <w:szCs w:val="22"/>
          <w:lang w:val="es-ES"/>
        </w:rPr>
        <w:t>estatuto tributario del municipio de Pasto, se contemplan las siguientes exoneraciones y exclusiones así:</w:t>
      </w:r>
    </w:p>
    <w:p w14:paraId="007C671D" w14:textId="77777777" w:rsidR="00E10140" w:rsidRPr="003E1962" w:rsidRDefault="00E10140" w:rsidP="00E10140">
      <w:pPr>
        <w:pStyle w:val="Prrafodelista"/>
        <w:numPr>
          <w:ilvl w:val="0"/>
          <w:numId w:val="46"/>
        </w:numPr>
        <w:spacing w:after="240" w:line="276" w:lineRule="auto"/>
        <w:rPr>
          <w:b/>
          <w:lang w:val="es-ES"/>
        </w:rPr>
      </w:pPr>
      <w:r w:rsidRPr="003E1962">
        <w:rPr>
          <w:b/>
          <w:lang w:val="es-ES"/>
        </w:rPr>
        <w:t>Impuesto predial unificado</w:t>
      </w:r>
    </w:p>
    <w:p w14:paraId="3F8C77FC" w14:textId="77777777" w:rsidR="00E10140" w:rsidRPr="003E1962" w:rsidRDefault="00E10140" w:rsidP="00E10140">
      <w:pPr>
        <w:jc w:val="both"/>
        <w:rPr>
          <w:rFonts w:ascii="Century Gothic" w:hAnsi="Century Gothic"/>
        </w:rPr>
      </w:pPr>
      <w:r w:rsidRPr="003E1962">
        <w:rPr>
          <w:rFonts w:ascii="Century Gothic" w:hAnsi="Century Gothic"/>
          <w:b/>
        </w:rPr>
        <w:t>Artículo 35. Predios excluidos.</w:t>
      </w:r>
      <w:r w:rsidRPr="003E1962">
        <w:rPr>
          <w:rFonts w:ascii="Century Gothic" w:hAnsi="Century Gothic"/>
        </w:rPr>
        <w:t xml:space="preserve"> Estarán excluidos del impuesto predial unificado los siguientes: </w:t>
      </w:r>
    </w:p>
    <w:p w14:paraId="0AE3DE16" w14:textId="77777777" w:rsidR="00E10140" w:rsidRPr="003E1962" w:rsidRDefault="00E10140" w:rsidP="00E10140">
      <w:pPr>
        <w:jc w:val="both"/>
        <w:rPr>
          <w:rFonts w:ascii="Century Gothic" w:hAnsi="Century Gothic"/>
        </w:rPr>
      </w:pPr>
      <w:r w:rsidRPr="003E1962">
        <w:rPr>
          <w:rFonts w:ascii="Century Gothic" w:hAnsi="Century Gothic"/>
        </w:rPr>
        <w:lastRenderedPageBreak/>
        <w:t xml:space="preserve">a) Los predios que deban recibir este tratamiento de exentos en virtud de tratados internacionales. </w:t>
      </w:r>
    </w:p>
    <w:p w14:paraId="62CBA145" w14:textId="77777777" w:rsidR="00E10140" w:rsidRPr="003E1962" w:rsidRDefault="00E10140" w:rsidP="00E10140">
      <w:pPr>
        <w:jc w:val="both"/>
        <w:rPr>
          <w:rFonts w:ascii="Century Gothic" w:hAnsi="Century Gothic"/>
        </w:rPr>
      </w:pPr>
      <w:r w:rsidRPr="003E1962">
        <w:rPr>
          <w:rFonts w:ascii="Century Gothic" w:hAnsi="Century Gothic"/>
        </w:rPr>
        <w:t xml:space="preserve">b) Los predios que sean de propiedad de la Iglesia Católica y de otras iglesias destinados al culto y a la vivienda de las comunidades religiosas, a las curias diocesanas y </w:t>
      </w:r>
      <w:proofErr w:type="spellStart"/>
      <w:r w:rsidRPr="003E1962">
        <w:rPr>
          <w:rFonts w:ascii="Century Gothic" w:hAnsi="Century Gothic"/>
        </w:rPr>
        <w:t>arquidiocesanas</w:t>
      </w:r>
      <w:proofErr w:type="spellEnd"/>
      <w:r w:rsidRPr="003E1962">
        <w:rPr>
          <w:rFonts w:ascii="Century Gothic" w:hAnsi="Century Gothic"/>
        </w:rPr>
        <w:t xml:space="preserve">, casas episcopales, cúrales y seminarios conciliares, mientras conserven esta destinación. </w:t>
      </w:r>
    </w:p>
    <w:p w14:paraId="38F6C582" w14:textId="678BA13E" w:rsidR="00E10140" w:rsidRPr="003E1962" w:rsidRDefault="00E10140" w:rsidP="00E10140">
      <w:pPr>
        <w:jc w:val="both"/>
        <w:rPr>
          <w:rFonts w:ascii="Century Gothic" w:hAnsi="Century Gothic"/>
        </w:rPr>
      </w:pPr>
      <w:r w:rsidRPr="003E1962">
        <w:rPr>
          <w:rFonts w:ascii="Century Gothic" w:hAnsi="Century Gothic"/>
        </w:rPr>
        <w:t xml:space="preserve">c) Los predios de propiedad del </w:t>
      </w:r>
      <w:r w:rsidR="00BE60AE">
        <w:rPr>
          <w:rFonts w:ascii="Century Gothic" w:hAnsi="Century Gothic"/>
        </w:rPr>
        <w:t>m</w:t>
      </w:r>
      <w:r w:rsidRPr="003E1962">
        <w:rPr>
          <w:rFonts w:ascii="Century Gothic" w:hAnsi="Century Gothic"/>
        </w:rPr>
        <w:t xml:space="preserve">unicipio de Pasto. </w:t>
      </w:r>
    </w:p>
    <w:p w14:paraId="6E03E637" w14:textId="77777777" w:rsidR="00E10140" w:rsidRPr="003E1962" w:rsidRDefault="00E10140" w:rsidP="00E10140">
      <w:pPr>
        <w:jc w:val="both"/>
        <w:rPr>
          <w:rFonts w:ascii="Century Gothic" w:hAnsi="Century Gothic"/>
        </w:rPr>
      </w:pPr>
      <w:r w:rsidRPr="003E1962">
        <w:rPr>
          <w:rFonts w:ascii="Century Gothic" w:hAnsi="Century Gothic"/>
        </w:rPr>
        <w:t xml:space="preserve">d) Las reservas naturales y forestales declaradas como tales por la autoridad competente, mientras conserven esta destinación. </w:t>
      </w:r>
    </w:p>
    <w:p w14:paraId="26A3AB97" w14:textId="014D3F50" w:rsidR="00E10140" w:rsidRPr="003E1962" w:rsidRDefault="00E10140" w:rsidP="00E10140">
      <w:pPr>
        <w:jc w:val="both"/>
        <w:rPr>
          <w:rFonts w:ascii="Century Gothic" w:hAnsi="Century Gothic"/>
        </w:rPr>
      </w:pPr>
      <w:r w:rsidRPr="003E1962">
        <w:rPr>
          <w:rFonts w:ascii="Century Gothic" w:hAnsi="Century Gothic"/>
        </w:rPr>
        <w:t>e) Los pr</w:t>
      </w:r>
      <w:r w:rsidR="009E3AB7" w:rsidRPr="003E1962">
        <w:rPr>
          <w:rFonts w:ascii="Century Gothic" w:hAnsi="Century Gothic"/>
        </w:rPr>
        <w:t>edios definidos legalmente como</w:t>
      </w:r>
      <w:r w:rsidRPr="003E1962">
        <w:rPr>
          <w:rFonts w:ascii="Century Gothic" w:hAnsi="Century Gothic"/>
        </w:rPr>
        <w:t xml:space="preserve"> Parques Naturales o como Parques Públicos de pro</w:t>
      </w:r>
      <w:r w:rsidR="009E3AB7" w:rsidRPr="003E1962">
        <w:rPr>
          <w:rFonts w:ascii="Century Gothic" w:hAnsi="Century Gothic"/>
        </w:rPr>
        <w:t>piedad de entidades Estatales.</w:t>
      </w:r>
    </w:p>
    <w:p w14:paraId="6FFA9100" w14:textId="77777777" w:rsidR="00E10140" w:rsidRPr="003E1962" w:rsidRDefault="00E10140" w:rsidP="00E10140">
      <w:pPr>
        <w:jc w:val="both"/>
        <w:rPr>
          <w:rFonts w:ascii="Century Gothic" w:hAnsi="Century Gothic"/>
        </w:rPr>
      </w:pPr>
      <w:r w:rsidRPr="003E1962">
        <w:rPr>
          <w:rFonts w:ascii="Century Gothic" w:hAnsi="Century Gothic"/>
        </w:rPr>
        <w:t xml:space="preserve">f) Las tumbas, bóvedas y osarios de los cementerios siempre y cuando estén en cabeza de los usuarios particulares, debiendo cancelarse el impuesto por las áreas libres y comunes a nombre de los parques cementerios o sus dueños.  </w:t>
      </w:r>
    </w:p>
    <w:p w14:paraId="7A99A256" w14:textId="77777777" w:rsidR="00E10140" w:rsidRPr="003E1962" w:rsidRDefault="00E10140" w:rsidP="00E10140">
      <w:pPr>
        <w:jc w:val="both"/>
        <w:rPr>
          <w:rFonts w:ascii="Century Gothic" w:hAnsi="Century Gothic"/>
        </w:rPr>
      </w:pPr>
      <w:r w:rsidRPr="003E1962">
        <w:rPr>
          <w:rFonts w:ascii="Century Gothic" w:hAnsi="Century Gothic"/>
        </w:rPr>
        <w:t xml:space="preserve">g) Predios de propiedad de las empresas sociales del Estado de cualquier nivel que tengan registrados y habilitados, sus servicios en el Municipio de Pasto. </w:t>
      </w:r>
    </w:p>
    <w:p w14:paraId="72F5A850" w14:textId="77777777" w:rsidR="00E10140" w:rsidRPr="003E1962" w:rsidRDefault="00E10140" w:rsidP="00E10140">
      <w:pPr>
        <w:jc w:val="both"/>
        <w:rPr>
          <w:rFonts w:ascii="Century Gothic" w:hAnsi="Century Gothic"/>
        </w:rPr>
      </w:pPr>
      <w:r w:rsidRPr="003E1962">
        <w:rPr>
          <w:rFonts w:ascii="Century Gothic" w:hAnsi="Century Gothic"/>
        </w:rPr>
        <w:t>h) Predios de propiedad de instituciones oficiales de Educación Superior con sede en el Municipio de Pasto.</w:t>
      </w:r>
    </w:p>
    <w:p w14:paraId="5546F4A1" w14:textId="77777777" w:rsidR="00E10140" w:rsidRPr="003E1962" w:rsidRDefault="00E10140" w:rsidP="00E10140">
      <w:pPr>
        <w:jc w:val="both"/>
        <w:rPr>
          <w:rFonts w:ascii="Century Gothic" w:hAnsi="Century Gothic"/>
        </w:rPr>
      </w:pPr>
      <w:r w:rsidRPr="003E1962">
        <w:rPr>
          <w:rFonts w:ascii="Century Gothic" w:hAnsi="Century Gothic"/>
        </w:rPr>
        <w:t>i) Predios de propiedad de instituciones educativas de carácter oficial, administradas por personas naturales o jurídicas diferentes al Municipio que estén destinadas a la educación.</w:t>
      </w:r>
    </w:p>
    <w:p w14:paraId="1E23B02A" w14:textId="77777777" w:rsidR="00E10140" w:rsidRPr="003E1962" w:rsidRDefault="00E10140" w:rsidP="00E10140">
      <w:pPr>
        <w:jc w:val="both"/>
        <w:rPr>
          <w:rFonts w:ascii="Century Gothic" w:hAnsi="Century Gothic"/>
        </w:rPr>
      </w:pPr>
      <w:r w:rsidRPr="003E1962">
        <w:rPr>
          <w:rFonts w:ascii="Century Gothic" w:hAnsi="Century Gothic"/>
        </w:rPr>
        <w:t>j) Los inmuebles de propiedad de las Juntas de Acción Comunal.</w:t>
      </w:r>
    </w:p>
    <w:p w14:paraId="5A29EF68" w14:textId="77777777" w:rsidR="00E10140" w:rsidRPr="003E1962" w:rsidRDefault="00E10140" w:rsidP="00E10140">
      <w:pPr>
        <w:jc w:val="both"/>
        <w:rPr>
          <w:rFonts w:ascii="Century Gothic" w:hAnsi="Century Gothic"/>
        </w:rPr>
      </w:pPr>
      <w:r w:rsidRPr="003E1962">
        <w:rPr>
          <w:rFonts w:ascii="Century Gothic" w:hAnsi="Century Gothic"/>
        </w:rPr>
        <w:t xml:space="preserve">k) En consideración a su especial destinación, los bienes de uso público de que trata el artículo 674 del Código Civil.  </w:t>
      </w:r>
    </w:p>
    <w:p w14:paraId="15D252CF" w14:textId="77777777" w:rsidR="00E10140" w:rsidRPr="003E1962" w:rsidRDefault="00E10140" w:rsidP="00E10140">
      <w:pPr>
        <w:jc w:val="both"/>
        <w:rPr>
          <w:rFonts w:ascii="Century Gothic" w:hAnsi="Century Gothic"/>
        </w:rPr>
      </w:pPr>
      <w:r w:rsidRPr="003E1962">
        <w:rPr>
          <w:rFonts w:ascii="Century Gothic" w:hAnsi="Century Gothic"/>
        </w:rPr>
        <w:t>l) Las zonas verdes de propiedad de urbanizaciones, barrios y Asociaciones de Vivienda vigiladas por INVIPASTO; excepto las zonas verdes correspondientes a copropiedad.</w:t>
      </w:r>
    </w:p>
    <w:p w14:paraId="40BF8380" w14:textId="77777777" w:rsidR="00E10140" w:rsidRPr="003E1962" w:rsidRDefault="00E10140" w:rsidP="00E10140">
      <w:pPr>
        <w:jc w:val="both"/>
        <w:rPr>
          <w:rFonts w:ascii="Century Gothic" w:hAnsi="Century Gothic"/>
        </w:rPr>
      </w:pPr>
      <w:r w:rsidRPr="003E1962">
        <w:rPr>
          <w:rFonts w:ascii="Century Gothic" w:hAnsi="Century Gothic"/>
        </w:rPr>
        <w:t>m) Los predios residenciales del estrato 1 y del sector rural cuyo avalúo catastral sea inferior a 4 S.M.L.M.V.</w:t>
      </w:r>
    </w:p>
    <w:p w14:paraId="0E24971A" w14:textId="77777777" w:rsidR="00E10140" w:rsidRPr="003E1962" w:rsidRDefault="00E10140" w:rsidP="00E10140">
      <w:pPr>
        <w:jc w:val="both"/>
        <w:rPr>
          <w:rFonts w:ascii="Century Gothic" w:hAnsi="Century Gothic"/>
        </w:rPr>
      </w:pPr>
      <w:r w:rsidRPr="003E1962">
        <w:rPr>
          <w:rFonts w:ascii="Century Gothic" w:hAnsi="Century Gothic"/>
        </w:rPr>
        <w:lastRenderedPageBreak/>
        <w:t>n) Predios afectados por socavones que en virtud de disposiciones normativas tributarias anteriores al presente acuerdo, hayan gozado de exoneración concedida mediante acto administrativo, mientras subsista la condición, lo cual deberá acreditarse a través de certificación expedida por la Secretaría de Planeación Municipal.</w:t>
      </w:r>
    </w:p>
    <w:p w14:paraId="2CC56C81" w14:textId="77777777" w:rsidR="00E10140" w:rsidRPr="003E1962" w:rsidRDefault="00E10140" w:rsidP="00E10140">
      <w:pPr>
        <w:jc w:val="both"/>
        <w:rPr>
          <w:rFonts w:ascii="Century Gothic" w:hAnsi="Century Gothic"/>
        </w:rPr>
      </w:pPr>
      <w:r w:rsidRPr="003E1962">
        <w:rPr>
          <w:rFonts w:ascii="Century Gothic" w:hAnsi="Century Gothic"/>
        </w:rPr>
        <w:t>ñ) Predios catalogados como baldíos mientras se encuentre en titularidad de la Nación.</w:t>
      </w:r>
    </w:p>
    <w:p w14:paraId="2CE06336" w14:textId="77777777" w:rsidR="00E10140" w:rsidRPr="003E1962" w:rsidRDefault="00E10140" w:rsidP="00E10140">
      <w:pPr>
        <w:jc w:val="both"/>
        <w:rPr>
          <w:rFonts w:ascii="Century Gothic" w:hAnsi="Century Gothic"/>
        </w:rPr>
      </w:pPr>
      <w:r w:rsidRPr="003E1962">
        <w:rPr>
          <w:rFonts w:ascii="Century Gothic" w:hAnsi="Century Gothic"/>
        </w:rPr>
        <w:t>Parágrafo. Las presentes exclusiones se mantendrán vigentes, siempre y cuando los beneficiarios conserven la condición por la cual fue otorgada.</w:t>
      </w:r>
    </w:p>
    <w:p w14:paraId="374AD9FF" w14:textId="660C7AEE" w:rsidR="00E10140" w:rsidRPr="003E1962" w:rsidRDefault="00E10140" w:rsidP="00E10140">
      <w:pPr>
        <w:jc w:val="both"/>
        <w:rPr>
          <w:rFonts w:ascii="Century Gothic" w:hAnsi="Century Gothic"/>
        </w:rPr>
      </w:pPr>
      <w:r w:rsidRPr="003E1962">
        <w:rPr>
          <w:rFonts w:ascii="Century Gothic" w:hAnsi="Century Gothic"/>
          <w:b/>
        </w:rPr>
        <w:t>Artículo 36. Exenciones temporales.</w:t>
      </w:r>
      <w:r w:rsidRPr="003E1962">
        <w:rPr>
          <w:rFonts w:ascii="Century Gothic" w:hAnsi="Century Gothic"/>
        </w:rPr>
        <w:t xml:space="preserve"> A partir del reconocimiento de la exención, estarán exentos del impuesto Predial uni</w:t>
      </w:r>
      <w:r w:rsidR="009E3AB7" w:rsidRPr="003E1962">
        <w:rPr>
          <w:rFonts w:ascii="Century Gothic" w:hAnsi="Century Gothic"/>
        </w:rPr>
        <w:t>ficado los siguientes predios:</w:t>
      </w:r>
    </w:p>
    <w:p w14:paraId="4D99DB23" w14:textId="77777777" w:rsidR="00E10140" w:rsidRPr="003E1962" w:rsidRDefault="00E10140" w:rsidP="00E10140">
      <w:pPr>
        <w:jc w:val="both"/>
        <w:rPr>
          <w:rFonts w:ascii="Century Gothic" w:hAnsi="Century Gothic"/>
        </w:rPr>
      </w:pPr>
      <w:r w:rsidRPr="003E1962">
        <w:rPr>
          <w:rFonts w:ascii="Century Gothic" w:hAnsi="Century Gothic"/>
        </w:rPr>
        <w:t xml:space="preserve">a) Los predios entregados en comodato al Municipio de Pasto, o de propiedad de las instituciones sin ánimo de lucro dedicados a la asistencia, protección, rehabilitación gratuita de ancianos, jóvenes, niñas, niños y discapacitados en condición de vulnerabilidad y las instituciones de emergencia y socorro dedicadas a la prevención y atención de desastres, estarán exentos del impuesto predial unificado hasta cumplir los diez (10) años legales en los cuales se incluirán los años que han gozado del beneficio. Las instituciones sin ánimo de lucro dedicadas a la atención, protección y rehabilitación de ancianos, jóvenes, niñas, niños y discapacitados hasta cumplir los diez (10) años legales en los cuales se incluirán los años que han gozado del beneficio. </w:t>
      </w:r>
    </w:p>
    <w:p w14:paraId="22789CD7" w14:textId="77777777" w:rsidR="00E10140" w:rsidRPr="003E1962" w:rsidRDefault="00E10140" w:rsidP="00E10140">
      <w:pPr>
        <w:jc w:val="both"/>
        <w:rPr>
          <w:rFonts w:ascii="Century Gothic" w:hAnsi="Century Gothic"/>
        </w:rPr>
      </w:pPr>
      <w:r w:rsidRPr="003E1962">
        <w:rPr>
          <w:rFonts w:ascii="Century Gothic" w:hAnsi="Century Gothic"/>
        </w:rPr>
        <w:t xml:space="preserve">Parágrafo. La Secretaría de Bienestar Social o quien haga sus veces certificará que la Institución que requiera esta exención cumpla con el objeto establecido en este literal. </w:t>
      </w:r>
    </w:p>
    <w:p w14:paraId="0825B6C1" w14:textId="5AEC3A1D" w:rsidR="00E10140" w:rsidRPr="003E1962" w:rsidRDefault="00E10140" w:rsidP="00E10140">
      <w:pPr>
        <w:jc w:val="both"/>
        <w:rPr>
          <w:rFonts w:ascii="Century Gothic" w:hAnsi="Century Gothic"/>
        </w:rPr>
      </w:pPr>
      <w:r w:rsidRPr="003E1962">
        <w:rPr>
          <w:rFonts w:ascii="Century Gothic" w:hAnsi="Century Gothic"/>
        </w:rPr>
        <w:t>b) Los predios de propiedad del Estado del nivel nacional y departamental, destinados a funcionamiento de cárceles, centros de reclusión, centros de re</w:t>
      </w:r>
      <w:r w:rsidR="009E3AB7" w:rsidRPr="003E1962">
        <w:rPr>
          <w:rFonts w:ascii="Century Gothic" w:hAnsi="Century Gothic"/>
        </w:rPr>
        <w:t xml:space="preserve">habilitación, resocialización </w:t>
      </w:r>
      <w:r w:rsidRPr="003E1962">
        <w:rPr>
          <w:rFonts w:ascii="Century Gothic" w:hAnsi="Century Gothic"/>
        </w:rPr>
        <w:t xml:space="preserve">protección de niños, niñas y adolescentes, así como de protección de ancianos, escenarios dedicados a la recreación, el deporte y la cultura, hasta cumplir los diez (10) años legales en los cuales se incluirán los años que han gozado del beneficio. </w:t>
      </w:r>
    </w:p>
    <w:p w14:paraId="29E0CB01" w14:textId="77777777" w:rsidR="00E10140" w:rsidRPr="003E1962" w:rsidRDefault="00E10140" w:rsidP="00E10140">
      <w:pPr>
        <w:jc w:val="both"/>
        <w:rPr>
          <w:rFonts w:ascii="Century Gothic" w:hAnsi="Century Gothic"/>
        </w:rPr>
      </w:pPr>
      <w:r w:rsidRPr="003E1962">
        <w:rPr>
          <w:rFonts w:ascii="Century Gothic" w:hAnsi="Century Gothic"/>
        </w:rPr>
        <w:t>c) Los predios ubicados en zona de amenaza alta volcánica conforme al estudio y plano establecido por el Servicio Geológico Colombiano, hasta cumplir los diez (10) años legales en los cuales se incluirán los años que han gozado del beneficio.</w:t>
      </w:r>
    </w:p>
    <w:p w14:paraId="2FD8A461" w14:textId="77777777" w:rsidR="00E10140" w:rsidRPr="003E1962" w:rsidRDefault="00E10140" w:rsidP="00E10140">
      <w:pPr>
        <w:jc w:val="both"/>
        <w:rPr>
          <w:rFonts w:ascii="Century Gothic" w:hAnsi="Century Gothic"/>
        </w:rPr>
      </w:pPr>
      <w:r w:rsidRPr="003E1962">
        <w:rPr>
          <w:rFonts w:ascii="Century Gothic" w:hAnsi="Century Gothic"/>
        </w:rPr>
        <w:lastRenderedPageBreak/>
        <w:t xml:space="preserve">d) Los predios destinados a museos de instituciones sin ánimo de lucro hasta cumplir los diez (10) años legales en los cuales se incluirán los años que han gozado del beneficio.  </w:t>
      </w:r>
    </w:p>
    <w:p w14:paraId="2526EDDD" w14:textId="77777777" w:rsidR="00E10140" w:rsidRPr="003E1962" w:rsidRDefault="00E10140" w:rsidP="00E10140">
      <w:pPr>
        <w:jc w:val="both"/>
        <w:rPr>
          <w:rFonts w:ascii="Century Gothic" w:hAnsi="Century Gothic"/>
        </w:rPr>
      </w:pPr>
      <w:r w:rsidRPr="003E1962">
        <w:rPr>
          <w:rFonts w:ascii="Century Gothic" w:hAnsi="Century Gothic"/>
        </w:rPr>
        <w:t xml:space="preserve">e) Las instituciones sin ánimo de lucro que presten sus servicios asistenciales a enfermos mentales de bajos recursos hasta cumplir los diez (10) años legales en los cuales se incluirán los años que han gozado del beneficio.  </w:t>
      </w:r>
    </w:p>
    <w:p w14:paraId="617FFBD8" w14:textId="77777777" w:rsidR="00E10140" w:rsidRPr="003E1962" w:rsidRDefault="00E10140" w:rsidP="00E10140">
      <w:pPr>
        <w:jc w:val="both"/>
        <w:rPr>
          <w:rFonts w:ascii="Century Gothic" w:hAnsi="Century Gothic"/>
        </w:rPr>
      </w:pPr>
      <w:r w:rsidRPr="003E1962">
        <w:rPr>
          <w:rFonts w:ascii="Century Gothic" w:hAnsi="Century Gothic"/>
        </w:rPr>
        <w:t xml:space="preserve">f) Los predios ubicados en la cabecera de las fuentes de agua, previa suscripción de convenios con el Municipio para la conservación del recurso forestal hasta cumplir los diez (10) años legales en los cuales se incluirán los años que han gozado del beneficio.  </w:t>
      </w:r>
    </w:p>
    <w:p w14:paraId="05ED6F07" w14:textId="77777777" w:rsidR="00E10140" w:rsidRPr="003E1962" w:rsidRDefault="00E10140" w:rsidP="00E10140">
      <w:pPr>
        <w:jc w:val="both"/>
        <w:rPr>
          <w:rFonts w:ascii="Century Gothic" w:hAnsi="Century Gothic"/>
        </w:rPr>
      </w:pPr>
      <w:r w:rsidRPr="003E1962">
        <w:rPr>
          <w:rFonts w:ascii="Century Gothic" w:hAnsi="Century Gothic"/>
        </w:rPr>
        <w:t xml:space="preserve">g) Los predios afectados por desastres naturales certificados por la Dirección Municipal de Gestión del Riesgo, serán exonerados mediante Resolución Motivada de la Subsecretaría de Ingresos por un tiempo no superior a cinco (5) años. Para el efecto, se tendrá en cuenta la gravedad del problema y monto del perjuicio según inspección que deberá efectuar la Dirección Municipal de Gestión del Riesgo. </w:t>
      </w:r>
    </w:p>
    <w:p w14:paraId="00C9260E" w14:textId="77777777" w:rsidR="00E10140" w:rsidRPr="003E1962" w:rsidRDefault="00E10140" w:rsidP="00E10140">
      <w:pPr>
        <w:jc w:val="both"/>
        <w:rPr>
          <w:rFonts w:ascii="Century Gothic" w:hAnsi="Century Gothic"/>
        </w:rPr>
      </w:pPr>
      <w:r w:rsidRPr="003E1962">
        <w:rPr>
          <w:rFonts w:ascii="Century Gothic" w:hAnsi="Century Gothic"/>
        </w:rPr>
        <w:t>Parágrafo. La solicitud deberá interponerse únicamente dentro del año siguiente de ocurrido el hecho.</w:t>
      </w:r>
    </w:p>
    <w:p w14:paraId="3FC597A4" w14:textId="6EB49B55" w:rsidR="00E10140" w:rsidRPr="003E1962" w:rsidRDefault="00E10140" w:rsidP="00E10140">
      <w:pPr>
        <w:jc w:val="both"/>
        <w:rPr>
          <w:rFonts w:ascii="Century Gothic" w:hAnsi="Century Gothic"/>
        </w:rPr>
      </w:pPr>
      <w:r w:rsidRPr="003E1962">
        <w:rPr>
          <w:rFonts w:ascii="Century Gothic" w:hAnsi="Century Gothic"/>
        </w:rPr>
        <w:t>h) Los inmuebles de propiedad de los comerciantes que se encuentren ubicados en los Centros Comerciales Artesanales y Populares, construidos por el Municipio de Pasto, hasta cumplir los diez (10) años legales en los cuales se incluirán los añ</w:t>
      </w:r>
      <w:r w:rsidR="009E3AB7" w:rsidRPr="003E1962">
        <w:rPr>
          <w:rFonts w:ascii="Century Gothic" w:hAnsi="Century Gothic"/>
        </w:rPr>
        <w:t>os que han gozado del beneficio</w:t>
      </w:r>
      <w:r w:rsidRPr="003E1962">
        <w:rPr>
          <w:rFonts w:ascii="Century Gothic" w:hAnsi="Century Gothic"/>
        </w:rPr>
        <w:t xml:space="preserve">, contados a partir de su reconocimiento para un solo inmueble mientras el primer titular o sus herederos mantengan el derecho de propiedad. </w:t>
      </w:r>
    </w:p>
    <w:p w14:paraId="1A573D08" w14:textId="77777777" w:rsidR="00E10140" w:rsidRPr="003E1962" w:rsidRDefault="00E10140" w:rsidP="00E10140">
      <w:pPr>
        <w:jc w:val="both"/>
        <w:rPr>
          <w:rFonts w:ascii="Century Gothic" w:hAnsi="Century Gothic"/>
        </w:rPr>
      </w:pPr>
      <w:r w:rsidRPr="003E1962">
        <w:rPr>
          <w:rFonts w:ascii="Century Gothic" w:hAnsi="Century Gothic"/>
        </w:rPr>
        <w:t xml:space="preserve">i) Las personas víctimas de secuestro o desaparición forzada, certificada por la autoridad judicial competente, estarán exentas del impuesto predial unificado de los inmuebles de su propiedad o de su cónyuge o compañero permanente, siempre y cuando la propiedad permanezca en titularidad de los mencionados. </w:t>
      </w:r>
    </w:p>
    <w:p w14:paraId="1FCD21AB" w14:textId="7A9A6748" w:rsidR="00E10140" w:rsidRPr="003E1962" w:rsidRDefault="00E10140" w:rsidP="00E10140">
      <w:pPr>
        <w:jc w:val="both"/>
        <w:rPr>
          <w:rFonts w:ascii="Century Gothic" w:hAnsi="Century Gothic"/>
        </w:rPr>
      </w:pPr>
      <w:r w:rsidRPr="003E1962">
        <w:rPr>
          <w:rFonts w:ascii="Century Gothic" w:hAnsi="Century Gothic"/>
        </w:rPr>
        <w:t>Parágrafo. Las anteriores exenciones se conceden por el término que dure el secuestro o la desaparición forzada, y en caso de muerte en cautiverio del secuestrado o desaparecido</w:t>
      </w:r>
      <w:r w:rsidR="009E3AB7" w:rsidRPr="003E1962">
        <w:rPr>
          <w:rFonts w:ascii="Century Gothic" w:hAnsi="Century Gothic"/>
        </w:rPr>
        <w:t>,</w:t>
      </w:r>
      <w:r w:rsidRPr="003E1962">
        <w:rPr>
          <w:rFonts w:ascii="Century Gothic" w:hAnsi="Century Gothic"/>
        </w:rPr>
        <w:t xml:space="preserve"> se mantendrán por tres (3) años más y en todo caso las exenciones no serán superiores a diez (10) años de conformidad a la Ley. </w:t>
      </w:r>
    </w:p>
    <w:p w14:paraId="1B9154B8" w14:textId="137C1CB6" w:rsidR="00E10140" w:rsidRPr="003E1962" w:rsidRDefault="00E10140" w:rsidP="00E10140">
      <w:pPr>
        <w:jc w:val="both"/>
        <w:rPr>
          <w:rFonts w:ascii="Century Gothic" w:hAnsi="Century Gothic"/>
        </w:rPr>
      </w:pPr>
      <w:r w:rsidRPr="003E1962">
        <w:rPr>
          <w:rFonts w:ascii="Century Gothic" w:hAnsi="Century Gothic"/>
        </w:rPr>
        <w:t xml:space="preserve">j) Los predios de propiedad del Estado destinados a Guarniciones Militares y de la Fuerza Pública y los Colegios de Bienestar Social de la Fuerza Pública, hasta por </w:t>
      </w:r>
      <w:r w:rsidRPr="003E1962">
        <w:rPr>
          <w:rFonts w:ascii="Century Gothic" w:hAnsi="Century Gothic"/>
        </w:rPr>
        <w:lastRenderedPageBreak/>
        <w:t>diez (10) años correspondiente al 50</w:t>
      </w:r>
      <w:r w:rsidR="004F5BDD" w:rsidRPr="003E1962">
        <w:rPr>
          <w:rFonts w:ascii="Century Gothic" w:hAnsi="Century Gothic"/>
        </w:rPr>
        <w:t xml:space="preserve"> por ciento</w:t>
      </w:r>
      <w:r w:rsidRPr="003E1962">
        <w:rPr>
          <w:rFonts w:ascii="Century Gothic" w:hAnsi="Century Gothic"/>
        </w:rPr>
        <w:t xml:space="preserve"> del impuesto predial unificado, en los cuales se incluirán los años que han gozado del beneficio. </w:t>
      </w:r>
    </w:p>
    <w:p w14:paraId="316BE824" w14:textId="77777777" w:rsidR="00E10140" w:rsidRPr="003E1962" w:rsidRDefault="00E10140" w:rsidP="00E10140">
      <w:pPr>
        <w:jc w:val="both"/>
        <w:rPr>
          <w:rFonts w:ascii="Century Gothic" w:hAnsi="Century Gothic"/>
        </w:rPr>
      </w:pPr>
      <w:r w:rsidRPr="003E1962">
        <w:rPr>
          <w:rFonts w:ascii="Century Gothic" w:hAnsi="Century Gothic"/>
        </w:rPr>
        <w:t xml:space="preserve">Parágrafo. Esta exención se concederá únicamente en los casos en que el predio se encuentre a Paz y Salvo con el Municipio de Pasto por concepto del impuesto predial unificado.  </w:t>
      </w:r>
    </w:p>
    <w:p w14:paraId="13B589FE" w14:textId="77777777" w:rsidR="00E10140" w:rsidRPr="003E1962" w:rsidRDefault="00E10140" w:rsidP="00E10140">
      <w:pPr>
        <w:jc w:val="both"/>
        <w:rPr>
          <w:rFonts w:ascii="Century Gothic" w:hAnsi="Century Gothic"/>
        </w:rPr>
      </w:pPr>
      <w:r w:rsidRPr="003E1962">
        <w:rPr>
          <w:rFonts w:ascii="Century Gothic" w:hAnsi="Century Gothic"/>
          <w:b/>
        </w:rPr>
        <w:t>Artículo 37. Reconocimiento de las exenciones.</w:t>
      </w:r>
      <w:r w:rsidRPr="003E1962">
        <w:rPr>
          <w:rFonts w:ascii="Century Gothic" w:hAnsi="Century Gothic"/>
        </w:rPr>
        <w:t xml:space="preserve"> El reconocimiento de las exenciones establecidas en los artículos anteriores se efectuará por parte de la Subsecretaría de Ingresos mediante resolución motivada con el lleno de los requisitos establecidos para cada caso y que anualmente se establezca para tal efecto, el contribuyente presentará ante dicha oficina, un memorial de solicitud acompañado de los siguientes documentos: </w:t>
      </w:r>
    </w:p>
    <w:p w14:paraId="367B91BE" w14:textId="77777777" w:rsidR="00E10140" w:rsidRPr="003E1962" w:rsidRDefault="00E10140" w:rsidP="00E10140">
      <w:pPr>
        <w:jc w:val="both"/>
        <w:rPr>
          <w:rFonts w:ascii="Century Gothic" w:hAnsi="Century Gothic"/>
        </w:rPr>
      </w:pPr>
      <w:r w:rsidRPr="003E1962">
        <w:rPr>
          <w:rFonts w:ascii="Century Gothic" w:hAnsi="Century Gothic"/>
        </w:rPr>
        <w:t xml:space="preserve">a) Fotocopia del documento que acredite la existencia y representación legal, si se trata de persona jurídica y cédula de ciudadanía de las personas naturales bien sea que actúen en nombre propio o como representantes de las personas jurídicas. </w:t>
      </w:r>
    </w:p>
    <w:p w14:paraId="3D92EFE7" w14:textId="77777777" w:rsidR="00E10140" w:rsidRPr="003E1962" w:rsidRDefault="00E10140" w:rsidP="00E10140">
      <w:pPr>
        <w:jc w:val="both"/>
        <w:rPr>
          <w:rFonts w:ascii="Century Gothic" w:hAnsi="Century Gothic"/>
        </w:rPr>
      </w:pPr>
      <w:r w:rsidRPr="003E1962">
        <w:rPr>
          <w:rFonts w:ascii="Century Gothic" w:hAnsi="Century Gothic"/>
        </w:rPr>
        <w:t xml:space="preserve">b) Certificación de la condición de persona jurídica sin ánimo de lucro, cuando sea del caso, expedida por la autoridad competente. </w:t>
      </w:r>
    </w:p>
    <w:p w14:paraId="490A4E81" w14:textId="7C1FEAA3" w:rsidR="00E10140" w:rsidRPr="003E1962" w:rsidRDefault="00E10140" w:rsidP="00E10140">
      <w:pPr>
        <w:jc w:val="both"/>
        <w:rPr>
          <w:rFonts w:ascii="Century Gothic" w:hAnsi="Century Gothic"/>
        </w:rPr>
      </w:pPr>
      <w:r w:rsidRPr="003E1962">
        <w:rPr>
          <w:rFonts w:ascii="Century Gothic" w:hAnsi="Century Gothic"/>
        </w:rPr>
        <w:t xml:space="preserve">c) Copia del certificado catastral correspondiente al predio objeto de la solicitud de exención. </w:t>
      </w:r>
    </w:p>
    <w:p w14:paraId="2B727FAF" w14:textId="77777777" w:rsidR="00E10140" w:rsidRPr="003E1962" w:rsidRDefault="00E10140" w:rsidP="00E10140">
      <w:pPr>
        <w:jc w:val="both"/>
        <w:rPr>
          <w:rFonts w:ascii="Century Gothic" w:hAnsi="Century Gothic"/>
        </w:rPr>
      </w:pPr>
      <w:r w:rsidRPr="003E1962">
        <w:rPr>
          <w:rFonts w:ascii="Century Gothic" w:hAnsi="Century Gothic"/>
        </w:rPr>
        <w:t xml:space="preserve">d) Manifestación bajo juramento, que se entenderá prestado por la simple presentación del escrito, que el predio o parte del mismo se encuentra afectado por la exención solicitada. Para efectos del control de las exenciones, se llevará un registro individualizado por cada contribuyente y predio. </w:t>
      </w:r>
    </w:p>
    <w:p w14:paraId="629927BA" w14:textId="77777777" w:rsidR="00E10140" w:rsidRPr="003E1962" w:rsidRDefault="00E10140" w:rsidP="00E10140">
      <w:pPr>
        <w:jc w:val="both"/>
        <w:rPr>
          <w:rFonts w:ascii="Century Gothic" w:hAnsi="Century Gothic"/>
        </w:rPr>
      </w:pPr>
      <w:r w:rsidRPr="003E1962">
        <w:rPr>
          <w:rFonts w:ascii="Century Gothic" w:hAnsi="Century Gothic"/>
        </w:rPr>
        <w:t>Parágrafo I. Para efectos de acceder a la exención se deberá tramitar dicha solicitud hasta el último día hábil del mes de noviembre, las solicitudes posteriores darán origen a la perdida de la exención por el año solicitado, la exención únicamente debe corresponder a la vigencia en curso.</w:t>
      </w:r>
    </w:p>
    <w:p w14:paraId="2895EB87" w14:textId="77777777" w:rsidR="00E10140" w:rsidRPr="003E1962" w:rsidRDefault="00E10140" w:rsidP="00E10140">
      <w:pPr>
        <w:jc w:val="both"/>
        <w:rPr>
          <w:rFonts w:ascii="Century Gothic" w:hAnsi="Century Gothic"/>
        </w:rPr>
      </w:pPr>
      <w:r w:rsidRPr="003E1962">
        <w:rPr>
          <w:rFonts w:ascii="Century Gothic" w:hAnsi="Century Gothic"/>
        </w:rPr>
        <w:t>Parágrafo II. La Administración Municipal no solicitará documentos que reposen en sus propios archivos.</w:t>
      </w:r>
    </w:p>
    <w:p w14:paraId="1A797588" w14:textId="3487A8CD" w:rsidR="00E10140" w:rsidRPr="003E1962" w:rsidRDefault="00E10140" w:rsidP="00E10140">
      <w:pPr>
        <w:jc w:val="both"/>
        <w:rPr>
          <w:rFonts w:ascii="Century Gothic" w:hAnsi="Century Gothic"/>
        </w:rPr>
      </w:pPr>
      <w:r w:rsidRPr="003E1962">
        <w:rPr>
          <w:rFonts w:ascii="Century Gothic" w:hAnsi="Century Gothic"/>
          <w:b/>
        </w:rPr>
        <w:t>Artículo 40. Descuento por pronto pago.</w:t>
      </w:r>
      <w:r w:rsidRPr="003E1962">
        <w:rPr>
          <w:rFonts w:ascii="Century Gothic" w:hAnsi="Century Gothic"/>
        </w:rPr>
        <w:t xml:space="preserve"> Se establece un descuento del 12</w:t>
      </w:r>
      <w:r w:rsidR="004F5BDD" w:rsidRPr="003E1962">
        <w:rPr>
          <w:rFonts w:ascii="Century Gothic" w:hAnsi="Century Gothic"/>
        </w:rPr>
        <w:t xml:space="preserve"> por ciento</w:t>
      </w:r>
      <w:r w:rsidRPr="003E1962">
        <w:rPr>
          <w:rFonts w:ascii="Century Gothic" w:hAnsi="Century Gothic"/>
        </w:rPr>
        <w:t xml:space="preserve"> sobre el valor que se liquide por concepto de Impuesto Predial Unificado para los pagos que se efectúen durante el periodo comprendido entre los meses </w:t>
      </w:r>
      <w:r w:rsidRPr="003E1962">
        <w:rPr>
          <w:rFonts w:ascii="Century Gothic" w:hAnsi="Century Gothic"/>
        </w:rPr>
        <w:lastRenderedPageBreak/>
        <w:t xml:space="preserve">de enero y el último día del mes de mayo de cada año, en relación con la vigencia respectiva. </w:t>
      </w:r>
    </w:p>
    <w:p w14:paraId="409EB3EE" w14:textId="77777777" w:rsidR="00E10140" w:rsidRPr="003E1962" w:rsidRDefault="00E10140" w:rsidP="00E10140">
      <w:pPr>
        <w:jc w:val="both"/>
        <w:rPr>
          <w:rFonts w:ascii="Century Gothic" w:hAnsi="Century Gothic"/>
        </w:rPr>
      </w:pPr>
      <w:r w:rsidRPr="003E1962">
        <w:rPr>
          <w:rFonts w:ascii="Century Gothic" w:hAnsi="Century Gothic"/>
        </w:rPr>
        <w:t>Parágrafo. Los descuentos tributarios sobre el Impuesto Predial Unificado serán presentados por la Administración Municipal para ser considerados por el Concejo Municipal de Pasto de conformidad con lo preceptuado en el artículo 7º de la Ley 819 de 2003, para lo cual se analizará las necesidades fiscales del Municipio en concordancia con el Plan de Desarrollo.</w:t>
      </w:r>
    </w:p>
    <w:p w14:paraId="23697CEA" w14:textId="1991648C" w:rsidR="00E10140" w:rsidRPr="003E1962" w:rsidRDefault="00E10140" w:rsidP="00E10140">
      <w:pPr>
        <w:tabs>
          <w:tab w:val="left" w:pos="2192"/>
        </w:tabs>
        <w:jc w:val="both"/>
        <w:rPr>
          <w:rFonts w:ascii="Century Gothic" w:hAnsi="Century Gothic"/>
        </w:rPr>
      </w:pPr>
      <w:r w:rsidRPr="003E1962">
        <w:rPr>
          <w:rFonts w:ascii="Century Gothic" w:hAnsi="Century Gothic"/>
          <w:b/>
        </w:rPr>
        <w:t>Artículo 41. Descuento a las edificaciones con tratamiento de conservación.</w:t>
      </w:r>
      <w:r w:rsidRPr="003E1962">
        <w:rPr>
          <w:rFonts w:ascii="Century Gothic" w:hAnsi="Century Gothic"/>
        </w:rPr>
        <w:t xml:space="preserve"> Son edificaciones con tratamiento de conservación aquellos inmuebles patrimoniales construidos, clasificados en nivel de conservación 1, 2 y 3, ubicados en sectores patrimoniales o de forma aislada, que se determinen como tales en el plano correspondiente del Plan de Ordenamiento Territorial. En relación con los predios que cumplan con las características señaladas en el presente </w:t>
      </w:r>
      <w:r w:rsidR="009E3AB7" w:rsidRPr="003E1962">
        <w:rPr>
          <w:rFonts w:ascii="Century Gothic" w:hAnsi="Century Gothic"/>
        </w:rPr>
        <w:t>Artículo</w:t>
      </w:r>
      <w:r w:rsidRPr="003E1962">
        <w:rPr>
          <w:rFonts w:ascii="Century Gothic" w:hAnsi="Century Gothic"/>
        </w:rPr>
        <w:t xml:space="preserve">, se establecen los siguientes descuentos en el Impuesto Predial Unificado: </w:t>
      </w:r>
    </w:p>
    <w:p w14:paraId="20E9F37A" w14:textId="77777777" w:rsidR="00E10140" w:rsidRPr="003E1962" w:rsidRDefault="00E10140" w:rsidP="00E10140">
      <w:pPr>
        <w:spacing w:after="0"/>
        <w:jc w:val="center"/>
        <w:rPr>
          <w:rFonts w:ascii="Century Gothic" w:hAnsi="Century Gothic"/>
        </w:rPr>
      </w:pPr>
      <w:bookmarkStart w:id="44" w:name="_Toc532570515"/>
      <w:r w:rsidRPr="003E1962">
        <w:rPr>
          <w:rFonts w:ascii="Century Gothic" w:hAnsi="Century Gothic"/>
          <w:lang w:val="es-ES"/>
        </w:rPr>
        <w:t xml:space="preserve">Tabla </w:t>
      </w:r>
      <w:r w:rsidRPr="003E1962">
        <w:rPr>
          <w:rFonts w:ascii="Century Gothic" w:hAnsi="Century Gothic"/>
          <w:lang w:val="es-ES"/>
        </w:rPr>
        <w:fldChar w:fldCharType="begin"/>
      </w:r>
      <w:r w:rsidRPr="003E1962">
        <w:rPr>
          <w:rFonts w:ascii="Century Gothic" w:hAnsi="Century Gothic"/>
          <w:lang w:val="es-ES"/>
        </w:rPr>
        <w:instrText xml:space="preserve"> SEQ Tabla \* ARABIC </w:instrText>
      </w:r>
      <w:r w:rsidRPr="003E1962">
        <w:rPr>
          <w:rFonts w:ascii="Century Gothic" w:hAnsi="Century Gothic"/>
          <w:lang w:val="es-ES"/>
        </w:rPr>
        <w:fldChar w:fldCharType="separate"/>
      </w:r>
      <w:r w:rsidR="00934BA3">
        <w:rPr>
          <w:rFonts w:ascii="Century Gothic" w:hAnsi="Century Gothic"/>
          <w:noProof/>
          <w:lang w:val="es-ES"/>
        </w:rPr>
        <w:t>24</w:t>
      </w:r>
      <w:r w:rsidRPr="003E1962">
        <w:rPr>
          <w:rFonts w:ascii="Century Gothic" w:hAnsi="Century Gothic"/>
          <w:lang w:val="es-ES"/>
        </w:rPr>
        <w:fldChar w:fldCharType="end"/>
      </w:r>
      <w:r w:rsidRPr="003E1962">
        <w:rPr>
          <w:rFonts w:ascii="Century Gothic" w:hAnsi="Century Gothic"/>
          <w:lang w:val="es-ES"/>
        </w:rPr>
        <w:t xml:space="preserve">. </w:t>
      </w:r>
      <w:r w:rsidRPr="003E1962">
        <w:rPr>
          <w:rFonts w:ascii="Century Gothic" w:hAnsi="Century Gothic"/>
          <w:w w:val="105"/>
          <w:lang w:val="es-ES"/>
        </w:rPr>
        <w:t>Informe de alivios tributarios otorgados</w:t>
      </w:r>
      <w:bookmarkEnd w:id="44"/>
    </w:p>
    <w:tbl>
      <w:tblPr>
        <w:tblW w:w="6454" w:type="dxa"/>
        <w:jc w:val="center"/>
        <w:tblCellMar>
          <w:left w:w="70" w:type="dxa"/>
          <w:right w:w="70" w:type="dxa"/>
        </w:tblCellMar>
        <w:tblLook w:val="04A0" w:firstRow="1" w:lastRow="0" w:firstColumn="1" w:lastColumn="0" w:noHBand="0" w:noVBand="1"/>
      </w:tblPr>
      <w:tblGrid>
        <w:gridCol w:w="2778"/>
        <w:gridCol w:w="3676"/>
      </w:tblGrid>
      <w:tr w:rsidR="00E10140" w:rsidRPr="00CA56B0" w14:paraId="50097CB7" w14:textId="77777777" w:rsidTr="00CA56B0">
        <w:trPr>
          <w:trHeight w:val="20"/>
          <w:jc w:val="center"/>
        </w:trPr>
        <w:tc>
          <w:tcPr>
            <w:tcW w:w="2778"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4A2E5A53" w14:textId="77777777" w:rsidR="00E10140" w:rsidRPr="00CA56B0" w:rsidRDefault="00E10140" w:rsidP="00491112">
            <w:pPr>
              <w:spacing w:after="0"/>
              <w:jc w:val="center"/>
              <w:rPr>
                <w:rFonts w:ascii="Century Gothic" w:hAnsi="Century Gothic"/>
                <w:b/>
                <w:sz w:val="20"/>
              </w:rPr>
            </w:pPr>
            <w:r w:rsidRPr="00CA56B0">
              <w:rPr>
                <w:rFonts w:ascii="Century Gothic" w:hAnsi="Century Gothic"/>
                <w:b/>
                <w:sz w:val="20"/>
              </w:rPr>
              <w:t xml:space="preserve">Nivel de conservación  </w:t>
            </w:r>
          </w:p>
        </w:tc>
        <w:tc>
          <w:tcPr>
            <w:tcW w:w="3676"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6F4BF52C" w14:textId="4F26660F" w:rsidR="00E10140" w:rsidRPr="00CA56B0" w:rsidRDefault="00E10140" w:rsidP="00491112">
            <w:pPr>
              <w:spacing w:after="0"/>
              <w:jc w:val="center"/>
              <w:rPr>
                <w:rFonts w:ascii="Century Gothic" w:hAnsi="Century Gothic"/>
                <w:b/>
                <w:sz w:val="20"/>
              </w:rPr>
            </w:pPr>
            <w:r w:rsidRPr="00CA56B0">
              <w:rPr>
                <w:rFonts w:ascii="Century Gothic" w:hAnsi="Century Gothic"/>
                <w:b/>
                <w:sz w:val="20"/>
              </w:rPr>
              <w:t>Porcentaje de descuento IPU</w:t>
            </w:r>
            <w:r w:rsidR="00AA639F" w:rsidRPr="00CA56B0">
              <w:rPr>
                <w:rFonts w:ascii="Century Gothic" w:hAnsi="Century Gothic"/>
                <w:b/>
                <w:sz w:val="20"/>
              </w:rPr>
              <w:t xml:space="preserve"> %</w:t>
            </w:r>
          </w:p>
        </w:tc>
      </w:tr>
      <w:tr w:rsidR="00E10140" w:rsidRPr="00CA56B0" w14:paraId="719A1660" w14:textId="77777777" w:rsidTr="00CA56B0">
        <w:trPr>
          <w:trHeight w:val="20"/>
          <w:jc w:val="center"/>
        </w:trPr>
        <w:tc>
          <w:tcPr>
            <w:tcW w:w="2778" w:type="dxa"/>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17024955" w14:textId="77777777" w:rsidR="00E10140" w:rsidRPr="00CA56B0" w:rsidRDefault="00E10140" w:rsidP="00491112">
            <w:pPr>
              <w:spacing w:after="0"/>
              <w:jc w:val="center"/>
              <w:rPr>
                <w:rFonts w:ascii="Century Gothic" w:hAnsi="Century Gothic"/>
                <w:b/>
                <w:sz w:val="20"/>
              </w:rPr>
            </w:pPr>
            <w:r w:rsidRPr="00CA56B0">
              <w:rPr>
                <w:rFonts w:ascii="Century Gothic" w:hAnsi="Century Gothic"/>
                <w:b/>
                <w:sz w:val="20"/>
              </w:rPr>
              <w:t>Nivel 1</w:t>
            </w:r>
          </w:p>
        </w:tc>
        <w:tc>
          <w:tcPr>
            <w:tcW w:w="3676" w:type="dxa"/>
            <w:tcBorders>
              <w:top w:val="nil"/>
              <w:left w:val="nil"/>
              <w:bottom w:val="single" w:sz="4" w:space="0" w:color="auto"/>
              <w:right w:val="single" w:sz="4" w:space="0" w:color="auto"/>
            </w:tcBorders>
            <w:shd w:val="clear" w:color="auto" w:fill="auto"/>
            <w:noWrap/>
            <w:vAlign w:val="center"/>
            <w:hideMark/>
          </w:tcPr>
          <w:p w14:paraId="4DC3F4FB" w14:textId="2F758048" w:rsidR="00E10140" w:rsidRPr="00CA56B0" w:rsidRDefault="00AA639F" w:rsidP="00491112">
            <w:pPr>
              <w:spacing w:after="0"/>
              <w:jc w:val="center"/>
              <w:rPr>
                <w:rFonts w:ascii="Century Gothic" w:hAnsi="Century Gothic"/>
                <w:sz w:val="20"/>
              </w:rPr>
            </w:pPr>
            <w:r w:rsidRPr="00CA56B0">
              <w:rPr>
                <w:rFonts w:ascii="Century Gothic" w:hAnsi="Century Gothic"/>
                <w:sz w:val="20"/>
              </w:rPr>
              <w:t>60</w:t>
            </w:r>
          </w:p>
        </w:tc>
      </w:tr>
      <w:tr w:rsidR="00E10140" w:rsidRPr="00CA56B0" w14:paraId="34C30626" w14:textId="77777777" w:rsidTr="00CA56B0">
        <w:trPr>
          <w:trHeight w:val="20"/>
          <w:jc w:val="center"/>
        </w:trPr>
        <w:tc>
          <w:tcPr>
            <w:tcW w:w="2778" w:type="dxa"/>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F594EDF" w14:textId="77777777" w:rsidR="00E10140" w:rsidRPr="00CA56B0" w:rsidRDefault="00E10140" w:rsidP="00491112">
            <w:pPr>
              <w:spacing w:after="0"/>
              <w:jc w:val="center"/>
              <w:rPr>
                <w:rFonts w:ascii="Century Gothic" w:hAnsi="Century Gothic"/>
                <w:b/>
                <w:sz w:val="20"/>
              </w:rPr>
            </w:pPr>
            <w:r w:rsidRPr="00CA56B0">
              <w:rPr>
                <w:rFonts w:ascii="Century Gothic" w:hAnsi="Century Gothic"/>
                <w:b/>
                <w:sz w:val="20"/>
              </w:rPr>
              <w:t>Nivel 2</w:t>
            </w:r>
          </w:p>
        </w:tc>
        <w:tc>
          <w:tcPr>
            <w:tcW w:w="3676" w:type="dxa"/>
            <w:tcBorders>
              <w:top w:val="nil"/>
              <w:left w:val="nil"/>
              <w:bottom w:val="single" w:sz="4" w:space="0" w:color="auto"/>
              <w:right w:val="single" w:sz="4" w:space="0" w:color="auto"/>
            </w:tcBorders>
            <w:shd w:val="clear" w:color="auto" w:fill="auto"/>
            <w:noWrap/>
            <w:vAlign w:val="center"/>
            <w:hideMark/>
          </w:tcPr>
          <w:p w14:paraId="60338D5D" w14:textId="259A82C0" w:rsidR="00E10140" w:rsidRPr="00CA56B0" w:rsidRDefault="00AA639F" w:rsidP="00491112">
            <w:pPr>
              <w:spacing w:after="0"/>
              <w:jc w:val="center"/>
              <w:rPr>
                <w:rFonts w:ascii="Century Gothic" w:hAnsi="Century Gothic"/>
                <w:sz w:val="20"/>
              </w:rPr>
            </w:pPr>
            <w:r w:rsidRPr="00CA56B0">
              <w:rPr>
                <w:rFonts w:ascii="Century Gothic" w:hAnsi="Century Gothic"/>
                <w:sz w:val="20"/>
              </w:rPr>
              <w:t>45</w:t>
            </w:r>
          </w:p>
        </w:tc>
      </w:tr>
      <w:tr w:rsidR="00E10140" w:rsidRPr="00CA56B0" w14:paraId="7CEC0240" w14:textId="77777777" w:rsidTr="00CA56B0">
        <w:trPr>
          <w:trHeight w:val="20"/>
          <w:jc w:val="center"/>
        </w:trPr>
        <w:tc>
          <w:tcPr>
            <w:tcW w:w="2778"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38CF9FB8" w14:textId="77777777" w:rsidR="00E10140" w:rsidRPr="00CA56B0" w:rsidRDefault="00E10140" w:rsidP="00491112">
            <w:pPr>
              <w:spacing w:after="0"/>
              <w:jc w:val="center"/>
              <w:rPr>
                <w:rFonts w:ascii="Century Gothic" w:hAnsi="Century Gothic"/>
                <w:b/>
                <w:sz w:val="20"/>
              </w:rPr>
            </w:pPr>
            <w:r w:rsidRPr="00CA56B0">
              <w:rPr>
                <w:rFonts w:ascii="Century Gothic" w:hAnsi="Century Gothic"/>
                <w:b/>
                <w:sz w:val="20"/>
              </w:rPr>
              <w:t>Nivel 3</w:t>
            </w:r>
          </w:p>
        </w:tc>
        <w:tc>
          <w:tcPr>
            <w:tcW w:w="3676" w:type="dxa"/>
            <w:tcBorders>
              <w:top w:val="nil"/>
              <w:left w:val="nil"/>
              <w:bottom w:val="single" w:sz="4" w:space="0" w:color="auto"/>
              <w:right w:val="single" w:sz="4" w:space="0" w:color="auto"/>
            </w:tcBorders>
            <w:shd w:val="clear" w:color="auto" w:fill="auto"/>
            <w:noWrap/>
            <w:vAlign w:val="bottom"/>
            <w:hideMark/>
          </w:tcPr>
          <w:p w14:paraId="102F2D5D" w14:textId="6282D3DB" w:rsidR="00E10140" w:rsidRPr="00CA56B0" w:rsidRDefault="00AA639F" w:rsidP="00491112">
            <w:pPr>
              <w:spacing w:after="0"/>
              <w:jc w:val="center"/>
              <w:rPr>
                <w:rFonts w:ascii="Century Gothic" w:hAnsi="Century Gothic"/>
                <w:sz w:val="20"/>
              </w:rPr>
            </w:pPr>
            <w:r w:rsidRPr="00CA56B0">
              <w:rPr>
                <w:rFonts w:ascii="Century Gothic" w:hAnsi="Century Gothic"/>
                <w:sz w:val="20"/>
              </w:rPr>
              <w:t>25</w:t>
            </w:r>
          </w:p>
        </w:tc>
      </w:tr>
    </w:tbl>
    <w:p w14:paraId="051F5DAB" w14:textId="77777777" w:rsidR="00E10140" w:rsidRPr="003E1962" w:rsidRDefault="00E10140" w:rsidP="00E10140">
      <w:pPr>
        <w:pStyle w:val="Textoindependiente"/>
        <w:spacing w:after="200" w:line="276" w:lineRule="auto"/>
        <w:jc w:val="center"/>
        <w:rPr>
          <w:sz w:val="20"/>
          <w:szCs w:val="22"/>
          <w:lang w:val="es-ES"/>
        </w:rPr>
      </w:pPr>
      <w:r w:rsidRPr="003E1962">
        <w:rPr>
          <w:sz w:val="20"/>
          <w:szCs w:val="22"/>
          <w:lang w:val="es-ES"/>
        </w:rPr>
        <w:t>Fuente: Secretaría de Hacienda, 2018</w:t>
      </w:r>
    </w:p>
    <w:p w14:paraId="1F592BBC" w14:textId="77777777" w:rsidR="00E10140" w:rsidRPr="003E1962" w:rsidRDefault="00E10140" w:rsidP="00E10140">
      <w:pPr>
        <w:jc w:val="both"/>
        <w:rPr>
          <w:rFonts w:ascii="Century Gothic" w:hAnsi="Century Gothic"/>
        </w:rPr>
      </w:pPr>
      <w:r w:rsidRPr="003E1962">
        <w:rPr>
          <w:rFonts w:ascii="Century Gothic" w:hAnsi="Century Gothic"/>
        </w:rPr>
        <w:t xml:space="preserve">El descuento será anual y se concederá por solicitud del propietario respecto de los inmuebles de conservación 1, 2 y 3 en donde se realice mantenimiento, reparaciones locativas, reconstrucciones u obras civiles que según estudio y valoración realizada por la Secretaría de Planeación Municipal contribuyan a la recuperación y estabilidad del inmueble. Si la Secretaría de Planeación, llegado el tiempo de verificación, conceptúa que el contribuyente no cumplió con las labores y adecuaciones acordadas se perderá el descuento y se liquidará el valor correspondiente. El descuento para edificaciones de conservación será acumulable con el descuento por pronto pago definido en el artículo precedente. </w:t>
      </w:r>
    </w:p>
    <w:p w14:paraId="3AEF9121" w14:textId="77777777" w:rsidR="00E10140" w:rsidRPr="003E1962" w:rsidRDefault="00E10140" w:rsidP="00E10140">
      <w:pPr>
        <w:jc w:val="both"/>
        <w:rPr>
          <w:rFonts w:ascii="Century Gothic" w:hAnsi="Century Gothic"/>
        </w:rPr>
      </w:pPr>
      <w:r w:rsidRPr="003E1962">
        <w:rPr>
          <w:rFonts w:ascii="Century Gothic" w:hAnsi="Century Gothic"/>
        </w:rPr>
        <w:t xml:space="preserve">Parágrafo I. Para inmuebles localizados dentro del Plan Especial de Manejo y Protección del Centro Histórico PEMP e inmuebles con tratamiento de conservación por fuera de dicha área, se establecen los siguientes incentivos y sus condicionantes: (a) Los propietarios de inmuebles localizados dentro del área afectada y zona de influencia delimitadas en el Plan Especial de Manejo y Protección del Centro Histórico PEMP o con tratamiento de conservación por </w:t>
      </w:r>
      <w:r w:rsidRPr="003E1962">
        <w:rPr>
          <w:rFonts w:ascii="Century Gothic" w:hAnsi="Century Gothic"/>
        </w:rPr>
        <w:lastRenderedPageBreak/>
        <w:t xml:space="preserve">fuera de dicha área, que desarrollen un uso residencial, podrán solicitar el cambio de estrato a bajo – bajo (1) previo el lleno de los requisitos establecidos en el acuerdo No. 004 de 14 de Abril de 2015. (b)  Los inmuebles con usos diferentes al residencial podrán solicitar el descuento en el Impuesto Predial Unificado, de conformidad con los porcentajes establecidos en el presente artículo para cada nivel de conservación. Los inmuebles localizados por fuera del área afectada y la zona de influencia del Plan Especial de Manejo y Protección del Centro Histórico PEMP, que tengan tratamiento de conservación y que desarrollen usos diferentes al residencial, para efectos del descuento en el impuesto predial de que trata el presente artículo se asimilan al nivel 2. (c) Para obtener el cambio de estrato y el descuento en el impuesto predial unificado el interesado deberá aportar la certificación de edificaciones con tratamiento de conservación expedida por la Secretaría de Planeación en la que se establezca el buen estado del inmueble y los compromisos adquiridos por el solicitante. (d) Los beneficios establecidos se perderán cuando el inmueble presente estado de abandono o deterioro o cuando no se hayan cumplido los compromisos fijados en la certificación expedida. </w:t>
      </w:r>
    </w:p>
    <w:p w14:paraId="139F83EB" w14:textId="77777777" w:rsidR="00E10140" w:rsidRPr="003E1962" w:rsidRDefault="00E10140" w:rsidP="00E10140">
      <w:pPr>
        <w:jc w:val="both"/>
        <w:rPr>
          <w:rFonts w:ascii="Century Gothic" w:hAnsi="Century Gothic"/>
        </w:rPr>
      </w:pPr>
      <w:r w:rsidRPr="003E1962">
        <w:rPr>
          <w:rFonts w:ascii="Century Gothic" w:hAnsi="Century Gothic"/>
        </w:rPr>
        <w:t xml:space="preserve">Parágrafo II. El contribuyente o responsable del tributo deberá optar por uno de los dos beneficios, el cambio de estrato o porcentaje de descuento.  </w:t>
      </w:r>
    </w:p>
    <w:p w14:paraId="69949B8C" w14:textId="77777777" w:rsidR="00E10140" w:rsidRPr="003E1962" w:rsidRDefault="00E10140" w:rsidP="00E10140">
      <w:pPr>
        <w:jc w:val="both"/>
        <w:rPr>
          <w:rFonts w:ascii="Century Gothic" w:hAnsi="Century Gothic"/>
        </w:rPr>
      </w:pPr>
      <w:r w:rsidRPr="003E1962">
        <w:rPr>
          <w:rFonts w:ascii="Century Gothic" w:hAnsi="Century Gothic"/>
          <w:b/>
        </w:rPr>
        <w:t>Artículo 42. Exención para víctimas de desplazamiento forzado</w:t>
      </w:r>
      <w:r w:rsidRPr="003E1962">
        <w:rPr>
          <w:rFonts w:ascii="Century Gothic" w:hAnsi="Century Gothic"/>
        </w:rPr>
        <w:t xml:space="preserve">. Exímase por un periodo de dos (2) años el pago del impuesto predial unificado, a los propietarios de bienes inmuebles que hayan sido beneficiarios en el marco de la aplicación de la Ley 1448 de 2011 a partir de la fecha de la restitución jurídica del predio, así como sobre aquellos bienes inmuebles que hayan sido reconocidos mediante acto administrativo a favor de la víctima de la violencia. </w:t>
      </w:r>
    </w:p>
    <w:p w14:paraId="05202726" w14:textId="77777777" w:rsidR="00E10140" w:rsidRPr="003E1962" w:rsidRDefault="00E10140" w:rsidP="00E10140">
      <w:pPr>
        <w:jc w:val="both"/>
        <w:rPr>
          <w:rFonts w:ascii="Century Gothic" w:hAnsi="Century Gothic"/>
        </w:rPr>
      </w:pPr>
      <w:r w:rsidRPr="003E1962">
        <w:rPr>
          <w:rFonts w:ascii="Century Gothic" w:hAnsi="Century Gothic"/>
        </w:rPr>
        <w:t xml:space="preserve">Parágrafo I. El reconocimiento de la exención se efectuará por la Subsecretaría de Ingresos; para tal efecto, el contribuyente presentará anualmente solicitud que debe contener: a. Fotocopia simple de la cédula de ciudadanía del solicitante. b. Identificación completa del contribuyente responsable. c. Indicación del período gravable objeto de exención d. Identificación del predio objeto de la solicitud de la exención. e. La solicitud deberá firmarla el contribuyente. f. La Administración Municipal verificará ante la unidad de víctimas la calidad de víctimas en los términos de la Ley 1448 de 2011. g. Manifestación bajo juramento, que se entenderá prestado por la simple presentación del escrito, que se cumplen con las condiciones para acogerse a la exención solicitada. Para efectos del control de las exenciones, se llevará un registro individualizado por cada contribuyente. </w:t>
      </w:r>
    </w:p>
    <w:p w14:paraId="3D8A95C0" w14:textId="77777777" w:rsidR="00E10140" w:rsidRPr="003E1962" w:rsidRDefault="00E10140" w:rsidP="00E10140">
      <w:pPr>
        <w:jc w:val="both"/>
        <w:rPr>
          <w:rFonts w:ascii="Century Gothic" w:hAnsi="Century Gothic"/>
        </w:rPr>
      </w:pPr>
      <w:r w:rsidRPr="003E1962">
        <w:rPr>
          <w:rFonts w:ascii="Century Gothic" w:hAnsi="Century Gothic"/>
        </w:rPr>
        <w:lastRenderedPageBreak/>
        <w:t xml:space="preserve">Parágrafo II. Una vez terminada la vigencia del plazo anteriormente señalado, el predio se gravará conforme a las tarifas de cada tributo municipal que existan al momento del cumplimiento del mismo, y por ende será sujeto de cobro y pago de cualquier tributo que en su momento se hayan establecido o se establezcan. </w:t>
      </w:r>
    </w:p>
    <w:p w14:paraId="089FC264" w14:textId="77777777" w:rsidR="00E10140" w:rsidRPr="003E1962" w:rsidRDefault="00E10140" w:rsidP="00E10140">
      <w:pPr>
        <w:jc w:val="both"/>
        <w:rPr>
          <w:rFonts w:ascii="Century Gothic" w:hAnsi="Century Gothic"/>
        </w:rPr>
      </w:pPr>
      <w:r w:rsidRPr="003E1962">
        <w:rPr>
          <w:rFonts w:ascii="Century Gothic" w:hAnsi="Century Gothic"/>
        </w:rPr>
        <w:t>Parágrafo III. La Subsecretaría de Ingresos previa comprobación de los presupuestos que dan origen al beneficio, reconocerá la exención a que tenga derecho el contribuyente mediante Resolución Motivada. Contra este Acto Administrativo procede el recurso de Reconsideración establecido en el presente Estatuto.</w:t>
      </w:r>
    </w:p>
    <w:p w14:paraId="73F12F6C" w14:textId="77777777" w:rsidR="00E10140" w:rsidRPr="003E1962" w:rsidRDefault="00E10140" w:rsidP="00E10140">
      <w:pPr>
        <w:jc w:val="both"/>
        <w:rPr>
          <w:rFonts w:ascii="Century Gothic" w:hAnsi="Century Gothic"/>
        </w:rPr>
      </w:pPr>
      <w:r w:rsidRPr="003E1962">
        <w:rPr>
          <w:rFonts w:ascii="Century Gothic" w:hAnsi="Century Gothic"/>
          <w:b/>
        </w:rPr>
        <w:t>Artículo 43. Beneficio tributario para víctimas de desplazamiento forzado.</w:t>
      </w:r>
      <w:r w:rsidRPr="003E1962">
        <w:rPr>
          <w:rFonts w:ascii="Century Gothic" w:hAnsi="Century Gothic"/>
        </w:rPr>
        <w:t xml:space="preserve"> El periodo de condonación será el ocurrido a partir de la fecha de despojo, desplazamiento o abandono reconocido en Sentencia Judicial o Acto Administrativo respectivo, e irá hasta la restitución jurídica o retorno correspondiente.</w:t>
      </w:r>
    </w:p>
    <w:p w14:paraId="06B52BD0" w14:textId="77777777" w:rsidR="00E10140" w:rsidRPr="003E1962" w:rsidRDefault="00E10140" w:rsidP="00E10140">
      <w:pPr>
        <w:pStyle w:val="Prrafodelista"/>
        <w:numPr>
          <w:ilvl w:val="0"/>
          <w:numId w:val="46"/>
        </w:numPr>
        <w:spacing w:after="240"/>
        <w:rPr>
          <w:b/>
          <w:lang w:val="es-ES"/>
        </w:rPr>
      </w:pPr>
      <w:r w:rsidRPr="003E1962">
        <w:rPr>
          <w:b/>
          <w:lang w:val="es-ES"/>
        </w:rPr>
        <w:t>Industria y comercio</w:t>
      </w:r>
    </w:p>
    <w:p w14:paraId="6F5E7B7D" w14:textId="7191C217" w:rsidR="00E10140" w:rsidRPr="003E1962" w:rsidRDefault="00E10140" w:rsidP="00E10140">
      <w:pPr>
        <w:jc w:val="both"/>
        <w:rPr>
          <w:rFonts w:ascii="Century Gothic" w:hAnsi="Century Gothic"/>
        </w:rPr>
      </w:pPr>
      <w:r w:rsidRPr="003E1962">
        <w:rPr>
          <w:rFonts w:ascii="Century Gothic" w:hAnsi="Century Gothic"/>
          <w:b/>
        </w:rPr>
        <w:t>Artículo 83. Exenciones.</w:t>
      </w:r>
      <w:r w:rsidRPr="003E1962">
        <w:rPr>
          <w:rFonts w:ascii="Century Gothic" w:hAnsi="Century Gothic"/>
        </w:rPr>
        <w:t xml:space="preserve"> Estarán exentas del Impuesto de Industria y Comercio y su complementario de Avisos y Tabler</w:t>
      </w:r>
      <w:r w:rsidR="001854C1" w:rsidRPr="003E1962">
        <w:rPr>
          <w:rFonts w:ascii="Century Gothic" w:hAnsi="Century Gothic"/>
        </w:rPr>
        <w:t>os las siguientes actividades:</w:t>
      </w:r>
    </w:p>
    <w:p w14:paraId="16B45BB4" w14:textId="54467185" w:rsidR="00E10140" w:rsidRPr="003E1962" w:rsidRDefault="00E10140" w:rsidP="00E10140">
      <w:pPr>
        <w:jc w:val="both"/>
        <w:rPr>
          <w:rFonts w:ascii="Century Gothic" w:hAnsi="Century Gothic"/>
        </w:rPr>
      </w:pPr>
      <w:r w:rsidRPr="003E1962">
        <w:rPr>
          <w:rFonts w:ascii="Century Gothic" w:hAnsi="Century Gothic"/>
        </w:rPr>
        <w:t xml:space="preserve">1. La comercialización en pequeñas tiendas de productos perecederos y no perecederos de la canasta familiar que no comercialicen </w:t>
      </w:r>
      <w:r w:rsidR="001854C1" w:rsidRPr="003E1962">
        <w:rPr>
          <w:rFonts w:ascii="Century Gothic" w:hAnsi="Century Gothic"/>
        </w:rPr>
        <w:t>l</w:t>
      </w:r>
      <w:r w:rsidRPr="003E1962">
        <w:rPr>
          <w:rFonts w:ascii="Century Gothic" w:hAnsi="Century Gothic"/>
        </w:rPr>
        <w:t xml:space="preserve">icor, que mantengan dicha actividad durante todo el tiempo de la exención y que registren un capital de trabajo inferior o igual a quince (15) salarios mínimos legales mensuales vigentes.  </w:t>
      </w:r>
    </w:p>
    <w:p w14:paraId="202ED472" w14:textId="77777777" w:rsidR="00E10140" w:rsidRPr="003E1962" w:rsidRDefault="00E10140" w:rsidP="00E10140">
      <w:pPr>
        <w:jc w:val="both"/>
        <w:rPr>
          <w:rFonts w:ascii="Century Gothic" w:hAnsi="Century Gothic"/>
        </w:rPr>
      </w:pPr>
      <w:r w:rsidRPr="003E1962">
        <w:rPr>
          <w:rFonts w:ascii="Century Gothic" w:hAnsi="Century Gothic"/>
        </w:rPr>
        <w:t xml:space="preserve">2. Las actividades artesanales desarrolladas por personas naturales de manera manual y </w:t>
      </w:r>
      <w:proofErr w:type="spellStart"/>
      <w:r w:rsidRPr="003E1962">
        <w:rPr>
          <w:rFonts w:ascii="Century Gothic" w:hAnsi="Century Gothic"/>
        </w:rPr>
        <w:t>desautomatizada</w:t>
      </w:r>
      <w:proofErr w:type="spellEnd"/>
      <w:r w:rsidRPr="003E1962">
        <w:rPr>
          <w:rFonts w:ascii="Century Gothic" w:hAnsi="Century Gothic"/>
        </w:rPr>
        <w:t xml:space="preserve"> cuya fabricación en serie no sea repetitiva ni idéntica. </w:t>
      </w:r>
    </w:p>
    <w:p w14:paraId="3F98DAE7" w14:textId="16AF0C6B" w:rsidR="00E10140" w:rsidRPr="003E1962" w:rsidRDefault="00E10140" w:rsidP="00E10140">
      <w:pPr>
        <w:jc w:val="both"/>
        <w:rPr>
          <w:rFonts w:ascii="Century Gothic" w:hAnsi="Century Gothic"/>
        </w:rPr>
      </w:pPr>
      <w:r w:rsidRPr="003E1962">
        <w:rPr>
          <w:rFonts w:ascii="Century Gothic" w:hAnsi="Century Gothic"/>
        </w:rPr>
        <w:t xml:space="preserve">3. Las actividades mercantiles desarrolladas por los comerciantes que se encuentren ubicados en los centros comerciales y populares construidos por el Municipio de Pasto y con un capital inferior a diez (10) salarios mínimos mensuales legales vigentes, y cuyos ingresos reportados en materia de impuesto sobre la renta en el año inmediatamente anterior no hayan superado los cien (100) salarios mínimos legales mensuales vigentes. Las actividades mercantiles, corresponde a aquellos vendedores ambulantes reubicados en los centros comerciales: Centro Comercial Popular </w:t>
      </w:r>
      <w:r w:rsidR="001854C1" w:rsidRPr="003E1962">
        <w:rPr>
          <w:rFonts w:ascii="Century Gothic" w:hAnsi="Century Gothic"/>
        </w:rPr>
        <w:t xml:space="preserve">La </w:t>
      </w:r>
      <w:r w:rsidRPr="003E1962">
        <w:rPr>
          <w:rFonts w:ascii="Century Gothic" w:hAnsi="Century Gothic"/>
        </w:rPr>
        <w:t xml:space="preserve">16, Centro Comercial </w:t>
      </w:r>
      <w:r w:rsidR="001854C1" w:rsidRPr="003E1962">
        <w:rPr>
          <w:rFonts w:ascii="Century Gothic" w:hAnsi="Century Gothic"/>
        </w:rPr>
        <w:t xml:space="preserve">La </w:t>
      </w:r>
      <w:r w:rsidRPr="003E1962">
        <w:rPr>
          <w:rFonts w:ascii="Century Gothic" w:hAnsi="Century Gothic"/>
        </w:rPr>
        <w:t>Merced, Plaza de ventas populares 20 de Ju</w:t>
      </w:r>
      <w:r w:rsidR="001854C1" w:rsidRPr="003E1962">
        <w:rPr>
          <w:rFonts w:ascii="Century Gothic" w:hAnsi="Century Gothic"/>
        </w:rPr>
        <w:t>lio, Centro Comercial Alcázar.</w:t>
      </w:r>
    </w:p>
    <w:p w14:paraId="6612A050" w14:textId="77777777" w:rsidR="00E10140" w:rsidRPr="003E1962" w:rsidRDefault="00E10140" w:rsidP="00E10140">
      <w:pPr>
        <w:jc w:val="both"/>
        <w:rPr>
          <w:rFonts w:ascii="Century Gothic" w:hAnsi="Century Gothic"/>
        </w:rPr>
      </w:pPr>
      <w:r w:rsidRPr="003E1962">
        <w:rPr>
          <w:rFonts w:ascii="Century Gothic" w:hAnsi="Century Gothic"/>
        </w:rPr>
        <w:lastRenderedPageBreak/>
        <w:t xml:space="preserve">4. Las actividades desarrolladas por nuevas empresas que se gesten a partir de incubadoras de empresas del Municipio de Pasto. Las incubadoras de empresas establecidas y que se establezcan en el Municipio de Pasto y con las cuales tenga convenio el Municipio de Pasto. Igual tratamiento se les otorga a las actividades que desarrollen las empresas o proyectos productivos generados a través de programas establecidos por la Administración Municipal con apoyo de la Secretaría de Desarrollo Económico o quien haga sus veces.  </w:t>
      </w:r>
    </w:p>
    <w:p w14:paraId="739D1971" w14:textId="77777777" w:rsidR="00E10140" w:rsidRPr="003E1962" w:rsidRDefault="00E10140" w:rsidP="00E10140">
      <w:pPr>
        <w:jc w:val="both"/>
        <w:rPr>
          <w:rFonts w:ascii="Century Gothic" w:hAnsi="Century Gothic"/>
        </w:rPr>
      </w:pPr>
      <w:r w:rsidRPr="003E1962">
        <w:rPr>
          <w:rFonts w:ascii="Century Gothic" w:hAnsi="Century Gothic"/>
        </w:rPr>
        <w:t xml:space="preserve">5. Las actividades comerciales, industriales, de servicios o financieras desarrolladas por las personas naturales o jurídicas que sean afectadas por desastres naturales sobrevinientes, riesgos antrópicos o casos fortuitos, identificados por la Dirección para la Gestión del Riesgo de Desastres o quien haga sus veces. </w:t>
      </w:r>
    </w:p>
    <w:p w14:paraId="6CE5F1F8" w14:textId="77777777" w:rsidR="00E10140" w:rsidRPr="003E1962" w:rsidRDefault="00E10140" w:rsidP="00E10140">
      <w:pPr>
        <w:jc w:val="both"/>
        <w:rPr>
          <w:rFonts w:ascii="Century Gothic" w:hAnsi="Century Gothic"/>
        </w:rPr>
      </w:pPr>
      <w:r w:rsidRPr="003E1962">
        <w:rPr>
          <w:rFonts w:ascii="Century Gothic" w:hAnsi="Century Gothic"/>
        </w:rPr>
        <w:t xml:space="preserve">6. Las actividades comerciales, industriales, de servicios o financieras desarrolladas por personas en situación de desplazamiento, los jóvenes en situación de alto riesgo y población vulnerable, en desarrollo de los programas productivos implementados por el gobierno municipal, departamental, nacional o por organizaciones no gubernamentales. </w:t>
      </w:r>
    </w:p>
    <w:p w14:paraId="4C80A2EA" w14:textId="77777777" w:rsidR="00E10140" w:rsidRPr="003E1962" w:rsidRDefault="00E10140" w:rsidP="00E10140">
      <w:pPr>
        <w:jc w:val="both"/>
        <w:rPr>
          <w:rFonts w:ascii="Century Gothic" w:hAnsi="Century Gothic"/>
        </w:rPr>
      </w:pPr>
      <w:r w:rsidRPr="003E1962">
        <w:rPr>
          <w:rFonts w:ascii="Century Gothic" w:hAnsi="Century Gothic"/>
        </w:rPr>
        <w:t xml:space="preserve">7. Las actividades comerciales, industriales, de servicios o financieras desarrolladas por personas naturales o jurídicas cuyos establecimientos de comercio se encuentren ubicados en inmuebles que sean objeto de adquisición por parte del Municipio de Pasto, sus unidades administrativas o entes descentralizados para su intervención por la construcción y adecuación de las obras contempladas en el Plan de Movilidad, que cumplan con los siguientes requisitos:  </w:t>
      </w:r>
    </w:p>
    <w:p w14:paraId="7DF6D388" w14:textId="77777777" w:rsidR="00E10140" w:rsidRPr="003E1962" w:rsidRDefault="00E10140" w:rsidP="00E10140">
      <w:pPr>
        <w:jc w:val="both"/>
        <w:rPr>
          <w:rFonts w:ascii="Century Gothic" w:hAnsi="Century Gothic"/>
        </w:rPr>
      </w:pPr>
      <w:r w:rsidRPr="003E1962">
        <w:rPr>
          <w:rFonts w:ascii="Century Gothic" w:hAnsi="Century Gothic"/>
        </w:rPr>
        <w:t xml:space="preserve">a. Establecimiento mercantil formalmente registrado ante Cámara de Comercio.  </w:t>
      </w:r>
    </w:p>
    <w:p w14:paraId="011DF129" w14:textId="77777777" w:rsidR="00E10140" w:rsidRPr="003E1962" w:rsidRDefault="00E10140" w:rsidP="00E10140">
      <w:pPr>
        <w:jc w:val="both"/>
        <w:rPr>
          <w:rFonts w:ascii="Century Gothic" w:hAnsi="Century Gothic"/>
        </w:rPr>
      </w:pPr>
      <w:r w:rsidRPr="003E1962">
        <w:rPr>
          <w:rFonts w:ascii="Century Gothic" w:hAnsi="Century Gothic"/>
        </w:rPr>
        <w:t xml:space="preserve">b. Permanencia del establecimiento de comercio en el área específica a intervenir por un tiempo igual o superior a dos (2) años.  </w:t>
      </w:r>
    </w:p>
    <w:p w14:paraId="74B962D2" w14:textId="1006E8D0" w:rsidR="00E10140" w:rsidRPr="003E1962" w:rsidRDefault="00E10140" w:rsidP="00E10140">
      <w:pPr>
        <w:jc w:val="both"/>
        <w:rPr>
          <w:rFonts w:ascii="Century Gothic" w:hAnsi="Century Gothic"/>
        </w:rPr>
      </w:pPr>
      <w:r w:rsidRPr="003E1962">
        <w:rPr>
          <w:rFonts w:ascii="Century Gothic" w:hAnsi="Century Gothic"/>
        </w:rPr>
        <w:t>Las exenciones de que trata este numeral, aplican de acuerdo a los siguientes parámetros: Establecimientos de comercio con antigüedad entre dos (2) y cinco (5) años, exención del 100</w:t>
      </w:r>
      <w:r w:rsidR="004F5BDD" w:rsidRPr="003E1962">
        <w:rPr>
          <w:rFonts w:ascii="Century Gothic" w:hAnsi="Century Gothic"/>
        </w:rPr>
        <w:t xml:space="preserve"> por ciento</w:t>
      </w:r>
      <w:r w:rsidRPr="003E1962">
        <w:rPr>
          <w:rFonts w:ascii="Century Gothic" w:hAnsi="Century Gothic"/>
        </w:rPr>
        <w:t xml:space="preserve"> del valor liquidado del impuesto de Industria y Comercio y su complementario de Avisos y Tableros por un término de dos (2) años. Establecimientos de comercio con antigüedad entre más de cinco (5) y siete (7) años, exención del 100</w:t>
      </w:r>
      <w:r w:rsidR="004F5BDD" w:rsidRPr="003E1962">
        <w:rPr>
          <w:rFonts w:ascii="Century Gothic" w:hAnsi="Century Gothic"/>
        </w:rPr>
        <w:t xml:space="preserve"> por ciento</w:t>
      </w:r>
      <w:r w:rsidRPr="003E1962">
        <w:rPr>
          <w:rFonts w:ascii="Century Gothic" w:hAnsi="Century Gothic"/>
        </w:rPr>
        <w:t xml:space="preserve"> del valor liquidado del impuesto de Industria y Comercio y su complementario de Avisos y Tableros por un término de tres (3) años. Establecimientos de comercio con antigüedad entre más de siete (7) y diez (10) años, exención del 100</w:t>
      </w:r>
      <w:r w:rsidR="004F5BDD" w:rsidRPr="003E1962">
        <w:rPr>
          <w:rFonts w:ascii="Century Gothic" w:hAnsi="Century Gothic"/>
        </w:rPr>
        <w:t xml:space="preserve"> por ciento</w:t>
      </w:r>
      <w:r w:rsidRPr="003E1962">
        <w:rPr>
          <w:rFonts w:ascii="Century Gothic" w:hAnsi="Century Gothic"/>
        </w:rPr>
        <w:t xml:space="preserve"> del valor liquidado del impuesto de Industria y Comercio y su complementario de Avisos y Tableros por un término </w:t>
      </w:r>
      <w:r w:rsidRPr="003E1962">
        <w:rPr>
          <w:rFonts w:ascii="Century Gothic" w:hAnsi="Century Gothic"/>
        </w:rPr>
        <w:lastRenderedPageBreak/>
        <w:t>de cuatro (4) años.  Establecimientos de comercio con antigüedad superior a diez (10) años, exención del 100</w:t>
      </w:r>
      <w:r w:rsidR="004F5BDD" w:rsidRPr="003E1962">
        <w:rPr>
          <w:rFonts w:ascii="Century Gothic" w:hAnsi="Century Gothic"/>
        </w:rPr>
        <w:t xml:space="preserve"> por ciento</w:t>
      </w:r>
      <w:r w:rsidRPr="003E1962">
        <w:rPr>
          <w:rFonts w:ascii="Century Gothic" w:hAnsi="Century Gothic"/>
        </w:rPr>
        <w:t xml:space="preserve"> del valor liquidado del impuesto de Industria y Comercio y su complementario de Avisos y Tableros por un término de cinco (5) años. El término de la exención se contará a partir de su reconocimiento, la cual deberá solicitarse en la Subsecretaría de Ingresos adjuntando el historial de Cámara de Comercio a fin de determinar el cambio de domicilio del establecimiento de Comercio y en cumplimiento de los requisitos establecidos en el presente numeral. La exención de que trata el presente numeral aplica única y exclusivamente sobre la base gravable de los ingresos obtenidos en desarrollo de la actividad mercantil desarrollada en el área intervenida.</w:t>
      </w:r>
    </w:p>
    <w:p w14:paraId="07110396" w14:textId="7DE3C101" w:rsidR="00E10140" w:rsidRPr="003E1962" w:rsidRDefault="00E10140" w:rsidP="00E10140">
      <w:pPr>
        <w:jc w:val="both"/>
        <w:rPr>
          <w:rFonts w:ascii="Century Gothic" w:hAnsi="Century Gothic"/>
        </w:rPr>
      </w:pPr>
      <w:r w:rsidRPr="003E1962">
        <w:rPr>
          <w:rFonts w:ascii="Century Gothic" w:hAnsi="Century Gothic"/>
        </w:rPr>
        <w:t xml:space="preserve">8. La creación de nuevas micro, pequeñas, medianas y grandes empresas constituidas a partir del año 2017 que cumplan las siguientes condiciones: </w:t>
      </w:r>
    </w:p>
    <w:p w14:paraId="32C342B9" w14:textId="765320C8" w:rsidR="00E10140" w:rsidRPr="003E1962" w:rsidRDefault="00E10140" w:rsidP="00E10140">
      <w:pPr>
        <w:jc w:val="both"/>
        <w:rPr>
          <w:rFonts w:ascii="Century Gothic" w:hAnsi="Century Gothic"/>
        </w:rPr>
      </w:pPr>
      <w:r w:rsidRPr="003E1962">
        <w:rPr>
          <w:rFonts w:ascii="Century Gothic" w:hAnsi="Century Gothic"/>
        </w:rPr>
        <w:t xml:space="preserve">Con un capital invertido entre cien (100) y trecientos (300) salarios mínimos mensuales legales vigentes y que generen entre uno (1) y tres (3) empleos permanentes con personal residente en el </w:t>
      </w:r>
      <w:r w:rsidR="001854C1" w:rsidRPr="003E1962">
        <w:rPr>
          <w:rFonts w:ascii="Century Gothic" w:hAnsi="Century Gothic"/>
        </w:rPr>
        <w:t>m</w:t>
      </w:r>
      <w:r w:rsidRPr="003E1962">
        <w:rPr>
          <w:rFonts w:ascii="Century Gothic" w:hAnsi="Century Gothic"/>
        </w:rPr>
        <w:t>unicipio de Pasto por el término de tres (3) años.</w:t>
      </w:r>
    </w:p>
    <w:p w14:paraId="07E373A6" w14:textId="77777777" w:rsidR="00E10140" w:rsidRPr="003E1962" w:rsidRDefault="00E10140" w:rsidP="00E10140">
      <w:pPr>
        <w:jc w:val="both"/>
        <w:rPr>
          <w:rFonts w:ascii="Century Gothic" w:hAnsi="Century Gothic"/>
        </w:rPr>
      </w:pPr>
      <w:r w:rsidRPr="003E1962">
        <w:rPr>
          <w:rFonts w:ascii="Century Gothic" w:hAnsi="Century Gothic"/>
        </w:rPr>
        <w:t>Con un capital invertido superior a trescientos (300) salarios mínimos mensuales legales vigentes y que generen más de tres (3) empleos permanentes con personal residente en el Municipio de Pasto por el término de cuatro (4) años.</w:t>
      </w:r>
    </w:p>
    <w:p w14:paraId="3BD862E0" w14:textId="77777777" w:rsidR="00E10140" w:rsidRPr="003E1962" w:rsidRDefault="00E10140" w:rsidP="00E10140">
      <w:pPr>
        <w:jc w:val="both"/>
        <w:rPr>
          <w:rFonts w:ascii="Century Gothic" w:hAnsi="Century Gothic"/>
        </w:rPr>
      </w:pPr>
      <w:r w:rsidRPr="003E1962">
        <w:rPr>
          <w:rFonts w:ascii="Century Gothic" w:hAnsi="Century Gothic"/>
        </w:rPr>
        <w:t xml:space="preserve">Las nuevas empresas no deben ser producto de escisiones, fusiones o incorporaciones. </w:t>
      </w:r>
    </w:p>
    <w:p w14:paraId="7755EE5C" w14:textId="77777777" w:rsidR="00E10140" w:rsidRPr="003E1962" w:rsidRDefault="00E10140" w:rsidP="00E10140">
      <w:pPr>
        <w:jc w:val="both"/>
        <w:rPr>
          <w:rFonts w:ascii="Century Gothic" w:hAnsi="Century Gothic"/>
        </w:rPr>
      </w:pPr>
      <w:r w:rsidRPr="003E1962">
        <w:rPr>
          <w:rFonts w:ascii="Century Gothic" w:hAnsi="Century Gothic"/>
        </w:rPr>
        <w:t xml:space="preserve">Parágrafo I.  Para las actividades 1 a 6 tendrán una exención de 10 años contados a partir de la fecha, se descontará a este término el tiempo ya transcurrido de la exención. </w:t>
      </w:r>
    </w:p>
    <w:p w14:paraId="36A62819" w14:textId="3E226BD4" w:rsidR="00E10140" w:rsidRPr="003E1962" w:rsidRDefault="00E10140" w:rsidP="00E10140">
      <w:pPr>
        <w:jc w:val="both"/>
        <w:rPr>
          <w:rFonts w:ascii="Century Gothic" w:hAnsi="Century Gothic"/>
        </w:rPr>
      </w:pPr>
      <w:r w:rsidRPr="003E1962">
        <w:rPr>
          <w:rFonts w:ascii="Century Gothic" w:hAnsi="Century Gothic"/>
        </w:rPr>
        <w:t>Parágrafo II. Las exenciones otorgadas con anterioridad al presente acuerdo mantendrán su vigencia por el termino concedido en el respectivo acto administrativo que le otorgo tal beneficio.</w:t>
      </w:r>
    </w:p>
    <w:p w14:paraId="1F5D177B" w14:textId="77777777" w:rsidR="00E10140" w:rsidRPr="003E1962" w:rsidRDefault="00E10140" w:rsidP="00E10140">
      <w:pPr>
        <w:pStyle w:val="Prrafodelista"/>
        <w:numPr>
          <w:ilvl w:val="0"/>
          <w:numId w:val="46"/>
        </w:numPr>
        <w:spacing w:after="240"/>
        <w:rPr>
          <w:b/>
          <w:lang w:val="es-ES"/>
        </w:rPr>
      </w:pPr>
      <w:r w:rsidRPr="003E1962">
        <w:rPr>
          <w:b/>
          <w:lang w:val="es-ES"/>
        </w:rPr>
        <w:t>Publicidad exterior visual</w:t>
      </w:r>
    </w:p>
    <w:p w14:paraId="515A9FB3" w14:textId="0FF346DD" w:rsidR="00E10140" w:rsidRPr="003E1962" w:rsidRDefault="00E10140" w:rsidP="00E10140">
      <w:pPr>
        <w:jc w:val="both"/>
        <w:rPr>
          <w:rFonts w:ascii="Century Gothic" w:hAnsi="Century Gothic"/>
        </w:rPr>
      </w:pPr>
      <w:r w:rsidRPr="003E1962">
        <w:rPr>
          <w:rFonts w:ascii="Century Gothic" w:hAnsi="Century Gothic"/>
          <w:b/>
        </w:rPr>
        <w:t xml:space="preserve">Artículo 122. Exclusión. </w:t>
      </w:r>
      <w:r w:rsidRPr="003E1962">
        <w:rPr>
          <w:rFonts w:ascii="Century Gothic" w:hAnsi="Century Gothic"/>
        </w:rPr>
        <w:t xml:space="preserve">Se excluye del impuesto de Publicidad Exterior Visual: </w:t>
      </w:r>
    </w:p>
    <w:p w14:paraId="1CAD83F3" w14:textId="2E56B221" w:rsidR="00E10140" w:rsidRPr="003E1962" w:rsidRDefault="00E10140" w:rsidP="00E10140">
      <w:pPr>
        <w:jc w:val="both"/>
        <w:rPr>
          <w:rFonts w:ascii="Century Gothic" w:hAnsi="Century Gothic"/>
        </w:rPr>
      </w:pPr>
      <w:r w:rsidRPr="003E1962">
        <w:rPr>
          <w:rFonts w:ascii="Century Gothic" w:hAnsi="Century Gothic"/>
        </w:rPr>
        <w:t>a) Las vallas o pasacalles de propiedad de la Nación, Departamento de Nariño y del Municipio de Pasto.</w:t>
      </w:r>
    </w:p>
    <w:p w14:paraId="47ABC6A9" w14:textId="1897868C" w:rsidR="00E10140" w:rsidRPr="003E1962" w:rsidRDefault="00E10140" w:rsidP="00E10140">
      <w:pPr>
        <w:jc w:val="both"/>
        <w:rPr>
          <w:rFonts w:ascii="Century Gothic" w:hAnsi="Century Gothic"/>
        </w:rPr>
      </w:pPr>
      <w:r w:rsidRPr="003E1962">
        <w:rPr>
          <w:rFonts w:ascii="Century Gothic" w:hAnsi="Century Gothic"/>
        </w:rPr>
        <w:lastRenderedPageBreak/>
        <w:t xml:space="preserve">b) Las vallas, pasacalles y murales cuya naturaleza sea la convocatoria a la participación ciudadana a debates electorales. </w:t>
      </w:r>
    </w:p>
    <w:p w14:paraId="23F122E1" w14:textId="08117703" w:rsidR="00E10140" w:rsidRPr="003E1962" w:rsidRDefault="00E10140" w:rsidP="001854C1">
      <w:pPr>
        <w:jc w:val="both"/>
        <w:rPr>
          <w:rFonts w:ascii="Century Gothic" w:hAnsi="Century Gothic"/>
        </w:rPr>
      </w:pPr>
      <w:r w:rsidRPr="003E1962">
        <w:rPr>
          <w:rFonts w:ascii="Century Gothic" w:hAnsi="Century Gothic"/>
        </w:rPr>
        <w:t>c) Las expresiones artísticas como pinturas o murales, siempre que no contengan mensajes comerciales o de otra naturaleza.</w:t>
      </w:r>
    </w:p>
    <w:p w14:paraId="74D3D146" w14:textId="6E8DF95B" w:rsidR="00E10140" w:rsidRPr="003E1962" w:rsidRDefault="00E10140" w:rsidP="00E10140">
      <w:pPr>
        <w:ind w:firstLine="567"/>
        <w:jc w:val="both"/>
        <w:rPr>
          <w:rFonts w:ascii="Century Gothic" w:hAnsi="Century Gothic"/>
        </w:rPr>
      </w:pPr>
      <w:r w:rsidRPr="003E1962">
        <w:rPr>
          <w:rFonts w:ascii="Century Gothic" w:hAnsi="Century Gothic"/>
          <w:b/>
        </w:rPr>
        <w:t>- Espectáculos públicos</w:t>
      </w:r>
    </w:p>
    <w:p w14:paraId="7D106BD4" w14:textId="4C17C139" w:rsidR="00E10140" w:rsidRPr="003E1962" w:rsidRDefault="00E10140" w:rsidP="00E10140">
      <w:pPr>
        <w:jc w:val="both"/>
        <w:rPr>
          <w:rFonts w:ascii="Century Gothic" w:hAnsi="Century Gothic"/>
          <w:b/>
        </w:rPr>
      </w:pPr>
      <w:r w:rsidRPr="003E1962">
        <w:rPr>
          <w:rFonts w:ascii="Century Gothic" w:hAnsi="Century Gothic"/>
          <w:b/>
        </w:rPr>
        <w:t xml:space="preserve">Artículo 165. Exenciones. </w:t>
      </w:r>
    </w:p>
    <w:p w14:paraId="7A059887" w14:textId="77777777" w:rsidR="00E10140" w:rsidRPr="003E1962" w:rsidRDefault="00E10140" w:rsidP="00E10140">
      <w:pPr>
        <w:jc w:val="both"/>
        <w:rPr>
          <w:rFonts w:ascii="Century Gothic" w:hAnsi="Century Gothic"/>
        </w:rPr>
      </w:pPr>
      <w:r w:rsidRPr="003E1962">
        <w:rPr>
          <w:rFonts w:ascii="Century Gothic" w:hAnsi="Century Gothic"/>
        </w:rPr>
        <w:t xml:space="preserve">1. Estarán exentos del Impuesto a Espectáculos Públicos los eventos señalados en el Artículo 75 de la Ley 2 de 1976 y Articulo 39 de la Ley 397 de 1997, y demás Leyes que regulen la materia. </w:t>
      </w:r>
    </w:p>
    <w:p w14:paraId="43B95E44" w14:textId="77777777" w:rsidR="00E10140" w:rsidRPr="003E1962" w:rsidRDefault="00E10140" w:rsidP="00E10140">
      <w:pPr>
        <w:jc w:val="both"/>
        <w:rPr>
          <w:rFonts w:ascii="Century Gothic" w:hAnsi="Century Gothic"/>
        </w:rPr>
      </w:pPr>
      <w:r w:rsidRPr="003E1962">
        <w:rPr>
          <w:rFonts w:ascii="Century Gothic" w:hAnsi="Century Gothic"/>
        </w:rPr>
        <w:t xml:space="preserve">2. Estarán exentos del impuesto de que trata el Art. 7 de la Ley 12 de 1932, Decreto 1333 de 1986, los espectáculos públicos que cumplan simultáneamente las siguientes condiciones: </w:t>
      </w:r>
    </w:p>
    <w:p w14:paraId="39622DD8" w14:textId="77777777" w:rsidR="00E10140" w:rsidRPr="003E1962" w:rsidRDefault="00E10140" w:rsidP="00E10140">
      <w:pPr>
        <w:jc w:val="both"/>
        <w:rPr>
          <w:rFonts w:ascii="Century Gothic" w:hAnsi="Century Gothic"/>
        </w:rPr>
      </w:pPr>
      <w:r w:rsidRPr="003E1962">
        <w:rPr>
          <w:rFonts w:ascii="Century Gothic" w:hAnsi="Century Gothic"/>
        </w:rPr>
        <w:t xml:space="preserve">a) Que incentiven la práctica del deporte o la cultura </w:t>
      </w:r>
    </w:p>
    <w:p w14:paraId="06859AD4" w14:textId="7286180E" w:rsidR="00E10140" w:rsidRPr="003E1962" w:rsidRDefault="00E10140" w:rsidP="00E10140">
      <w:pPr>
        <w:jc w:val="both"/>
        <w:rPr>
          <w:rFonts w:ascii="Century Gothic" w:hAnsi="Century Gothic"/>
        </w:rPr>
      </w:pPr>
      <w:r w:rsidRPr="003E1962">
        <w:rPr>
          <w:rFonts w:ascii="Century Gothic" w:hAnsi="Century Gothic"/>
        </w:rPr>
        <w:t>b) Que</w:t>
      </w:r>
      <w:r w:rsidR="001854C1" w:rsidRPr="003E1962">
        <w:rPr>
          <w:rFonts w:ascii="Century Gothic" w:hAnsi="Century Gothic"/>
        </w:rPr>
        <w:t xml:space="preserve"> ellos sean organizados por el m</w:t>
      </w:r>
      <w:r w:rsidRPr="003E1962">
        <w:rPr>
          <w:rFonts w:ascii="Century Gothic" w:hAnsi="Century Gothic"/>
        </w:rPr>
        <w:t>unicipio de Pasto, o entidades sin á</w:t>
      </w:r>
      <w:r w:rsidR="001854C1" w:rsidRPr="003E1962">
        <w:rPr>
          <w:rFonts w:ascii="Century Gothic" w:hAnsi="Century Gothic"/>
        </w:rPr>
        <w:t>nimo de lucro de las cuales el m</w:t>
      </w:r>
      <w:r w:rsidRPr="003E1962">
        <w:rPr>
          <w:rFonts w:ascii="Century Gothic" w:hAnsi="Century Gothic"/>
        </w:rPr>
        <w:t xml:space="preserve">unicipio de Pasto sea parte, y que tengan fines u objetivo el fomento y promoción del deporte y cultura. </w:t>
      </w:r>
    </w:p>
    <w:p w14:paraId="3ADA7F04" w14:textId="3FD0A762" w:rsidR="00E10140" w:rsidRPr="003E1962" w:rsidRDefault="00E10140" w:rsidP="00E10140">
      <w:pPr>
        <w:jc w:val="both"/>
        <w:rPr>
          <w:rFonts w:ascii="Century Gothic" w:hAnsi="Century Gothic"/>
        </w:rPr>
      </w:pPr>
      <w:r w:rsidRPr="003E1962">
        <w:rPr>
          <w:rFonts w:ascii="Century Gothic" w:hAnsi="Century Gothic"/>
        </w:rPr>
        <w:t>Parágrafo I. La aplicación de lo dispuesto en este numeral requerirá para cada caso, la expedición del correspondiente acto administrativo motivado por parte del Instituto Municipal para la Recreación y el Deporte – PASTO DEPORTE, o de la Subsecretaria de Ingresos, pr</w:t>
      </w:r>
      <w:r w:rsidR="001854C1" w:rsidRPr="003E1962">
        <w:rPr>
          <w:rFonts w:ascii="Century Gothic" w:hAnsi="Century Gothic"/>
        </w:rPr>
        <w:t xml:space="preserve">evio concepto de la Secretaría </w:t>
      </w:r>
      <w:r w:rsidRPr="003E1962">
        <w:rPr>
          <w:rFonts w:ascii="Century Gothic" w:hAnsi="Century Gothic"/>
        </w:rPr>
        <w:t xml:space="preserve">de Cultura, conforme a sus competencias. </w:t>
      </w:r>
    </w:p>
    <w:p w14:paraId="3401910F" w14:textId="2C863320" w:rsidR="00E10140" w:rsidRPr="003E1962" w:rsidRDefault="00E10140" w:rsidP="00E10140">
      <w:pPr>
        <w:jc w:val="both"/>
        <w:rPr>
          <w:rFonts w:ascii="Century Gothic" w:hAnsi="Century Gothic"/>
        </w:rPr>
      </w:pPr>
      <w:r w:rsidRPr="003E1962">
        <w:rPr>
          <w:rFonts w:ascii="Century Gothic" w:hAnsi="Century Gothic"/>
        </w:rPr>
        <w:t xml:space="preserve">Parágrafo II. La exención de que se trata el presente artículo será por el término de diez (10) años. </w:t>
      </w:r>
    </w:p>
    <w:p w14:paraId="5644BC93" w14:textId="34F77318" w:rsidR="00E10140" w:rsidRPr="003E1962" w:rsidRDefault="00E10140" w:rsidP="00E10140">
      <w:pPr>
        <w:jc w:val="both"/>
        <w:rPr>
          <w:rFonts w:ascii="Century Gothic" w:hAnsi="Century Gothic"/>
        </w:rPr>
      </w:pPr>
      <w:r w:rsidRPr="003E1962">
        <w:rPr>
          <w:rFonts w:ascii="Century Gothic" w:hAnsi="Century Gothic"/>
          <w:b/>
        </w:rPr>
        <w:t>Artículo 166. Exclusiones.</w:t>
      </w:r>
      <w:r w:rsidRPr="003E1962">
        <w:rPr>
          <w:rFonts w:ascii="Century Gothic" w:hAnsi="Century Gothic"/>
        </w:rPr>
        <w:t xml:space="preserve"> Estarán excluidos del Impuesto, los Espectáculos Públicos que se desarrollen dentro de la jurisdicción del Municipio de Pasto a título gratuito.</w:t>
      </w:r>
    </w:p>
    <w:p w14:paraId="6632CF6E" w14:textId="04F183F8" w:rsidR="00E10140" w:rsidRPr="003E1962" w:rsidRDefault="00E10140" w:rsidP="00E10140">
      <w:pPr>
        <w:jc w:val="both"/>
        <w:rPr>
          <w:rFonts w:ascii="Century Gothic" w:hAnsi="Century Gothic"/>
        </w:rPr>
      </w:pPr>
      <w:r w:rsidRPr="003E1962">
        <w:rPr>
          <w:rFonts w:ascii="Century Gothic" w:hAnsi="Century Gothic"/>
        </w:rPr>
        <w:t>Parágrafo: No serán objeto del impuesto las actividades públicas religiosas o de culto, que a través de la recepción de donaciones financieras o de otra índole de personas naturales o jurídicas, o de la organización de colectas entre sus fieles para el culto y que no se configuren como la adquisición de billetes, tiquetes o similares, contraseña o sello de conformidad a lo reglamentado en la ley 133 de 1994.</w:t>
      </w:r>
    </w:p>
    <w:p w14:paraId="464CA0A1" w14:textId="74B4935E" w:rsidR="00E10140" w:rsidRPr="003E1962" w:rsidRDefault="00E10140" w:rsidP="00E10140">
      <w:pPr>
        <w:pStyle w:val="Prrafodelista"/>
        <w:numPr>
          <w:ilvl w:val="0"/>
          <w:numId w:val="46"/>
        </w:numPr>
        <w:spacing w:after="240"/>
        <w:rPr>
          <w:b/>
          <w:lang w:val="es-ES"/>
        </w:rPr>
      </w:pPr>
      <w:r w:rsidRPr="003E1962">
        <w:rPr>
          <w:b/>
          <w:lang w:val="es-ES"/>
        </w:rPr>
        <w:lastRenderedPageBreak/>
        <w:t>Delineación urbana.</w:t>
      </w:r>
    </w:p>
    <w:p w14:paraId="04BB0906" w14:textId="566C6538" w:rsidR="00E10140" w:rsidRPr="003E1962" w:rsidRDefault="00E10140" w:rsidP="00E10140">
      <w:pPr>
        <w:rPr>
          <w:rFonts w:ascii="Century Gothic" w:hAnsi="Century Gothic"/>
        </w:rPr>
      </w:pPr>
      <w:r w:rsidRPr="003E1962">
        <w:rPr>
          <w:rFonts w:ascii="Century Gothic" w:hAnsi="Century Gothic"/>
          <w:b/>
        </w:rPr>
        <w:t xml:space="preserve">Artículo 174. Parágrafo I. </w:t>
      </w:r>
      <w:r w:rsidRPr="003E1962">
        <w:rPr>
          <w:rFonts w:ascii="Century Gothic" w:hAnsi="Century Gothic"/>
        </w:rPr>
        <w:t>Se exime del cobro a proyectos de vivienda de interés social canalizados a través de INVIPASTO y proyectos de vivienda de interés social legalmente registrados ante INVIPASTO.</w:t>
      </w:r>
    </w:p>
    <w:p w14:paraId="1655D811" w14:textId="1587ED16" w:rsidR="00E10140" w:rsidRPr="00BE60AE" w:rsidRDefault="00E10140" w:rsidP="00E10140">
      <w:pPr>
        <w:pStyle w:val="Prrafodelista"/>
        <w:numPr>
          <w:ilvl w:val="0"/>
          <w:numId w:val="46"/>
        </w:numPr>
        <w:spacing w:after="240"/>
        <w:rPr>
          <w:b/>
          <w:lang w:val="es-ES"/>
        </w:rPr>
      </w:pPr>
      <w:r w:rsidRPr="00BE60AE">
        <w:rPr>
          <w:b/>
          <w:lang w:val="es-ES"/>
        </w:rPr>
        <w:t>Estampilla procultura</w:t>
      </w:r>
    </w:p>
    <w:p w14:paraId="764EB015" w14:textId="45045524" w:rsidR="00E10140" w:rsidRPr="003E1962" w:rsidRDefault="00E10140" w:rsidP="00E10140">
      <w:pPr>
        <w:jc w:val="both"/>
        <w:rPr>
          <w:rFonts w:ascii="Century Gothic" w:hAnsi="Century Gothic"/>
        </w:rPr>
      </w:pPr>
      <w:r w:rsidRPr="003E1962">
        <w:rPr>
          <w:rFonts w:ascii="Century Gothic" w:hAnsi="Century Gothic"/>
          <w:b/>
        </w:rPr>
        <w:t>Artículo 202. Exclusión.</w:t>
      </w:r>
      <w:r w:rsidRPr="003E1962">
        <w:rPr>
          <w:rFonts w:ascii="Century Gothic" w:hAnsi="Century Gothic"/>
        </w:rPr>
        <w:t xml:space="preserve"> No generan la estampilla procultura: </w:t>
      </w:r>
    </w:p>
    <w:p w14:paraId="43C60067" w14:textId="77777777" w:rsidR="00E10140" w:rsidRPr="003E1962" w:rsidRDefault="00E10140" w:rsidP="00E10140">
      <w:pPr>
        <w:jc w:val="both"/>
        <w:rPr>
          <w:rFonts w:ascii="Century Gothic" w:hAnsi="Century Gothic"/>
        </w:rPr>
      </w:pPr>
      <w:r w:rsidRPr="003E1962">
        <w:rPr>
          <w:rFonts w:ascii="Century Gothic" w:hAnsi="Century Gothic"/>
        </w:rPr>
        <w:t xml:space="preserve">1.  Los contratos de compraventa de predios destinados a obras o proyectos de interés público. </w:t>
      </w:r>
    </w:p>
    <w:p w14:paraId="1E0A431E" w14:textId="77777777" w:rsidR="00E10140" w:rsidRPr="003E1962" w:rsidRDefault="00E10140" w:rsidP="00E10140">
      <w:pPr>
        <w:jc w:val="both"/>
        <w:rPr>
          <w:rFonts w:ascii="Century Gothic" w:hAnsi="Century Gothic"/>
        </w:rPr>
      </w:pPr>
      <w:r w:rsidRPr="003E1962">
        <w:rPr>
          <w:rFonts w:ascii="Century Gothic" w:hAnsi="Century Gothic"/>
        </w:rPr>
        <w:t xml:space="preserve">2. Contratos o convenios que suscriba el Municipio de Pasto con el Cuerpo de Bomberos Voluntarios de Pasto. </w:t>
      </w:r>
    </w:p>
    <w:p w14:paraId="0ABD8542" w14:textId="77777777" w:rsidR="00E10140" w:rsidRPr="003E1962" w:rsidRDefault="00E10140" w:rsidP="00E10140">
      <w:pPr>
        <w:jc w:val="both"/>
        <w:rPr>
          <w:rFonts w:ascii="Century Gothic" w:hAnsi="Century Gothic"/>
        </w:rPr>
      </w:pPr>
      <w:r w:rsidRPr="003E1962">
        <w:rPr>
          <w:rFonts w:ascii="Century Gothic" w:hAnsi="Century Gothic"/>
        </w:rPr>
        <w:t xml:space="preserve">3. Los pagos por concepto de prestaciones sociales y demás derechos laborales de los servidores públicos del Municipio de Pasto, los viáticos y gastos de transporte, de pagos por concepto de prestaciones sociales, así como los certificados o constancias que se expidan a los empleados y trabajadores del Municipio. </w:t>
      </w:r>
    </w:p>
    <w:p w14:paraId="23ADE0A9" w14:textId="77777777" w:rsidR="00E10140" w:rsidRPr="003E1962" w:rsidRDefault="00E10140" w:rsidP="00E10140">
      <w:pPr>
        <w:jc w:val="both"/>
        <w:rPr>
          <w:rFonts w:ascii="Century Gothic" w:hAnsi="Century Gothic"/>
        </w:rPr>
      </w:pPr>
      <w:r w:rsidRPr="003E1962">
        <w:rPr>
          <w:rFonts w:ascii="Century Gothic" w:hAnsi="Century Gothic"/>
        </w:rPr>
        <w:t xml:space="preserve">4. Los documentos de origen oficial que deban presentarse ante las autoridades jurisdiccionales y organismos de control y las demás diligencias que expidan a favor de entidades de derecho público, y similares, o cuando se utilicen en el reconocimiento de prestaciones sociales. En este último caso se debe dejar constancia que tales documentos se utilizarán exclusivamente para tales finalidades. </w:t>
      </w:r>
    </w:p>
    <w:p w14:paraId="60908943" w14:textId="77777777" w:rsidR="00E10140" w:rsidRPr="003E1962" w:rsidRDefault="00E10140" w:rsidP="00E10140">
      <w:pPr>
        <w:jc w:val="both"/>
        <w:rPr>
          <w:rFonts w:ascii="Century Gothic" w:hAnsi="Century Gothic"/>
        </w:rPr>
      </w:pPr>
      <w:r w:rsidRPr="003E1962">
        <w:rPr>
          <w:rFonts w:ascii="Century Gothic" w:hAnsi="Century Gothic"/>
        </w:rPr>
        <w:t xml:space="preserve">5. Las nóminas y planillas por pago de sueldos y prestaciones sociales a servidores públicos. </w:t>
      </w:r>
    </w:p>
    <w:p w14:paraId="23EEAF53" w14:textId="77777777" w:rsidR="00E10140" w:rsidRPr="003E1962" w:rsidRDefault="00E10140" w:rsidP="00E10140">
      <w:pPr>
        <w:jc w:val="both"/>
        <w:rPr>
          <w:rFonts w:ascii="Century Gothic" w:hAnsi="Century Gothic"/>
        </w:rPr>
      </w:pPr>
      <w:r w:rsidRPr="003E1962">
        <w:rPr>
          <w:rFonts w:ascii="Century Gothic" w:hAnsi="Century Gothic"/>
        </w:rPr>
        <w:t xml:space="preserve">6. Los pagos por concepto de cuotas partes jubilatorias que presenten entidades de derecho público para efectos de reconocimiento de jubilación de empleados oficiales. </w:t>
      </w:r>
    </w:p>
    <w:p w14:paraId="16C8D0C8" w14:textId="77777777" w:rsidR="00E10140" w:rsidRPr="003E1962" w:rsidRDefault="00E10140" w:rsidP="00E10140">
      <w:pPr>
        <w:jc w:val="both"/>
        <w:rPr>
          <w:rFonts w:ascii="Century Gothic" w:hAnsi="Century Gothic"/>
        </w:rPr>
      </w:pPr>
      <w:r w:rsidRPr="003E1962">
        <w:rPr>
          <w:rFonts w:ascii="Century Gothic" w:hAnsi="Century Gothic"/>
        </w:rPr>
        <w:t xml:space="preserve">7. Los pagos por devolución de impuestos y para devolución de préstamos a favor del Municipio. </w:t>
      </w:r>
    </w:p>
    <w:p w14:paraId="30FE4307" w14:textId="77777777" w:rsidR="00E10140" w:rsidRPr="003E1962" w:rsidRDefault="00E10140" w:rsidP="00E10140">
      <w:pPr>
        <w:jc w:val="both"/>
        <w:rPr>
          <w:rFonts w:ascii="Century Gothic" w:hAnsi="Century Gothic"/>
        </w:rPr>
      </w:pPr>
      <w:r w:rsidRPr="003E1962">
        <w:rPr>
          <w:rFonts w:ascii="Century Gothic" w:hAnsi="Century Gothic"/>
        </w:rPr>
        <w:t xml:space="preserve">8. Los pagos por transferencias de fondos a entidades de derecho público del orden Municipal. </w:t>
      </w:r>
    </w:p>
    <w:p w14:paraId="255E2A21" w14:textId="77777777" w:rsidR="00E10140" w:rsidRPr="003E1962" w:rsidRDefault="00E10140" w:rsidP="00E10140">
      <w:pPr>
        <w:jc w:val="both"/>
        <w:rPr>
          <w:rFonts w:ascii="Century Gothic" w:hAnsi="Century Gothic"/>
        </w:rPr>
      </w:pPr>
      <w:r w:rsidRPr="003E1962">
        <w:rPr>
          <w:rFonts w:ascii="Century Gothic" w:hAnsi="Century Gothic"/>
        </w:rPr>
        <w:t xml:space="preserve">9. Los contratos de empréstito. </w:t>
      </w:r>
    </w:p>
    <w:p w14:paraId="2882EB83" w14:textId="77777777" w:rsidR="00E10140" w:rsidRPr="003E1962" w:rsidRDefault="00E10140" w:rsidP="00E10140">
      <w:pPr>
        <w:jc w:val="both"/>
        <w:rPr>
          <w:rFonts w:ascii="Century Gothic" w:hAnsi="Century Gothic"/>
        </w:rPr>
      </w:pPr>
      <w:r w:rsidRPr="003E1962">
        <w:rPr>
          <w:rFonts w:ascii="Century Gothic" w:hAnsi="Century Gothic"/>
        </w:rPr>
        <w:lastRenderedPageBreak/>
        <w:t xml:space="preserve">10. Los convenios interadministrativos que se celebren con entidades públicas, o con organizaciones comunitarias para actividades de beneficio común. </w:t>
      </w:r>
    </w:p>
    <w:p w14:paraId="4191CAEB" w14:textId="77777777" w:rsidR="00E10140" w:rsidRPr="003E1962" w:rsidRDefault="00E10140" w:rsidP="00E10140">
      <w:pPr>
        <w:jc w:val="both"/>
        <w:rPr>
          <w:rFonts w:ascii="Century Gothic" w:hAnsi="Century Gothic"/>
        </w:rPr>
      </w:pPr>
      <w:r w:rsidRPr="003E1962">
        <w:rPr>
          <w:rFonts w:ascii="Century Gothic" w:hAnsi="Century Gothic"/>
        </w:rPr>
        <w:t xml:space="preserve">11. Los informes, certificaciones y demás actos de carácter administrativo, solicitado por entidades nacionales, departamentales y municipales y las certificaciones del Alcalde que realice por orden legal, en especial las indicadas para efectos de restricción del gasto público. </w:t>
      </w:r>
    </w:p>
    <w:p w14:paraId="11227A68" w14:textId="77777777" w:rsidR="00E10140" w:rsidRPr="003E1962" w:rsidRDefault="00E10140" w:rsidP="00E10140">
      <w:pPr>
        <w:jc w:val="both"/>
        <w:rPr>
          <w:rFonts w:ascii="Century Gothic" w:hAnsi="Century Gothic"/>
        </w:rPr>
      </w:pPr>
      <w:r w:rsidRPr="003E1962">
        <w:rPr>
          <w:rFonts w:ascii="Century Gothic" w:hAnsi="Century Gothic"/>
        </w:rPr>
        <w:t xml:space="preserve">12. Las actas de posesión de funcionarios en comisión, encargados y ad- honorem. </w:t>
      </w:r>
    </w:p>
    <w:p w14:paraId="72BEA3DF" w14:textId="77777777" w:rsidR="00E10140" w:rsidRPr="003E1962" w:rsidRDefault="00E10140" w:rsidP="00E10140">
      <w:pPr>
        <w:jc w:val="both"/>
        <w:rPr>
          <w:rFonts w:ascii="Century Gothic" w:hAnsi="Century Gothic"/>
        </w:rPr>
      </w:pPr>
      <w:r w:rsidRPr="003E1962">
        <w:rPr>
          <w:rFonts w:ascii="Century Gothic" w:hAnsi="Century Gothic"/>
        </w:rPr>
        <w:t xml:space="preserve">13. Los contratos hasta por valor de dos (2) salarios mínimos legales mensuales vigentes. </w:t>
      </w:r>
    </w:p>
    <w:p w14:paraId="16A195C7" w14:textId="77777777" w:rsidR="00E10140" w:rsidRPr="003E1962" w:rsidRDefault="00E10140" w:rsidP="00E10140">
      <w:pPr>
        <w:jc w:val="both"/>
        <w:rPr>
          <w:rFonts w:ascii="Century Gothic" w:hAnsi="Century Gothic"/>
        </w:rPr>
      </w:pPr>
      <w:r w:rsidRPr="003E1962">
        <w:rPr>
          <w:rFonts w:ascii="Century Gothic" w:hAnsi="Century Gothic"/>
        </w:rPr>
        <w:t xml:space="preserve">14. Los pagos que efectúe el Municipio de Pasto por concepto de  derechos notariales y de registro que legalmente le corresponde o que contractualmente se pactaren. </w:t>
      </w:r>
    </w:p>
    <w:p w14:paraId="4FFBBF32" w14:textId="77777777" w:rsidR="00E10140" w:rsidRPr="003E1962" w:rsidRDefault="00E10140" w:rsidP="00E10140">
      <w:pPr>
        <w:jc w:val="both"/>
        <w:rPr>
          <w:rFonts w:ascii="Century Gothic" w:hAnsi="Century Gothic"/>
        </w:rPr>
      </w:pPr>
      <w:r w:rsidRPr="003E1962">
        <w:rPr>
          <w:rFonts w:ascii="Century Gothic" w:hAnsi="Century Gothic"/>
        </w:rPr>
        <w:t xml:space="preserve">15. Los contratos de administración de recursos del régimen subsidiado. </w:t>
      </w:r>
    </w:p>
    <w:p w14:paraId="07E2BB15" w14:textId="77777777" w:rsidR="00E10140" w:rsidRPr="003E1962" w:rsidRDefault="00E10140" w:rsidP="00E10140">
      <w:pPr>
        <w:jc w:val="both"/>
        <w:rPr>
          <w:rFonts w:ascii="Century Gothic" w:hAnsi="Century Gothic"/>
        </w:rPr>
      </w:pPr>
      <w:r w:rsidRPr="003E1962">
        <w:rPr>
          <w:rFonts w:ascii="Century Gothic" w:hAnsi="Century Gothic"/>
        </w:rPr>
        <w:t>16. Los documentos contemplados en la Ley 962 de 2005 y demás normas concordantes.</w:t>
      </w:r>
    </w:p>
    <w:p w14:paraId="202FC6E8" w14:textId="3F491EDD" w:rsidR="00E10140" w:rsidRPr="003E1962" w:rsidRDefault="00E10140" w:rsidP="00E10140">
      <w:pPr>
        <w:ind w:firstLine="567"/>
        <w:jc w:val="both"/>
        <w:rPr>
          <w:rFonts w:ascii="Century Gothic" w:hAnsi="Century Gothic"/>
        </w:rPr>
      </w:pPr>
      <w:r w:rsidRPr="003E1962">
        <w:rPr>
          <w:rFonts w:ascii="Century Gothic" w:hAnsi="Century Gothic"/>
        </w:rPr>
        <w:t xml:space="preserve">- </w:t>
      </w:r>
      <w:r w:rsidRPr="003E1962">
        <w:rPr>
          <w:rFonts w:ascii="Century Gothic" w:hAnsi="Century Gothic"/>
          <w:b/>
        </w:rPr>
        <w:t>Estampilla pro</w:t>
      </w:r>
      <w:r w:rsidR="00BE60AE">
        <w:rPr>
          <w:rFonts w:ascii="Century Gothic" w:hAnsi="Century Gothic"/>
          <w:b/>
        </w:rPr>
        <w:t xml:space="preserve"> </w:t>
      </w:r>
      <w:r w:rsidR="00BE60AE" w:rsidRPr="003E1962">
        <w:rPr>
          <w:rFonts w:ascii="Century Gothic" w:hAnsi="Century Gothic"/>
          <w:b/>
        </w:rPr>
        <w:t>electrificación</w:t>
      </w:r>
      <w:r w:rsidRPr="003E1962">
        <w:rPr>
          <w:rFonts w:ascii="Century Gothic" w:hAnsi="Century Gothic"/>
          <w:b/>
        </w:rPr>
        <w:t xml:space="preserve"> rural</w:t>
      </w:r>
    </w:p>
    <w:p w14:paraId="63EE878C" w14:textId="20A965D4" w:rsidR="00E10140" w:rsidRPr="003E1962" w:rsidRDefault="00E10140" w:rsidP="00E10140">
      <w:pPr>
        <w:jc w:val="both"/>
        <w:rPr>
          <w:rFonts w:ascii="Century Gothic" w:hAnsi="Century Gothic"/>
        </w:rPr>
      </w:pPr>
      <w:r w:rsidRPr="003E1962">
        <w:rPr>
          <w:rFonts w:ascii="Century Gothic" w:hAnsi="Century Gothic"/>
          <w:b/>
        </w:rPr>
        <w:t>Artículo 236. Exclusión.</w:t>
      </w:r>
      <w:r w:rsidRPr="003E1962">
        <w:rPr>
          <w:rFonts w:ascii="Century Gothic" w:hAnsi="Century Gothic"/>
        </w:rPr>
        <w:t xml:space="preserve"> No generan la estampilla de </w:t>
      </w:r>
      <w:r w:rsidR="00BE60AE" w:rsidRPr="003E1962">
        <w:rPr>
          <w:rFonts w:ascii="Century Gothic" w:hAnsi="Century Gothic"/>
        </w:rPr>
        <w:t>pro electrificación rural</w:t>
      </w:r>
      <w:r w:rsidRPr="003E1962">
        <w:rPr>
          <w:rFonts w:ascii="Century Gothic" w:hAnsi="Century Gothic"/>
        </w:rPr>
        <w:t xml:space="preserve">: </w:t>
      </w:r>
    </w:p>
    <w:p w14:paraId="50D2FAD2" w14:textId="0839A3EC" w:rsidR="00E10140" w:rsidRPr="003E1962" w:rsidRDefault="00E10140" w:rsidP="00E10140">
      <w:pPr>
        <w:jc w:val="both"/>
        <w:rPr>
          <w:rFonts w:ascii="Century Gothic" w:hAnsi="Century Gothic"/>
        </w:rPr>
      </w:pPr>
      <w:r w:rsidRPr="003E1962">
        <w:rPr>
          <w:rFonts w:ascii="Century Gothic" w:hAnsi="Century Gothic"/>
        </w:rPr>
        <w:t xml:space="preserve">a) Los contratos de compraventa de predios destinados a obras o proyectos de interés público. </w:t>
      </w:r>
    </w:p>
    <w:p w14:paraId="48ED38E2" w14:textId="26523D46" w:rsidR="00E10140" w:rsidRPr="003E1962" w:rsidRDefault="00E10140" w:rsidP="00E10140">
      <w:pPr>
        <w:jc w:val="both"/>
        <w:rPr>
          <w:rFonts w:ascii="Century Gothic" w:hAnsi="Century Gothic"/>
        </w:rPr>
      </w:pPr>
      <w:r w:rsidRPr="003E1962">
        <w:rPr>
          <w:rFonts w:ascii="Century Gothic" w:hAnsi="Century Gothic"/>
        </w:rPr>
        <w:t xml:space="preserve">b) Contratos o convenios que suscriba el Municipio de Pasto con el Cuerpo de Bomberos Voluntarios de Pasto. </w:t>
      </w:r>
    </w:p>
    <w:p w14:paraId="4FAC13D6" w14:textId="3C05642C" w:rsidR="00E10140" w:rsidRPr="003E1962" w:rsidRDefault="00E10140" w:rsidP="00E10140">
      <w:pPr>
        <w:jc w:val="both"/>
        <w:rPr>
          <w:rFonts w:ascii="Century Gothic" w:hAnsi="Century Gothic"/>
        </w:rPr>
      </w:pPr>
      <w:r w:rsidRPr="003E1962">
        <w:rPr>
          <w:rFonts w:ascii="Century Gothic" w:hAnsi="Century Gothic"/>
        </w:rPr>
        <w:t>c) El ingreso obtenido por la enajenación voluntaria de inmuebles para proyectos de utilidad pública o interés social.</w:t>
      </w:r>
    </w:p>
    <w:p w14:paraId="1781DB80" w14:textId="77777777" w:rsidR="00E10140" w:rsidRPr="003E1962" w:rsidRDefault="00E10140" w:rsidP="00E10140">
      <w:pPr>
        <w:jc w:val="both"/>
        <w:rPr>
          <w:rFonts w:ascii="Century Gothic" w:hAnsi="Century Gothic"/>
        </w:rPr>
      </w:pPr>
      <w:r w:rsidRPr="003E1962">
        <w:rPr>
          <w:rFonts w:ascii="Century Gothic" w:hAnsi="Century Gothic"/>
        </w:rPr>
        <w:t>d) Los contratos de prestación de servicios personales que celebren las personas naturales</w:t>
      </w:r>
    </w:p>
    <w:p w14:paraId="6BCE8069" w14:textId="77777777" w:rsidR="00E10140" w:rsidRPr="003E1962" w:rsidRDefault="00E10140" w:rsidP="00E10140">
      <w:pPr>
        <w:jc w:val="both"/>
        <w:rPr>
          <w:rFonts w:ascii="Century Gothic" w:hAnsi="Century Gothic"/>
        </w:rPr>
      </w:pPr>
      <w:r w:rsidRPr="003E1962">
        <w:rPr>
          <w:rFonts w:ascii="Century Gothic" w:hAnsi="Century Gothic"/>
        </w:rPr>
        <w:t>e) Los contratos de condiciones especiales uniformes suscritos con las empresas prestadoras de servicios públicos domiciliarios</w:t>
      </w:r>
    </w:p>
    <w:p w14:paraId="6C211DD9" w14:textId="77777777" w:rsidR="00E10140" w:rsidRPr="003E1962" w:rsidRDefault="00E10140" w:rsidP="00E10140">
      <w:pPr>
        <w:jc w:val="both"/>
        <w:rPr>
          <w:rFonts w:ascii="Century Gothic" w:hAnsi="Century Gothic"/>
        </w:rPr>
      </w:pPr>
      <w:r w:rsidRPr="003E1962">
        <w:rPr>
          <w:rFonts w:ascii="Century Gothic" w:hAnsi="Century Gothic"/>
        </w:rPr>
        <w:t>f) Los contratos de empréstito.</w:t>
      </w:r>
    </w:p>
    <w:p w14:paraId="4D8308A4" w14:textId="77777777" w:rsidR="00E10140" w:rsidRPr="003E1962" w:rsidRDefault="00E10140" w:rsidP="00E10140">
      <w:pPr>
        <w:jc w:val="both"/>
        <w:rPr>
          <w:rFonts w:ascii="Century Gothic" w:hAnsi="Century Gothic"/>
        </w:rPr>
      </w:pPr>
      <w:r w:rsidRPr="003E1962">
        <w:rPr>
          <w:rFonts w:ascii="Century Gothic" w:hAnsi="Century Gothic"/>
        </w:rPr>
        <w:lastRenderedPageBreak/>
        <w:t xml:space="preserve">g) Los convenios interadministrativos que se celebren con entidades públicas o con organizaciones comunitarias, para actividades de beneficio común. </w:t>
      </w:r>
    </w:p>
    <w:p w14:paraId="36EF4A54" w14:textId="77777777" w:rsidR="00E10140" w:rsidRPr="003E1962" w:rsidRDefault="00E10140" w:rsidP="00E10140">
      <w:pPr>
        <w:jc w:val="both"/>
        <w:rPr>
          <w:rFonts w:ascii="Century Gothic" w:hAnsi="Century Gothic"/>
        </w:rPr>
      </w:pPr>
      <w:r w:rsidRPr="003E1962">
        <w:rPr>
          <w:rFonts w:ascii="Century Gothic" w:hAnsi="Century Gothic"/>
        </w:rPr>
        <w:t>h) Los contratos hasta por valor de dos (2) salarios mínimos legales mensuales vigentes.</w:t>
      </w:r>
    </w:p>
    <w:p w14:paraId="15034EB0" w14:textId="77777777" w:rsidR="00E10140" w:rsidRPr="003E1962" w:rsidRDefault="00E10140" w:rsidP="00E10140">
      <w:pPr>
        <w:jc w:val="both"/>
        <w:rPr>
          <w:rFonts w:ascii="Century Gothic" w:hAnsi="Century Gothic"/>
        </w:rPr>
      </w:pPr>
      <w:r w:rsidRPr="003E1962">
        <w:rPr>
          <w:rFonts w:ascii="Century Gothic" w:hAnsi="Century Gothic"/>
        </w:rPr>
        <w:t>i) Los contratos de administración de recursos del régimen subsidiado.</w:t>
      </w:r>
    </w:p>
    <w:p w14:paraId="3AEE6511" w14:textId="20BCC03B" w:rsidR="00E10140" w:rsidRPr="003E1962" w:rsidRDefault="00E10140" w:rsidP="00E10140">
      <w:pPr>
        <w:jc w:val="both"/>
        <w:rPr>
          <w:rFonts w:ascii="Century Gothic" w:hAnsi="Century Gothic"/>
        </w:rPr>
      </w:pPr>
      <w:r w:rsidRPr="003E1962">
        <w:rPr>
          <w:rFonts w:ascii="Century Gothic" w:hAnsi="Century Gothic"/>
          <w:b/>
        </w:rPr>
        <w:t>Artículo 259. Exclusión</w:t>
      </w:r>
      <w:r w:rsidRPr="003E1962">
        <w:rPr>
          <w:rFonts w:ascii="Century Gothic" w:hAnsi="Century Gothic"/>
        </w:rPr>
        <w:t xml:space="preserve">. Se excluyen del impuesto de alumbrado público a los particulares propietarios de tumbas, bóvedas, lotes y osarios de </w:t>
      </w:r>
      <w:r w:rsidR="00BE60AE" w:rsidRPr="003E1962">
        <w:rPr>
          <w:rFonts w:ascii="Century Gothic" w:hAnsi="Century Gothic"/>
        </w:rPr>
        <w:t>jardines y parques cementerios de la ciudad, pa</w:t>
      </w:r>
      <w:r w:rsidRPr="003E1962">
        <w:rPr>
          <w:rFonts w:ascii="Century Gothic" w:hAnsi="Century Gothic"/>
        </w:rPr>
        <w:t>neles de mensajería variable de la Secretaria de Tránsito y Transporte Municipal, así como los semáforos.</w:t>
      </w:r>
    </w:p>
    <w:p w14:paraId="784B289F" w14:textId="06228AC2" w:rsidR="00E91781" w:rsidRPr="00011B8B" w:rsidRDefault="00E91781" w:rsidP="0013149A">
      <w:pPr>
        <w:pStyle w:val="Ttulo2"/>
      </w:pPr>
      <w:bookmarkStart w:id="45" w:name="_Toc532565928"/>
      <w:r w:rsidRPr="00011B8B">
        <w:t>Descuentos y exenciones del impuesto predial unificado.</w:t>
      </w:r>
      <w:bookmarkEnd w:id="45"/>
    </w:p>
    <w:p w14:paraId="62D4D6B5" w14:textId="00829BBD" w:rsidR="004D3A7D" w:rsidRPr="00D87FF3" w:rsidRDefault="004D3A7D" w:rsidP="004D3A7D">
      <w:pPr>
        <w:pStyle w:val="Textoindependiente"/>
        <w:spacing w:after="240" w:line="276" w:lineRule="auto"/>
        <w:jc w:val="both"/>
        <w:rPr>
          <w:sz w:val="22"/>
          <w:szCs w:val="22"/>
          <w:lang w:val="es-ES"/>
        </w:rPr>
      </w:pPr>
      <w:r>
        <w:rPr>
          <w:color w:val="000000"/>
          <w:sz w:val="22"/>
          <w:szCs w:val="22"/>
          <w:lang w:val="es-CO"/>
        </w:rPr>
        <w:t>Durante la vigencia 2</w:t>
      </w:r>
      <w:r w:rsidRPr="00D87FF3">
        <w:rPr>
          <w:color w:val="000000"/>
          <w:sz w:val="22"/>
          <w:szCs w:val="22"/>
          <w:lang w:val="es-CO"/>
        </w:rPr>
        <w:t>01</w:t>
      </w:r>
      <w:r>
        <w:rPr>
          <w:color w:val="000000"/>
          <w:sz w:val="22"/>
          <w:szCs w:val="22"/>
          <w:lang w:val="es-CO"/>
        </w:rPr>
        <w:t xml:space="preserve">7, la </w:t>
      </w:r>
      <w:r w:rsidRPr="00D87FF3">
        <w:rPr>
          <w:color w:val="000000"/>
          <w:sz w:val="22"/>
          <w:szCs w:val="22"/>
          <w:lang w:val="es-CO"/>
        </w:rPr>
        <w:t>Secretaría de Hacienda Municipal, otorgó exoneraciones en el impuesto predial unificado por la suma de $</w:t>
      </w:r>
      <w:r>
        <w:rPr>
          <w:color w:val="000000"/>
          <w:sz w:val="22"/>
          <w:szCs w:val="22"/>
          <w:lang w:val="es-CO"/>
        </w:rPr>
        <w:t>2</w:t>
      </w:r>
      <w:r w:rsidRPr="00D87FF3">
        <w:rPr>
          <w:color w:val="000000"/>
          <w:sz w:val="22"/>
          <w:szCs w:val="22"/>
          <w:lang w:val="es-CO"/>
        </w:rPr>
        <w:t>.</w:t>
      </w:r>
      <w:r>
        <w:rPr>
          <w:color w:val="000000"/>
          <w:sz w:val="22"/>
          <w:szCs w:val="22"/>
          <w:lang w:val="es-CO"/>
        </w:rPr>
        <w:t>270</w:t>
      </w:r>
      <w:r w:rsidRPr="00D87FF3">
        <w:rPr>
          <w:color w:val="000000"/>
          <w:sz w:val="22"/>
          <w:szCs w:val="22"/>
          <w:lang w:val="es-CO"/>
        </w:rPr>
        <w:t xml:space="preserve"> millones</w:t>
      </w:r>
      <w:r>
        <w:rPr>
          <w:color w:val="000000"/>
          <w:sz w:val="22"/>
          <w:szCs w:val="22"/>
          <w:lang w:val="es-CO"/>
        </w:rPr>
        <w:t>,</w:t>
      </w:r>
      <w:r w:rsidRPr="00D87FF3">
        <w:rPr>
          <w:color w:val="000000"/>
          <w:sz w:val="22"/>
          <w:szCs w:val="22"/>
          <w:lang w:val="es-CO"/>
        </w:rPr>
        <w:t xml:space="preserve"> </w:t>
      </w:r>
      <w:r>
        <w:rPr>
          <w:color w:val="000000"/>
          <w:sz w:val="22"/>
          <w:szCs w:val="22"/>
          <w:lang w:val="es-CO"/>
        </w:rPr>
        <w:t xml:space="preserve">beneficiando </w:t>
      </w:r>
      <w:r w:rsidRPr="00D87FF3">
        <w:rPr>
          <w:color w:val="000000"/>
          <w:sz w:val="22"/>
          <w:szCs w:val="22"/>
          <w:lang w:val="es-CO"/>
        </w:rPr>
        <w:t>de esta ma</w:t>
      </w:r>
      <w:r>
        <w:rPr>
          <w:color w:val="000000"/>
          <w:sz w:val="22"/>
          <w:szCs w:val="22"/>
          <w:lang w:val="es-CO"/>
        </w:rPr>
        <w:t xml:space="preserve">nera, a organizaciones sociales y comunitarias, a propietarios de predios de la Zona de Amenaza Volcánica Alta – ZAVA y de predios ubicados en zonas de conservación, entre otros, </w:t>
      </w:r>
      <w:r w:rsidRPr="00D87FF3">
        <w:rPr>
          <w:color w:val="000000"/>
          <w:sz w:val="22"/>
          <w:szCs w:val="22"/>
          <w:lang w:val="es-CO"/>
        </w:rPr>
        <w:t>disminu</w:t>
      </w:r>
      <w:r>
        <w:rPr>
          <w:color w:val="000000"/>
          <w:sz w:val="22"/>
          <w:szCs w:val="22"/>
          <w:lang w:val="es-CO"/>
        </w:rPr>
        <w:t xml:space="preserve">yendo </w:t>
      </w:r>
      <w:r w:rsidRPr="00D87FF3">
        <w:rPr>
          <w:color w:val="000000"/>
          <w:sz w:val="22"/>
          <w:szCs w:val="22"/>
          <w:lang w:val="es-CO"/>
        </w:rPr>
        <w:t>la carga tributaria de estos contribuyentes.</w:t>
      </w:r>
      <w:r>
        <w:rPr>
          <w:color w:val="000000"/>
          <w:sz w:val="22"/>
          <w:szCs w:val="22"/>
          <w:lang w:val="es-CO"/>
        </w:rPr>
        <w:t xml:space="preserve"> </w:t>
      </w:r>
    </w:p>
    <w:p w14:paraId="7B7755CC" w14:textId="10AE7E5F" w:rsidR="002F6022" w:rsidRDefault="004D3A7D" w:rsidP="00ED54EE">
      <w:pPr>
        <w:spacing w:after="0"/>
        <w:jc w:val="center"/>
        <w:rPr>
          <w:rFonts w:ascii="Century Gothic" w:hAnsi="Century Gothic"/>
          <w:highlight w:val="green"/>
        </w:rPr>
      </w:pPr>
      <w:bookmarkStart w:id="46" w:name="_Toc532570516"/>
      <w:r w:rsidRPr="009201E5">
        <w:rPr>
          <w:rFonts w:ascii="Century Gothic" w:hAnsi="Century Gothic"/>
        </w:rPr>
        <w:t xml:space="preserve">Tabla </w:t>
      </w:r>
      <w:r w:rsidRPr="009201E5">
        <w:rPr>
          <w:rFonts w:ascii="Century Gothic" w:hAnsi="Century Gothic"/>
          <w:b/>
        </w:rPr>
        <w:fldChar w:fldCharType="begin"/>
      </w:r>
      <w:r w:rsidRPr="009201E5">
        <w:rPr>
          <w:rFonts w:ascii="Century Gothic" w:hAnsi="Century Gothic"/>
        </w:rPr>
        <w:instrText xml:space="preserve"> SEQ Tabla \* ARABIC </w:instrText>
      </w:r>
      <w:r w:rsidRPr="009201E5">
        <w:rPr>
          <w:rFonts w:ascii="Century Gothic" w:hAnsi="Century Gothic"/>
          <w:b/>
        </w:rPr>
        <w:fldChar w:fldCharType="separate"/>
      </w:r>
      <w:r>
        <w:rPr>
          <w:rFonts w:ascii="Century Gothic" w:hAnsi="Century Gothic"/>
          <w:noProof/>
        </w:rPr>
        <w:t>25</w:t>
      </w:r>
      <w:r w:rsidRPr="009201E5">
        <w:rPr>
          <w:rFonts w:ascii="Century Gothic" w:hAnsi="Century Gothic"/>
          <w:b/>
        </w:rPr>
        <w:fldChar w:fldCharType="end"/>
      </w:r>
      <w:r w:rsidRPr="009201E5">
        <w:rPr>
          <w:rFonts w:ascii="Century Gothic" w:hAnsi="Century Gothic"/>
        </w:rPr>
        <w:t xml:space="preserve">. </w:t>
      </w:r>
      <w:r>
        <w:rPr>
          <w:rFonts w:ascii="Century Gothic" w:hAnsi="Century Gothic"/>
        </w:rPr>
        <w:t>E</w:t>
      </w:r>
      <w:r w:rsidRPr="004D3A7D">
        <w:rPr>
          <w:rFonts w:ascii="Century Gothic" w:hAnsi="Century Gothic"/>
        </w:rPr>
        <w:t>xoneraciones otorgadas en la vigencia 2017</w:t>
      </w:r>
      <w:r w:rsidR="008E0E6B">
        <w:rPr>
          <w:rFonts w:ascii="Century Gothic" w:hAnsi="Century Gothic"/>
        </w:rPr>
        <w:t xml:space="preserve"> (millones de pesos)</w:t>
      </w:r>
      <w:bookmarkEnd w:id="46"/>
    </w:p>
    <w:tbl>
      <w:tblPr>
        <w:tblW w:w="5147"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5"/>
        <w:gridCol w:w="872"/>
      </w:tblGrid>
      <w:tr w:rsidR="004D3A7D" w:rsidRPr="004D3A7D" w14:paraId="3FF5DF9D" w14:textId="77777777" w:rsidTr="008E0E6B">
        <w:trPr>
          <w:trHeight w:val="20"/>
          <w:tblHeader/>
          <w:jc w:val="center"/>
        </w:trPr>
        <w:tc>
          <w:tcPr>
            <w:tcW w:w="4275" w:type="dxa"/>
            <w:shd w:val="clear" w:color="auto" w:fill="C2D69B" w:themeFill="accent3" w:themeFillTint="99"/>
            <w:noWrap/>
            <w:vAlign w:val="bottom"/>
          </w:tcPr>
          <w:p w14:paraId="18459DAB" w14:textId="021B7E2B" w:rsidR="004D3A7D" w:rsidRPr="004D3A7D" w:rsidRDefault="00ED54EE" w:rsidP="00ED54EE">
            <w:pPr>
              <w:spacing w:after="0" w:line="240" w:lineRule="auto"/>
              <w:jc w:val="center"/>
              <w:rPr>
                <w:rFonts w:ascii="Century Gothic" w:eastAsia="Times New Roman" w:hAnsi="Century Gothic" w:cs="Arial"/>
                <w:b/>
                <w:bCs/>
                <w:sz w:val="20"/>
                <w:szCs w:val="20"/>
                <w:lang w:val="es-ES" w:eastAsia="es-ES"/>
              </w:rPr>
            </w:pPr>
            <w:r>
              <w:rPr>
                <w:rFonts w:ascii="Century Gothic" w:eastAsia="Times New Roman" w:hAnsi="Century Gothic" w:cs="Arial"/>
                <w:b/>
                <w:bCs/>
                <w:sz w:val="20"/>
                <w:szCs w:val="20"/>
                <w:lang w:val="es-ES" w:eastAsia="es-ES"/>
              </w:rPr>
              <w:t xml:space="preserve">Tipología de las exoneraciones </w:t>
            </w:r>
          </w:p>
        </w:tc>
        <w:tc>
          <w:tcPr>
            <w:tcW w:w="872" w:type="dxa"/>
            <w:shd w:val="clear" w:color="auto" w:fill="C2D69B" w:themeFill="accent3" w:themeFillTint="99"/>
            <w:noWrap/>
            <w:vAlign w:val="bottom"/>
          </w:tcPr>
          <w:p w14:paraId="41BE6357" w14:textId="56907029" w:rsidR="004D3A7D" w:rsidRPr="004D3A7D" w:rsidRDefault="004D3A7D" w:rsidP="004D3A7D">
            <w:pPr>
              <w:spacing w:after="0" w:line="240" w:lineRule="auto"/>
              <w:jc w:val="center"/>
              <w:rPr>
                <w:rFonts w:ascii="Century Gothic" w:eastAsia="Times New Roman" w:hAnsi="Century Gothic" w:cs="Arial"/>
                <w:b/>
                <w:sz w:val="20"/>
                <w:szCs w:val="20"/>
                <w:lang w:val="es-ES" w:eastAsia="es-ES"/>
              </w:rPr>
            </w:pPr>
            <w:r w:rsidRPr="004D3A7D">
              <w:rPr>
                <w:rFonts w:ascii="Century Gothic" w:eastAsia="Times New Roman" w:hAnsi="Century Gothic" w:cs="Arial"/>
                <w:b/>
                <w:sz w:val="20"/>
                <w:szCs w:val="20"/>
                <w:lang w:val="es-ES" w:eastAsia="es-ES"/>
              </w:rPr>
              <w:t>Valor</w:t>
            </w:r>
          </w:p>
        </w:tc>
      </w:tr>
      <w:tr w:rsidR="004D3A7D" w:rsidRPr="004D3A7D" w14:paraId="2FFB1CD3" w14:textId="77777777" w:rsidTr="008E0E6B">
        <w:trPr>
          <w:trHeight w:val="20"/>
          <w:jc w:val="center"/>
        </w:trPr>
        <w:tc>
          <w:tcPr>
            <w:tcW w:w="4275" w:type="dxa"/>
            <w:shd w:val="clear" w:color="auto" w:fill="C2D69B" w:themeFill="accent3" w:themeFillTint="99"/>
            <w:noWrap/>
            <w:vAlign w:val="bottom"/>
            <w:hideMark/>
          </w:tcPr>
          <w:p w14:paraId="44D5009E" w14:textId="21D1EA29"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Reservas naturales</w:t>
            </w:r>
          </w:p>
        </w:tc>
        <w:tc>
          <w:tcPr>
            <w:tcW w:w="872" w:type="dxa"/>
            <w:shd w:val="clear" w:color="auto" w:fill="auto"/>
            <w:noWrap/>
            <w:vAlign w:val="bottom"/>
            <w:hideMark/>
          </w:tcPr>
          <w:p w14:paraId="3A858990" w14:textId="63991191" w:rsidR="004D3A7D" w:rsidRPr="004D3A7D" w:rsidRDefault="004D3A7D" w:rsidP="008E0E6B">
            <w:pPr>
              <w:spacing w:after="0" w:line="240" w:lineRule="auto"/>
              <w:jc w:val="right"/>
              <w:rPr>
                <w:rFonts w:ascii="Century Gothic" w:eastAsia="Times New Roman" w:hAnsi="Century Gothic" w:cs="Arial"/>
                <w:sz w:val="20"/>
                <w:szCs w:val="20"/>
                <w:lang w:val="es-ES" w:eastAsia="es-ES"/>
              </w:rPr>
            </w:pPr>
            <w:r w:rsidRPr="004D3A7D">
              <w:rPr>
                <w:rFonts w:ascii="Century Gothic" w:eastAsia="Times New Roman" w:hAnsi="Century Gothic" w:cs="Arial"/>
                <w:sz w:val="20"/>
                <w:szCs w:val="20"/>
                <w:lang w:val="es-ES" w:eastAsia="es-ES"/>
              </w:rPr>
              <w:t>84</w:t>
            </w:r>
          </w:p>
        </w:tc>
      </w:tr>
      <w:tr w:rsidR="004D3A7D" w:rsidRPr="004D3A7D" w14:paraId="2C5B56F0" w14:textId="77777777" w:rsidTr="008E0E6B">
        <w:trPr>
          <w:trHeight w:val="20"/>
          <w:jc w:val="center"/>
        </w:trPr>
        <w:tc>
          <w:tcPr>
            <w:tcW w:w="4275" w:type="dxa"/>
            <w:shd w:val="clear" w:color="auto" w:fill="C2D69B" w:themeFill="accent3" w:themeFillTint="99"/>
            <w:noWrap/>
            <w:vAlign w:val="bottom"/>
            <w:hideMark/>
          </w:tcPr>
          <w:p w14:paraId="4F8D9761" w14:textId="5B2039F9"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Iglesias</w:t>
            </w:r>
          </w:p>
        </w:tc>
        <w:tc>
          <w:tcPr>
            <w:tcW w:w="872" w:type="dxa"/>
            <w:shd w:val="clear" w:color="auto" w:fill="auto"/>
            <w:noWrap/>
            <w:vAlign w:val="bottom"/>
            <w:hideMark/>
          </w:tcPr>
          <w:p w14:paraId="05F53E15" w14:textId="5C62732C" w:rsidR="004D3A7D" w:rsidRPr="004D3A7D" w:rsidRDefault="008E0E6B" w:rsidP="008E0E6B">
            <w:pPr>
              <w:spacing w:after="0" w:line="240" w:lineRule="auto"/>
              <w:jc w:val="right"/>
              <w:rPr>
                <w:rFonts w:ascii="Century Gothic" w:eastAsia="Times New Roman" w:hAnsi="Century Gothic" w:cs="Arial"/>
                <w:sz w:val="20"/>
                <w:szCs w:val="20"/>
                <w:lang w:val="es-ES" w:eastAsia="es-ES"/>
              </w:rPr>
            </w:pPr>
            <w:r>
              <w:rPr>
                <w:rFonts w:ascii="Century Gothic" w:eastAsia="Times New Roman" w:hAnsi="Century Gothic" w:cs="Arial"/>
                <w:sz w:val="20"/>
                <w:szCs w:val="20"/>
                <w:lang w:val="es-ES" w:eastAsia="es-ES"/>
              </w:rPr>
              <w:t>683</w:t>
            </w:r>
          </w:p>
        </w:tc>
      </w:tr>
      <w:tr w:rsidR="004D3A7D" w:rsidRPr="004D3A7D" w14:paraId="56060906" w14:textId="77777777" w:rsidTr="008E0E6B">
        <w:trPr>
          <w:trHeight w:val="20"/>
          <w:jc w:val="center"/>
        </w:trPr>
        <w:tc>
          <w:tcPr>
            <w:tcW w:w="4275" w:type="dxa"/>
            <w:shd w:val="clear" w:color="auto" w:fill="C2D69B" w:themeFill="accent3" w:themeFillTint="99"/>
            <w:noWrap/>
            <w:vAlign w:val="bottom"/>
            <w:hideMark/>
          </w:tcPr>
          <w:p w14:paraId="47230E94" w14:textId="401BB8DE"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 xml:space="preserve">Nivel de </w:t>
            </w:r>
            <w:r w:rsidR="00ED54EE" w:rsidRPr="004D3A7D">
              <w:rPr>
                <w:rFonts w:ascii="Century Gothic" w:eastAsia="Times New Roman" w:hAnsi="Century Gothic" w:cs="Arial"/>
                <w:b/>
                <w:bCs/>
                <w:sz w:val="20"/>
                <w:szCs w:val="20"/>
                <w:lang w:val="es-ES" w:eastAsia="es-ES"/>
              </w:rPr>
              <w:t>conservación</w:t>
            </w:r>
          </w:p>
        </w:tc>
        <w:tc>
          <w:tcPr>
            <w:tcW w:w="872" w:type="dxa"/>
            <w:shd w:val="clear" w:color="auto" w:fill="auto"/>
            <w:noWrap/>
            <w:vAlign w:val="bottom"/>
            <w:hideMark/>
          </w:tcPr>
          <w:p w14:paraId="26F311FE" w14:textId="1D9E6B97" w:rsidR="004D3A7D" w:rsidRPr="004D3A7D" w:rsidRDefault="008E0E6B" w:rsidP="008E0E6B">
            <w:pPr>
              <w:spacing w:after="0" w:line="240" w:lineRule="auto"/>
              <w:jc w:val="right"/>
              <w:rPr>
                <w:rFonts w:ascii="Century Gothic" w:eastAsia="Times New Roman" w:hAnsi="Century Gothic" w:cs="Arial"/>
                <w:sz w:val="20"/>
                <w:szCs w:val="20"/>
                <w:lang w:val="es-ES" w:eastAsia="es-ES"/>
              </w:rPr>
            </w:pPr>
            <w:r>
              <w:rPr>
                <w:rFonts w:ascii="Century Gothic" w:eastAsia="Times New Roman" w:hAnsi="Century Gothic" w:cs="Arial"/>
                <w:sz w:val="20"/>
                <w:szCs w:val="20"/>
                <w:lang w:val="es-ES" w:eastAsia="es-ES"/>
              </w:rPr>
              <w:t>151</w:t>
            </w:r>
          </w:p>
        </w:tc>
      </w:tr>
      <w:tr w:rsidR="004D3A7D" w:rsidRPr="004D3A7D" w14:paraId="4336710C" w14:textId="77777777" w:rsidTr="008E0E6B">
        <w:trPr>
          <w:trHeight w:val="20"/>
          <w:jc w:val="center"/>
        </w:trPr>
        <w:tc>
          <w:tcPr>
            <w:tcW w:w="4275" w:type="dxa"/>
            <w:shd w:val="clear" w:color="auto" w:fill="C2D69B" w:themeFill="accent3" w:themeFillTint="99"/>
            <w:noWrap/>
            <w:vAlign w:val="bottom"/>
            <w:hideMark/>
          </w:tcPr>
          <w:p w14:paraId="40951D85" w14:textId="657D4746"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 xml:space="preserve">Zona de amenaza </w:t>
            </w:r>
            <w:r w:rsidR="00ED54EE" w:rsidRPr="004D3A7D">
              <w:rPr>
                <w:rFonts w:ascii="Century Gothic" w:eastAsia="Times New Roman" w:hAnsi="Century Gothic" w:cs="Arial"/>
                <w:b/>
                <w:bCs/>
                <w:sz w:val="20"/>
                <w:szCs w:val="20"/>
                <w:lang w:val="es-ES" w:eastAsia="es-ES"/>
              </w:rPr>
              <w:t>volcánica</w:t>
            </w:r>
            <w:r w:rsidRPr="004D3A7D">
              <w:rPr>
                <w:rFonts w:ascii="Century Gothic" w:eastAsia="Times New Roman" w:hAnsi="Century Gothic" w:cs="Arial"/>
                <w:b/>
                <w:bCs/>
                <w:sz w:val="20"/>
                <w:szCs w:val="20"/>
                <w:lang w:val="es-ES" w:eastAsia="es-ES"/>
              </w:rPr>
              <w:t xml:space="preserve"> alta</w:t>
            </w:r>
          </w:p>
        </w:tc>
        <w:tc>
          <w:tcPr>
            <w:tcW w:w="872" w:type="dxa"/>
            <w:shd w:val="clear" w:color="auto" w:fill="auto"/>
            <w:noWrap/>
            <w:vAlign w:val="bottom"/>
            <w:hideMark/>
          </w:tcPr>
          <w:p w14:paraId="339A5833" w14:textId="6F50A729" w:rsidR="004D3A7D" w:rsidRPr="004D3A7D" w:rsidRDefault="008E0E6B" w:rsidP="008E0E6B">
            <w:pPr>
              <w:spacing w:after="0" w:line="240" w:lineRule="auto"/>
              <w:jc w:val="right"/>
              <w:rPr>
                <w:rFonts w:ascii="Century Gothic" w:eastAsia="Times New Roman" w:hAnsi="Century Gothic" w:cs="Arial"/>
                <w:sz w:val="20"/>
                <w:szCs w:val="20"/>
                <w:lang w:val="es-ES" w:eastAsia="es-ES"/>
              </w:rPr>
            </w:pPr>
            <w:r>
              <w:rPr>
                <w:rFonts w:ascii="Century Gothic" w:eastAsia="Times New Roman" w:hAnsi="Century Gothic" w:cs="Arial"/>
                <w:sz w:val="20"/>
                <w:szCs w:val="20"/>
                <w:lang w:val="es-ES" w:eastAsia="es-ES"/>
              </w:rPr>
              <w:t>158</w:t>
            </w:r>
          </w:p>
        </w:tc>
      </w:tr>
      <w:tr w:rsidR="004D3A7D" w:rsidRPr="004D3A7D" w14:paraId="4006BD0A" w14:textId="77777777" w:rsidTr="008E0E6B">
        <w:trPr>
          <w:trHeight w:val="20"/>
          <w:jc w:val="center"/>
        </w:trPr>
        <w:tc>
          <w:tcPr>
            <w:tcW w:w="4275" w:type="dxa"/>
            <w:shd w:val="clear" w:color="auto" w:fill="C2D69B" w:themeFill="accent3" w:themeFillTint="99"/>
            <w:noWrap/>
            <w:vAlign w:val="bottom"/>
            <w:hideMark/>
          </w:tcPr>
          <w:p w14:paraId="1A9BAF01" w14:textId="1925D496"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Socavones</w:t>
            </w:r>
          </w:p>
        </w:tc>
        <w:tc>
          <w:tcPr>
            <w:tcW w:w="872" w:type="dxa"/>
            <w:shd w:val="clear" w:color="auto" w:fill="auto"/>
            <w:noWrap/>
            <w:vAlign w:val="bottom"/>
            <w:hideMark/>
          </w:tcPr>
          <w:p w14:paraId="61958471" w14:textId="7624D370" w:rsidR="004D3A7D" w:rsidRPr="004D3A7D" w:rsidRDefault="008E0E6B" w:rsidP="008E0E6B">
            <w:pPr>
              <w:spacing w:after="0" w:line="240" w:lineRule="auto"/>
              <w:jc w:val="right"/>
              <w:rPr>
                <w:rFonts w:ascii="Century Gothic" w:eastAsia="Times New Roman" w:hAnsi="Century Gothic" w:cs="Arial"/>
                <w:sz w:val="20"/>
                <w:szCs w:val="20"/>
                <w:lang w:val="es-ES" w:eastAsia="es-ES"/>
              </w:rPr>
            </w:pPr>
            <w:r>
              <w:rPr>
                <w:rFonts w:ascii="Century Gothic" w:eastAsia="Times New Roman" w:hAnsi="Century Gothic" w:cs="Arial"/>
                <w:sz w:val="20"/>
                <w:szCs w:val="20"/>
                <w:lang w:val="es-ES" w:eastAsia="es-ES"/>
              </w:rPr>
              <w:t>79</w:t>
            </w:r>
          </w:p>
        </w:tc>
      </w:tr>
      <w:tr w:rsidR="004D3A7D" w:rsidRPr="004D3A7D" w14:paraId="4065AC76" w14:textId="77777777" w:rsidTr="008E0E6B">
        <w:trPr>
          <w:trHeight w:val="20"/>
          <w:jc w:val="center"/>
        </w:trPr>
        <w:tc>
          <w:tcPr>
            <w:tcW w:w="4275" w:type="dxa"/>
            <w:shd w:val="clear" w:color="auto" w:fill="C2D69B" w:themeFill="accent3" w:themeFillTint="99"/>
            <w:noWrap/>
            <w:vAlign w:val="bottom"/>
            <w:hideMark/>
          </w:tcPr>
          <w:p w14:paraId="5D8F083D" w14:textId="11997ED8"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 xml:space="preserve">Entidades sin </w:t>
            </w:r>
            <w:r w:rsidR="00ED54EE" w:rsidRPr="004D3A7D">
              <w:rPr>
                <w:rFonts w:ascii="Century Gothic" w:eastAsia="Times New Roman" w:hAnsi="Century Gothic" w:cs="Arial"/>
                <w:b/>
                <w:bCs/>
                <w:sz w:val="20"/>
                <w:szCs w:val="20"/>
                <w:lang w:val="es-ES" w:eastAsia="es-ES"/>
              </w:rPr>
              <w:t>ánimo</w:t>
            </w:r>
            <w:r w:rsidRPr="004D3A7D">
              <w:rPr>
                <w:rFonts w:ascii="Century Gothic" w:eastAsia="Times New Roman" w:hAnsi="Century Gothic" w:cs="Arial"/>
                <w:b/>
                <w:bCs/>
                <w:sz w:val="20"/>
                <w:szCs w:val="20"/>
                <w:lang w:val="es-ES" w:eastAsia="es-ES"/>
              </w:rPr>
              <w:t xml:space="preserve"> de lucro</w:t>
            </w:r>
          </w:p>
        </w:tc>
        <w:tc>
          <w:tcPr>
            <w:tcW w:w="872" w:type="dxa"/>
            <w:shd w:val="clear" w:color="auto" w:fill="auto"/>
            <w:noWrap/>
            <w:vAlign w:val="bottom"/>
            <w:hideMark/>
          </w:tcPr>
          <w:p w14:paraId="533C03AC" w14:textId="01B7E50A" w:rsidR="004D3A7D" w:rsidRPr="004D3A7D" w:rsidRDefault="004D3A7D" w:rsidP="008E0E6B">
            <w:pPr>
              <w:spacing w:after="0" w:line="240" w:lineRule="auto"/>
              <w:jc w:val="right"/>
              <w:rPr>
                <w:rFonts w:ascii="Century Gothic" w:eastAsia="Times New Roman" w:hAnsi="Century Gothic" w:cs="Arial"/>
                <w:sz w:val="20"/>
                <w:szCs w:val="20"/>
                <w:lang w:val="es-ES" w:eastAsia="es-ES"/>
              </w:rPr>
            </w:pPr>
            <w:r w:rsidRPr="004D3A7D">
              <w:rPr>
                <w:rFonts w:ascii="Century Gothic" w:eastAsia="Times New Roman" w:hAnsi="Century Gothic" w:cs="Arial"/>
                <w:sz w:val="20"/>
                <w:szCs w:val="20"/>
                <w:lang w:val="es-ES" w:eastAsia="es-ES"/>
              </w:rPr>
              <w:t>828</w:t>
            </w:r>
          </w:p>
        </w:tc>
      </w:tr>
      <w:tr w:rsidR="004D3A7D" w:rsidRPr="004D3A7D" w14:paraId="2E923AD2" w14:textId="77777777" w:rsidTr="008E0E6B">
        <w:trPr>
          <w:trHeight w:val="20"/>
          <w:jc w:val="center"/>
        </w:trPr>
        <w:tc>
          <w:tcPr>
            <w:tcW w:w="4275" w:type="dxa"/>
            <w:shd w:val="clear" w:color="auto" w:fill="C2D69B" w:themeFill="accent3" w:themeFillTint="99"/>
            <w:noWrap/>
            <w:vAlign w:val="bottom"/>
            <w:hideMark/>
          </w:tcPr>
          <w:p w14:paraId="1795EF94" w14:textId="52F8F58E"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 xml:space="preserve">Juntas de </w:t>
            </w:r>
            <w:r w:rsidR="00ED54EE" w:rsidRPr="004D3A7D">
              <w:rPr>
                <w:rFonts w:ascii="Century Gothic" w:eastAsia="Times New Roman" w:hAnsi="Century Gothic" w:cs="Arial"/>
                <w:b/>
                <w:bCs/>
                <w:sz w:val="20"/>
                <w:szCs w:val="20"/>
                <w:lang w:val="es-ES" w:eastAsia="es-ES"/>
              </w:rPr>
              <w:t>acción</w:t>
            </w:r>
            <w:r w:rsidRPr="004D3A7D">
              <w:rPr>
                <w:rFonts w:ascii="Century Gothic" w:eastAsia="Times New Roman" w:hAnsi="Century Gothic" w:cs="Arial"/>
                <w:b/>
                <w:bCs/>
                <w:sz w:val="20"/>
                <w:szCs w:val="20"/>
                <w:lang w:val="es-ES" w:eastAsia="es-ES"/>
              </w:rPr>
              <w:t xml:space="preserve"> comunal</w:t>
            </w:r>
          </w:p>
        </w:tc>
        <w:tc>
          <w:tcPr>
            <w:tcW w:w="872" w:type="dxa"/>
            <w:shd w:val="clear" w:color="auto" w:fill="auto"/>
            <w:noWrap/>
            <w:vAlign w:val="bottom"/>
            <w:hideMark/>
          </w:tcPr>
          <w:p w14:paraId="6E14C9E5" w14:textId="02A1EEEE" w:rsidR="004D3A7D" w:rsidRPr="004D3A7D" w:rsidRDefault="008E0E6B" w:rsidP="008E0E6B">
            <w:pPr>
              <w:spacing w:after="0" w:line="240" w:lineRule="auto"/>
              <w:jc w:val="right"/>
              <w:rPr>
                <w:rFonts w:ascii="Century Gothic" w:eastAsia="Times New Roman" w:hAnsi="Century Gothic" w:cs="Arial"/>
                <w:sz w:val="20"/>
                <w:szCs w:val="20"/>
                <w:lang w:val="es-ES" w:eastAsia="es-ES"/>
              </w:rPr>
            </w:pPr>
            <w:r>
              <w:rPr>
                <w:rFonts w:ascii="Century Gothic" w:eastAsia="Times New Roman" w:hAnsi="Century Gothic" w:cs="Arial"/>
                <w:sz w:val="20"/>
                <w:szCs w:val="20"/>
                <w:lang w:val="es-ES" w:eastAsia="es-ES"/>
              </w:rPr>
              <w:t>260</w:t>
            </w:r>
          </w:p>
        </w:tc>
      </w:tr>
      <w:tr w:rsidR="004D3A7D" w:rsidRPr="004D3A7D" w14:paraId="3459F2D9" w14:textId="77777777" w:rsidTr="008E0E6B">
        <w:trPr>
          <w:trHeight w:val="20"/>
          <w:jc w:val="center"/>
        </w:trPr>
        <w:tc>
          <w:tcPr>
            <w:tcW w:w="4275" w:type="dxa"/>
            <w:shd w:val="clear" w:color="auto" w:fill="C2D69B" w:themeFill="accent3" w:themeFillTint="99"/>
            <w:noWrap/>
            <w:vAlign w:val="bottom"/>
            <w:hideMark/>
          </w:tcPr>
          <w:p w14:paraId="3AE76208" w14:textId="68258EA5"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Otros</w:t>
            </w:r>
          </w:p>
        </w:tc>
        <w:tc>
          <w:tcPr>
            <w:tcW w:w="872" w:type="dxa"/>
            <w:shd w:val="clear" w:color="auto" w:fill="auto"/>
            <w:noWrap/>
            <w:vAlign w:val="bottom"/>
            <w:hideMark/>
          </w:tcPr>
          <w:p w14:paraId="59A89B48" w14:textId="35EDBCD7" w:rsidR="004D3A7D" w:rsidRPr="004D3A7D" w:rsidRDefault="004D3A7D" w:rsidP="008E0E6B">
            <w:pPr>
              <w:spacing w:after="0" w:line="240" w:lineRule="auto"/>
              <w:jc w:val="right"/>
              <w:rPr>
                <w:rFonts w:ascii="Century Gothic" w:eastAsia="Times New Roman" w:hAnsi="Century Gothic" w:cs="Arial"/>
                <w:sz w:val="20"/>
                <w:szCs w:val="20"/>
                <w:lang w:val="es-ES" w:eastAsia="es-ES"/>
              </w:rPr>
            </w:pPr>
            <w:r w:rsidRPr="004D3A7D">
              <w:rPr>
                <w:rFonts w:ascii="Century Gothic" w:eastAsia="Times New Roman" w:hAnsi="Century Gothic" w:cs="Arial"/>
                <w:sz w:val="20"/>
                <w:szCs w:val="20"/>
                <w:lang w:val="es-ES" w:eastAsia="es-ES"/>
              </w:rPr>
              <w:t>25</w:t>
            </w:r>
          </w:p>
        </w:tc>
      </w:tr>
      <w:tr w:rsidR="004D3A7D" w:rsidRPr="004D3A7D" w14:paraId="575A9240" w14:textId="77777777" w:rsidTr="008E0E6B">
        <w:trPr>
          <w:trHeight w:val="20"/>
          <w:jc w:val="center"/>
        </w:trPr>
        <w:tc>
          <w:tcPr>
            <w:tcW w:w="4275" w:type="dxa"/>
            <w:shd w:val="clear" w:color="auto" w:fill="C2D69B" w:themeFill="accent3" w:themeFillTint="99"/>
            <w:noWrap/>
            <w:vAlign w:val="bottom"/>
            <w:hideMark/>
          </w:tcPr>
          <w:p w14:paraId="79C63290" w14:textId="7EE13936" w:rsidR="004D3A7D" w:rsidRPr="004D3A7D" w:rsidRDefault="004D3A7D" w:rsidP="004D3A7D">
            <w:pPr>
              <w:spacing w:after="0" w:line="240" w:lineRule="auto"/>
              <w:rPr>
                <w:rFonts w:ascii="Century Gothic" w:eastAsia="Times New Roman" w:hAnsi="Century Gothic" w:cs="Arial"/>
                <w:b/>
                <w:bCs/>
                <w:sz w:val="20"/>
                <w:szCs w:val="20"/>
                <w:lang w:val="es-ES" w:eastAsia="es-ES"/>
              </w:rPr>
            </w:pPr>
            <w:r w:rsidRPr="004D3A7D">
              <w:rPr>
                <w:rFonts w:ascii="Century Gothic" w:eastAsia="Times New Roman" w:hAnsi="Century Gothic" w:cs="Arial"/>
                <w:b/>
                <w:bCs/>
                <w:sz w:val="20"/>
                <w:szCs w:val="20"/>
                <w:lang w:val="es-ES" w:eastAsia="es-ES"/>
              </w:rPr>
              <w:t>Total</w:t>
            </w:r>
          </w:p>
        </w:tc>
        <w:tc>
          <w:tcPr>
            <w:tcW w:w="872" w:type="dxa"/>
            <w:shd w:val="clear" w:color="auto" w:fill="C2D69B" w:themeFill="accent3" w:themeFillTint="99"/>
            <w:noWrap/>
            <w:vAlign w:val="bottom"/>
            <w:hideMark/>
          </w:tcPr>
          <w:p w14:paraId="438EC64F" w14:textId="46306A7F" w:rsidR="004D3A7D" w:rsidRPr="004D3A7D" w:rsidRDefault="008E0E6B" w:rsidP="008E0E6B">
            <w:pPr>
              <w:spacing w:after="0" w:line="240" w:lineRule="auto"/>
              <w:jc w:val="right"/>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2.270</w:t>
            </w:r>
          </w:p>
        </w:tc>
      </w:tr>
    </w:tbl>
    <w:p w14:paraId="2024DE91" w14:textId="53AE6533" w:rsidR="004D3A7D" w:rsidRDefault="00ED54EE" w:rsidP="00ED54EE">
      <w:pPr>
        <w:jc w:val="center"/>
        <w:rPr>
          <w:rFonts w:ascii="Century Gothic" w:hAnsi="Century Gothic"/>
          <w:sz w:val="20"/>
        </w:rPr>
      </w:pPr>
      <w:r w:rsidRPr="00ED54EE">
        <w:rPr>
          <w:rFonts w:ascii="Century Gothic" w:hAnsi="Century Gothic"/>
          <w:sz w:val="20"/>
        </w:rPr>
        <w:t>Fuente: Secretaría de Hacienda, 2018</w:t>
      </w:r>
    </w:p>
    <w:p w14:paraId="766253DE" w14:textId="2E305CA1" w:rsidR="00E91781" w:rsidRPr="0013149A" w:rsidRDefault="00E91781" w:rsidP="0013149A">
      <w:pPr>
        <w:pStyle w:val="Ttulo2"/>
      </w:pPr>
      <w:bookmarkStart w:id="47" w:name="_Toc532565929"/>
      <w:r w:rsidRPr="0013149A">
        <w:rPr>
          <w:rStyle w:val="Ttulo2Car"/>
          <w:b/>
          <w:bCs/>
        </w:rPr>
        <w:t>Riesgos fiscales</w:t>
      </w:r>
      <w:bookmarkEnd w:id="47"/>
    </w:p>
    <w:p w14:paraId="35387272" w14:textId="0A347B3E" w:rsidR="00E91781" w:rsidRPr="00B606E8" w:rsidRDefault="00E91781" w:rsidP="0013149A">
      <w:pPr>
        <w:pStyle w:val="Ttulo3"/>
      </w:pPr>
      <w:bookmarkStart w:id="48" w:name="_Toc532565930"/>
      <w:r w:rsidRPr="00B606E8">
        <w:t>Ejecución y constitución de reservas presupuestales</w:t>
      </w:r>
      <w:bookmarkEnd w:id="48"/>
    </w:p>
    <w:p w14:paraId="0405EC45" w14:textId="550383FD" w:rsidR="00ED54EE" w:rsidRPr="0013149A" w:rsidRDefault="00ED54EE" w:rsidP="00ED54EE">
      <w:pPr>
        <w:spacing w:after="240"/>
        <w:jc w:val="both"/>
        <w:rPr>
          <w:rFonts w:ascii="Century Gothic" w:hAnsi="Century Gothic"/>
        </w:rPr>
      </w:pPr>
      <w:r w:rsidRPr="009201E5">
        <w:rPr>
          <w:rFonts w:ascii="Century Gothic" w:hAnsi="Century Gothic"/>
        </w:rPr>
        <w:t>Al cierre de la vigencia 2017, se pagaron el 84% del total de las reservas constituidas (6</w:t>
      </w:r>
      <w:r>
        <w:rPr>
          <w:rFonts w:ascii="Century Gothic" w:hAnsi="Century Gothic"/>
        </w:rPr>
        <w:t>.</w:t>
      </w:r>
      <w:r w:rsidRPr="009201E5">
        <w:rPr>
          <w:rFonts w:ascii="Century Gothic" w:hAnsi="Century Gothic"/>
        </w:rPr>
        <w:t>382 millones), algunas correspond</w:t>
      </w:r>
      <w:r>
        <w:rPr>
          <w:rFonts w:ascii="Century Gothic" w:hAnsi="Century Gothic"/>
        </w:rPr>
        <w:t xml:space="preserve">ieron </w:t>
      </w:r>
      <w:r w:rsidRPr="009201E5">
        <w:rPr>
          <w:rFonts w:ascii="Century Gothic" w:hAnsi="Century Gothic"/>
        </w:rPr>
        <w:t xml:space="preserve">a saldos que resultaron de la liquidación de contratos </w:t>
      </w:r>
      <w:r>
        <w:rPr>
          <w:rFonts w:ascii="Century Gothic" w:hAnsi="Century Gothic"/>
        </w:rPr>
        <w:t xml:space="preserve">y de obligaciones que aún existían </w:t>
      </w:r>
      <w:r w:rsidRPr="009201E5">
        <w:rPr>
          <w:rFonts w:ascii="Century Gothic" w:hAnsi="Century Gothic"/>
        </w:rPr>
        <w:t xml:space="preserve">y que se </w:t>
      </w:r>
      <w:r>
        <w:rPr>
          <w:rFonts w:ascii="Century Gothic" w:hAnsi="Century Gothic"/>
        </w:rPr>
        <w:t xml:space="preserve">debían </w:t>
      </w:r>
      <w:r w:rsidRPr="0013149A">
        <w:rPr>
          <w:rFonts w:ascii="Century Gothic" w:hAnsi="Century Gothic"/>
        </w:rPr>
        <w:t>pagar durante el año 2018</w:t>
      </w:r>
      <w:r>
        <w:rPr>
          <w:rFonts w:ascii="Century Gothic" w:hAnsi="Century Gothic"/>
        </w:rPr>
        <w:t xml:space="preserve">, las cuales se </w:t>
      </w:r>
      <w:r w:rsidRPr="0013149A">
        <w:rPr>
          <w:rFonts w:ascii="Century Gothic" w:hAnsi="Century Gothic"/>
        </w:rPr>
        <w:t>cancela</w:t>
      </w:r>
      <w:r>
        <w:rPr>
          <w:rFonts w:ascii="Century Gothic" w:hAnsi="Century Gothic"/>
        </w:rPr>
        <w:t>n</w:t>
      </w:r>
      <w:r w:rsidRPr="0013149A">
        <w:rPr>
          <w:rFonts w:ascii="Century Gothic" w:hAnsi="Century Gothic"/>
        </w:rPr>
        <w:t xml:space="preserve"> con el acta de liquidación correspondiente o con cargo al rubro de vigencias expiradas.</w:t>
      </w:r>
    </w:p>
    <w:p w14:paraId="7763EB82" w14:textId="3760572D" w:rsidR="006624CC" w:rsidRPr="009201E5" w:rsidRDefault="00384866" w:rsidP="00384866">
      <w:pPr>
        <w:spacing w:after="240"/>
        <w:jc w:val="both"/>
        <w:rPr>
          <w:rFonts w:ascii="Century Gothic" w:hAnsi="Century Gothic"/>
        </w:rPr>
      </w:pPr>
      <w:r w:rsidRPr="009201E5">
        <w:rPr>
          <w:rFonts w:ascii="Century Gothic" w:hAnsi="Century Gothic"/>
        </w:rPr>
        <w:lastRenderedPageBreak/>
        <w:t>Durante el primer semestre del año 2018, se canceló el 38,0 por ciento de las reservas constituidas, el saldo pendiente cor</w:t>
      </w:r>
      <w:r w:rsidR="003E1962" w:rsidRPr="009201E5">
        <w:rPr>
          <w:rFonts w:ascii="Century Gothic" w:hAnsi="Century Gothic"/>
        </w:rPr>
        <w:t xml:space="preserve">respondía, en un alto porcentaje, </w:t>
      </w:r>
      <w:r w:rsidRPr="009201E5">
        <w:rPr>
          <w:rFonts w:ascii="Century Gothic" w:hAnsi="Century Gothic"/>
        </w:rPr>
        <w:t>a la Unidad Administrativa Especial del Sistema Estratégico de Transporte Público AVANTE</w:t>
      </w:r>
    </w:p>
    <w:p w14:paraId="46362E95" w14:textId="72B60FF1" w:rsidR="006624CC" w:rsidRPr="009201E5" w:rsidRDefault="006624CC" w:rsidP="006624CC">
      <w:pPr>
        <w:spacing w:after="0"/>
        <w:jc w:val="center"/>
        <w:rPr>
          <w:rFonts w:ascii="Century Gothic" w:hAnsi="Century Gothic"/>
        </w:rPr>
      </w:pPr>
      <w:bookmarkStart w:id="49" w:name="_Toc507517401"/>
      <w:bookmarkStart w:id="50" w:name="_Toc532570517"/>
      <w:r w:rsidRPr="009201E5">
        <w:rPr>
          <w:rFonts w:ascii="Century Gothic" w:hAnsi="Century Gothic"/>
        </w:rPr>
        <w:t xml:space="preserve">Tabla </w:t>
      </w:r>
      <w:r w:rsidRPr="009201E5">
        <w:rPr>
          <w:rFonts w:ascii="Century Gothic" w:hAnsi="Century Gothic"/>
          <w:b/>
        </w:rPr>
        <w:fldChar w:fldCharType="begin"/>
      </w:r>
      <w:r w:rsidRPr="009201E5">
        <w:rPr>
          <w:rFonts w:ascii="Century Gothic" w:hAnsi="Century Gothic"/>
        </w:rPr>
        <w:instrText xml:space="preserve"> SEQ Tabla \* ARABIC </w:instrText>
      </w:r>
      <w:r w:rsidRPr="009201E5">
        <w:rPr>
          <w:rFonts w:ascii="Century Gothic" w:hAnsi="Century Gothic"/>
          <w:b/>
        </w:rPr>
        <w:fldChar w:fldCharType="separate"/>
      </w:r>
      <w:r w:rsidR="00735A58">
        <w:rPr>
          <w:rFonts w:ascii="Century Gothic" w:hAnsi="Century Gothic"/>
          <w:noProof/>
        </w:rPr>
        <w:t>26</w:t>
      </w:r>
      <w:r w:rsidRPr="009201E5">
        <w:rPr>
          <w:rFonts w:ascii="Century Gothic" w:hAnsi="Century Gothic"/>
          <w:b/>
        </w:rPr>
        <w:fldChar w:fldCharType="end"/>
      </w:r>
      <w:r w:rsidRPr="009201E5">
        <w:rPr>
          <w:rFonts w:ascii="Century Gothic" w:hAnsi="Century Gothic"/>
        </w:rPr>
        <w:t>. Reservas presupuestales (millones)</w:t>
      </w:r>
      <w:bookmarkEnd w:id="49"/>
      <w:bookmarkEnd w:id="50"/>
    </w:p>
    <w:p w14:paraId="27A5E5FE" w14:textId="22750F47" w:rsidR="006624CC" w:rsidRPr="009201E5" w:rsidRDefault="006624CC" w:rsidP="006624CC">
      <w:pPr>
        <w:spacing w:after="0"/>
        <w:jc w:val="center"/>
        <w:rPr>
          <w:rFonts w:ascii="Century Gothic" w:hAnsi="Century Gothic"/>
        </w:rPr>
      </w:pPr>
      <w:r w:rsidRPr="009201E5">
        <w:rPr>
          <w:rFonts w:ascii="Century Gothic" w:eastAsia="Times New Roman" w:hAnsi="Century Gothic" w:cs="Calibri"/>
          <w:color w:val="000000"/>
        </w:rPr>
        <w:t>(30 de junio 2018)</w:t>
      </w:r>
    </w:p>
    <w:tbl>
      <w:tblPr>
        <w:tblW w:w="8800" w:type="dxa"/>
        <w:tblCellMar>
          <w:left w:w="70" w:type="dxa"/>
          <w:right w:w="70" w:type="dxa"/>
        </w:tblCellMar>
        <w:tblLook w:val="04A0" w:firstRow="1" w:lastRow="0" w:firstColumn="1" w:lastColumn="0" w:noHBand="0" w:noVBand="1"/>
      </w:tblPr>
      <w:tblGrid>
        <w:gridCol w:w="3898"/>
        <w:gridCol w:w="992"/>
        <w:gridCol w:w="1843"/>
        <w:gridCol w:w="992"/>
        <w:gridCol w:w="1075"/>
      </w:tblGrid>
      <w:tr w:rsidR="00384866" w:rsidRPr="00B5595A" w14:paraId="16D24EEE" w14:textId="77777777" w:rsidTr="008E0E6B">
        <w:trPr>
          <w:trHeight w:val="170"/>
        </w:trPr>
        <w:tc>
          <w:tcPr>
            <w:tcW w:w="3898"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7157CC06" w14:textId="77777777" w:rsidR="00384866" w:rsidRPr="00B5595A" w:rsidRDefault="00384866" w:rsidP="00384866">
            <w:pPr>
              <w:spacing w:after="0" w:line="240" w:lineRule="auto"/>
              <w:jc w:val="center"/>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Concepto</w:t>
            </w:r>
          </w:p>
        </w:tc>
        <w:tc>
          <w:tcPr>
            <w:tcW w:w="992"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503AF857" w14:textId="77777777" w:rsidR="00384866" w:rsidRPr="00B5595A" w:rsidRDefault="00384866" w:rsidP="00384866">
            <w:pPr>
              <w:spacing w:after="0" w:line="240" w:lineRule="auto"/>
              <w:jc w:val="center"/>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Valor</w:t>
            </w:r>
          </w:p>
        </w:tc>
        <w:tc>
          <w:tcPr>
            <w:tcW w:w="1843"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01560CAF" w14:textId="77777777" w:rsidR="00384866" w:rsidRPr="00B5595A" w:rsidRDefault="00384866" w:rsidP="00384866">
            <w:pPr>
              <w:spacing w:after="0" w:line="240" w:lineRule="auto"/>
              <w:jc w:val="center"/>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 Composición</w:t>
            </w:r>
          </w:p>
        </w:tc>
        <w:tc>
          <w:tcPr>
            <w:tcW w:w="992"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5D313857" w14:textId="77777777" w:rsidR="00384866" w:rsidRPr="00B5595A" w:rsidRDefault="00384866" w:rsidP="00384866">
            <w:pPr>
              <w:spacing w:after="0" w:line="240" w:lineRule="auto"/>
              <w:jc w:val="center"/>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Pagos</w:t>
            </w:r>
          </w:p>
        </w:tc>
        <w:tc>
          <w:tcPr>
            <w:tcW w:w="1075"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444B463C" w14:textId="33421E07" w:rsidR="00384866" w:rsidRPr="00B5595A" w:rsidRDefault="00384866" w:rsidP="00384866">
            <w:pPr>
              <w:spacing w:after="0" w:line="240" w:lineRule="auto"/>
              <w:jc w:val="center"/>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 xml:space="preserve">% </w:t>
            </w:r>
            <w:r w:rsidR="009201E5" w:rsidRPr="00B5595A">
              <w:rPr>
                <w:rFonts w:ascii="Century Gothic" w:eastAsia="Times New Roman" w:hAnsi="Century Gothic" w:cs="Calibri"/>
                <w:b/>
                <w:color w:val="000000"/>
                <w:sz w:val="20"/>
                <w:szCs w:val="20"/>
              </w:rPr>
              <w:t>Pagos</w:t>
            </w:r>
          </w:p>
        </w:tc>
      </w:tr>
      <w:tr w:rsidR="00384866" w:rsidRPr="00B5595A" w14:paraId="6EAC5850" w14:textId="77777777" w:rsidTr="008E0E6B">
        <w:trPr>
          <w:trHeight w:val="170"/>
        </w:trPr>
        <w:tc>
          <w:tcPr>
            <w:tcW w:w="3898"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1D2ABFDA" w14:textId="77777777" w:rsidR="00384866" w:rsidRPr="008E0E6B" w:rsidRDefault="00384866" w:rsidP="00384866">
            <w:pPr>
              <w:spacing w:after="0" w:line="240" w:lineRule="auto"/>
              <w:rPr>
                <w:rFonts w:ascii="Century Gothic" w:eastAsia="Times New Roman" w:hAnsi="Century Gothic" w:cs="Calibri"/>
                <w:b/>
                <w:color w:val="000000"/>
                <w:sz w:val="20"/>
                <w:szCs w:val="20"/>
              </w:rPr>
            </w:pPr>
            <w:r w:rsidRPr="008E0E6B">
              <w:rPr>
                <w:rFonts w:ascii="Century Gothic" w:eastAsia="Times New Roman" w:hAnsi="Century Gothic" w:cs="Calibri"/>
                <w:b/>
                <w:color w:val="000000"/>
                <w:sz w:val="20"/>
                <w:szCs w:val="20"/>
              </w:rPr>
              <w:t>Funcionamiento</w:t>
            </w:r>
          </w:p>
        </w:tc>
        <w:tc>
          <w:tcPr>
            <w:tcW w:w="992" w:type="dxa"/>
            <w:tcBorders>
              <w:top w:val="nil"/>
              <w:left w:val="nil"/>
              <w:bottom w:val="single" w:sz="4" w:space="0" w:color="auto"/>
              <w:right w:val="single" w:sz="4" w:space="0" w:color="auto"/>
            </w:tcBorders>
            <w:shd w:val="clear" w:color="auto" w:fill="auto"/>
            <w:noWrap/>
            <w:vAlign w:val="bottom"/>
            <w:hideMark/>
          </w:tcPr>
          <w:p w14:paraId="0C0EDB4D" w14:textId="70A474D9" w:rsidR="00384866" w:rsidRPr="00B5595A" w:rsidRDefault="00384866" w:rsidP="006624CC">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 xml:space="preserve">416 </w:t>
            </w:r>
          </w:p>
        </w:tc>
        <w:tc>
          <w:tcPr>
            <w:tcW w:w="1843" w:type="dxa"/>
            <w:tcBorders>
              <w:top w:val="nil"/>
              <w:left w:val="nil"/>
              <w:bottom w:val="single" w:sz="4" w:space="0" w:color="auto"/>
              <w:right w:val="single" w:sz="4" w:space="0" w:color="auto"/>
            </w:tcBorders>
            <w:shd w:val="clear" w:color="auto" w:fill="auto"/>
            <w:noWrap/>
            <w:vAlign w:val="bottom"/>
            <w:hideMark/>
          </w:tcPr>
          <w:p w14:paraId="30FFC8EE" w14:textId="77777777" w:rsidR="00384866" w:rsidRPr="00B5595A" w:rsidRDefault="00384866" w:rsidP="00384866">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14:paraId="5FCC0F87" w14:textId="52D89E71" w:rsidR="00384866" w:rsidRPr="00B5595A" w:rsidRDefault="00384866" w:rsidP="006624CC">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 xml:space="preserve">388 </w:t>
            </w:r>
          </w:p>
        </w:tc>
        <w:tc>
          <w:tcPr>
            <w:tcW w:w="1075" w:type="dxa"/>
            <w:tcBorders>
              <w:top w:val="nil"/>
              <w:left w:val="nil"/>
              <w:bottom w:val="single" w:sz="4" w:space="0" w:color="auto"/>
              <w:right w:val="single" w:sz="4" w:space="0" w:color="auto"/>
            </w:tcBorders>
            <w:shd w:val="clear" w:color="auto" w:fill="auto"/>
            <w:noWrap/>
            <w:vAlign w:val="bottom"/>
            <w:hideMark/>
          </w:tcPr>
          <w:p w14:paraId="327C894F" w14:textId="77777777" w:rsidR="00384866" w:rsidRPr="00B5595A" w:rsidRDefault="00384866" w:rsidP="00384866">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93%</w:t>
            </w:r>
          </w:p>
        </w:tc>
      </w:tr>
      <w:tr w:rsidR="00384866" w:rsidRPr="00B5595A" w14:paraId="213FE67C" w14:textId="77777777" w:rsidTr="008E0E6B">
        <w:trPr>
          <w:trHeight w:val="170"/>
        </w:trPr>
        <w:tc>
          <w:tcPr>
            <w:tcW w:w="3898"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64C4F33D" w14:textId="77777777" w:rsidR="00384866" w:rsidRPr="008E0E6B" w:rsidRDefault="00384866" w:rsidP="00384866">
            <w:pPr>
              <w:spacing w:after="0" w:line="240" w:lineRule="auto"/>
              <w:rPr>
                <w:rFonts w:ascii="Century Gothic" w:eastAsia="Times New Roman" w:hAnsi="Century Gothic" w:cs="Calibri"/>
                <w:b/>
                <w:color w:val="000000"/>
                <w:sz w:val="20"/>
                <w:szCs w:val="20"/>
              </w:rPr>
            </w:pPr>
            <w:r w:rsidRPr="008E0E6B">
              <w:rPr>
                <w:rFonts w:ascii="Century Gothic" w:eastAsia="Times New Roman" w:hAnsi="Century Gothic" w:cs="Calibri"/>
                <w:b/>
                <w:color w:val="000000"/>
                <w:sz w:val="20"/>
                <w:szCs w:val="20"/>
              </w:rPr>
              <w:t>Inversión</w:t>
            </w:r>
          </w:p>
        </w:tc>
        <w:tc>
          <w:tcPr>
            <w:tcW w:w="992" w:type="dxa"/>
            <w:tcBorders>
              <w:top w:val="nil"/>
              <w:left w:val="nil"/>
              <w:bottom w:val="single" w:sz="4" w:space="0" w:color="auto"/>
              <w:right w:val="single" w:sz="4" w:space="0" w:color="auto"/>
            </w:tcBorders>
            <w:shd w:val="clear" w:color="auto" w:fill="auto"/>
            <w:noWrap/>
            <w:vAlign w:val="bottom"/>
            <w:hideMark/>
          </w:tcPr>
          <w:p w14:paraId="72B466DD" w14:textId="0D5361B9" w:rsidR="00384866" w:rsidRPr="00B5595A" w:rsidRDefault="006624CC" w:rsidP="006624CC">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6.</w:t>
            </w:r>
            <w:r w:rsidR="00384866" w:rsidRPr="00B5595A">
              <w:rPr>
                <w:rFonts w:ascii="Century Gothic" w:eastAsia="Times New Roman" w:hAnsi="Century Gothic" w:cs="Calibri"/>
                <w:color w:val="000000"/>
                <w:sz w:val="20"/>
                <w:szCs w:val="20"/>
              </w:rPr>
              <w:t xml:space="preserve">195 </w:t>
            </w:r>
          </w:p>
        </w:tc>
        <w:tc>
          <w:tcPr>
            <w:tcW w:w="1843" w:type="dxa"/>
            <w:tcBorders>
              <w:top w:val="nil"/>
              <w:left w:val="nil"/>
              <w:bottom w:val="single" w:sz="4" w:space="0" w:color="auto"/>
              <w:right w:val="single" w:sz="4" w:space="0" w:color="auto"/>
            </w:tcBorders>
            <w:shd w:val="clear" w:color="auto" w:fill="auto"/>
            <w:noWrap/>
            <w:vAlign w:val="bottom"/>
            <w:hideMark/>
          </w:tcPr>
          <w:p w14:paraId="0DDB2838" w14:textId="77777777" w:rsidR="00384866" w:rsidRPr="00B5595A" w:rsidRDefault="00384866" w:rsidP="00384866">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32%</w:t>
            </w:r>
          </w:p>
        </w:tc>
        <w:tc>
          <w:tcPr>
            <w:tcW w:w="992" w:type="dxa"/>
            <w:tcBorders>
              <w:top w:val="nil"/>
              <w:left w:val="nil"/>
              <w:bottom w:val="single" w:sz="4" w:space="0" w:color="auto"/>
              <w:right w:val="single" w:sz="4" w:space="0" w:color="auto"/>
            </w:tcBorders>
            <w:shd w:val="clear" w:color="auto" w:fill="auto"/>
            <w:noWrap/>
            <w:vAlign w:val="bottom"/>
            <w:hideMark/>
          </w:tcPr>
          <w:p w14:paraId="2BA2B075" w14:textId="597F459A" w:rsidR="00384866" w:rsidRPr="00B5595A" w:rsidRDefault="00384866" w:rsidP="006624CC">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2</w:t>
            </w:r>
            <w:r w:rsidR="006624CC" w:rsidRPr="00B5595A">
              <w:rPr>
                <w:rFonts w:ascii="Century Gothic" w:eastAsia="Times New Roman" w:hAnsi="Century Gothic" w:cs="Calibri"/>
                <w:color w:val="000000"/>
                <w:sz w:val="20"/>
                <w:szCs w:val="20"/>
              </w:rPr>
              <w:t>.</w:t>
            </w:r>
            <w:r w:rsidRPr="00B5595A">
              <w:rPr>
                <w:rFonts w:ascii="Century Gothic" w:eastAsia="Times New Roman" w:hAnsi="Century Gothic" w:cs="Calibri"/>
                <w:color w:val="000000"/>
                <w:sz w:val="20"/>
                <w:szCs w:val="20"/>
              </w:rPr>
              <w:t xml:space="preserve">860 </w:t>
            </w:r>
          </w:p>
        </w:tc>
        <w:tc>
          <w:tcPr>
            <w:tcW w:w="1075" w:type="dxa"/>
            <w:tcBorders>
              <w:top w:val="nil"/>
              <w:left w:val="nil"/>
              <w:bottom w:val="single" w:sz="4" w:space="0" w:color="auto"/>
              <w:right w:val="single" w:sz="4" w:space="0" w:color="auto"/>
            </w:tcBorders>
            <w:shd w:val="clear" w:color="auto" w:fill="auto"/>
            <w:noWrap/>
            <w:vAlign w:val="bottom"/>
            <w:hideMark/>
          </w:tcPr>
          <w:p w14:paraId="1B583041" w14:textId="77777777" w:rsidR="00384866" w:rsidRPr="00B5595A" w:rsidRDefault="00384866" w:rsidP="00384866">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46%</w:t>
            </w:r>
          </w:p>
        </w:tc>
      </w:tr>
      <w:tr w:rsidR="00384866" w:rsidRPr="00B5595A" w14:paraId="36738AD4" w14:textId="77777777" w:rsidTr="008E0E6B">
        <w:trPr>
          <w:trHeight w:val="170"/>
        </w:trPr>
        <w:tc>
          <w:tcPr>
            <w:tcW w:w="3898"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2B79F7B8" w14:textId="0F6E0E5B" w:rsidR="00384866" w:rsidRPr="008E0E6B" w:rsidRDefault="009201E5" w:rsidP="00384866">
            <w:pPr>
              <w:spacing w:after="0" w:line="240" w:lineRule="auto"/>
              <w:rPr>
                <w:rFonts w:ascii="Century Gothic" w:eastAsia="Times New Roman" w:hAnsi="Century Gothic" w:cs="Calibri"/>
                <w:b/>
                <w:color w:val="000000"/>
                <w:sz w:val="20"/>
                <w:szCs w:val="20"/>
              </w:rPr>
            </w:pPr>
            <w:r w:rsidRPr="008E0E6B">
              <w:rPr>
                <w:rFonts w:ascii="Century Gothic" w:eastAsia="Times New Roman" w:hAnsi="Century Gothic" w:cs="Calibri"/>
                <w:b/>
                <w:color w:val="000000"/>
                <w:sz w:val="20"/>
                <w:szCs w:val="20"/>
              </w:rPr>
              <w:t>Establecimientos p</w:t>
            </w:r>
            <w:r w:rsidR="00384866" w:rsidRPr="008E0E6B">
              <w:rPr>
                <w:rFonts w:ascii="Century Gothic" w:eastAsia="Times New Roman" w:hAnsi="Century Gothic" w:cs="Calibri"/>
                <w:b/>
                <w:color w:val="000000"/>
                <w:sz w:val="20"/>
                <w:szCs w:val="20"/>
              </w:rPr>
              <w:t>úblicos y Unidad</w:t>
            </w:r>
          </w:p>
        </w:tc>
        <w:tc>
          <w:tcPr>
            <w:tcW w:w="992" w:type="dxa"/>
            <w:tcBorders>
              <w:top w:val="nil"/>
              <w:left w:val="nil"/>
              <w:bottom w:val="single" w:sz="4" w:space="0" w:color="auto"/>
              <w:right w:val="single" w:sz="4" w:space="0" w:color="auto"/>
            </w:tcBorders>
            <w:shd w:val="clear" w:color="auto" w:fill="auto"/>
            <w:noWrap/>
            <w:vAlign w:val="bottom"/>
            <w:hideMark/>
          </w:tcPr>
          <w:p w14:paraId="01210B10" w14:textId="05B25FA2" w:rsidR="00384866" w:rsidRPr="00B5595A" w:rsidRDefault="006624CC" w:rsidP="006624CC">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12.</w:t>
            </w:r>
            <w:r w:rsidR="00384866" w:rsidRPr="00B5595A">
              <w:rPr>
                <w:rFonts w:ascii="Century Gothic" w:eastAsia="Times New Roman" w:hAnsi="Century Gothic" w:cs="Calibri"/>
                <w:color w:val="000000"/>
                <w:sz w:val="20"/>
                <w:szCs w:val="20"/>
              </w:rPr>
              <w:t xml:space="preserve">988 </w:t>
            </w:r>
          </w:p>
        </w:tc>
        <w:tc>
          <w:tcPr>
            <w:tcW w:w="1843" w:type="dxa"/>
            <w:tcBorders>
              <w:top w:val="nil"/>
              <w:left w:val="nil"/>
              <w:bottom w:val="single" w:sz="4" w:space="0" w:color="auto"/>
              <w:right w:val="single" w:sz="4" w:space="0" w:color="auto"/>
            </w:tcBorders>
            <w:shd w:val="clear" w:color="auto" w:fill="auto"/>
            <w:noWrap/>
            <w:vAlign w:val="bottom"/>
            <w:hideMark/>
          </w:tcPr>
          <w:p w14:paraId="6BB227A5" w14:textId="77777777" w:rsidR="00384866" w:rsidRPr="00B5595A" w:rsidRDefault="00384866" w:rsidP="00384866">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66%</w:t>
            </w:r>
          </w:p>
        </w:tc>
        <w:tc>
          <w:tcPr>
            <w:tcW w:w="992" w:type="dxa"/>
            <w:tcBorders>
              <w:top w:val="nil"/>
              <w:left w:val="nil"/>
              <w:bottom w:val="single" w:sz="4" w:space="0" w:color="auto"/>
              <w:right w:val="single" w:sz="4" w:space="0" w:color="auto"/>
            </w:tcBorders>
            <w:shd w:val="clear" w:color="auto" w:fill="auto"/>
            <w:noWrap/>
            <w:vAlign w:val="bottom"/>
            <w:hideMark/>
          </w:tcPr>
          <w:p w14:paraId="2CA7E60C" w14:textId="003053A8" w:rsidR="00384866" w:rsidRPr="00B5595A" w:rsidRDefault="00384866" w:rsidP="006624CC">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4</w:t>
            </w:r>
            <w:r w:rsidR="006624CC" w:rsidRPr="00B5595A">
              <w:rPr>
                <w:rFonts w:ascii="Century Gothic" w:eastAsia="Times New Roman" w:hAnsi="Century Gothic" w:cs="Calibri"/>
                <w:color w:val="000000"/>
                <w:sz w:val="20"/>
                <w:szCs w:val="20"/>
              </w:rPr>
              <w:t>.</w:t>
            </w:r>
            <w:r w:rsidRPr="00B5595A">
              <w:rPr>
                <w:rFonts w:ascii="Century Gothic" w:eastAsia="Times New Roman" w:hAnsi="Century Gothic" w:cs="Calibri"/>
                <w:color w:val="000000"/>
                <w:sz w:val="20"/>
                <w:szCs w:val="20"/>
              </w:rPr>
              <w:t xml:space="preserve">215 </w:t>
            </w:r>
          </w:p>
        </w:tc>
        <w:tc>
          <w:tcPr>
            <w:tcW w:w="1075" w:type="dxa"/>
            <w:tcBorders>
              <w:top w:val="nil"/>
              <w:left w:val="nil"/>
              <w:bottom w:val="single" w:sz="4" w:space="0" w:color="auto"/>
              <w:right w:val="single" w:sz="4" w:space="0" w:color="auto"/>
            </w:tcBorders>
            <w:shd w:val="clear" w:color="auto" w:fill="auto"/>
            <w:noWrap/>
            <w:vAlign w:val="bottom"/>
            <w:hideMark/>
          </w:tcPr>
          <w:p w14:paraId="40311807" w14:textId="77777777" w:rsidR="00384866" w:rsidRPr="00B5595A" w:rsidRDefault="00384866" w:rsidP="00384866">
            <w:pPr>
              <w:spacing w:after="0" w:line="240" w:lineRule="auto"/>
              <w:jc w:val="right"/>
              <w:rPr>
                <w:rFonts w:ascii="Century Gothic" w:eastAsia="Times New Roman" w:hAnsi="Century Gothic" w:cs="Calibri"/>
                <w:color w:val="000000"/>
                <w:sz w:val="20"/>
                <w:szCs w:val="20"/>
              </w:rPr>
            </w:pPr>
            <w:r w:rsidRPr="00B5595A">
              <w:rPr>
                <w:rFonts w:ascii="Century Gothic" w:eastAsia="Times New Roman" w:hAnsi="Century Gothic" w:cs="Calibri"/>
                <w:color w:val="000000"/>
                <w:sz w:val="20"/>
                <w:szCs w:val="20"/>
              </w:rPr>
              <w:t>32%</w:t>
            </w:r>
          </w:p>
        </w:tc>
      </w:tr>
      <w:tr w:rsidR="00384866" w:rsidRPr="00B5595A" w14:paraId="528F45E0" w14:textId="77777777" w:rsidTr="008E0E6B">
        <w:trPr>
          <w:trHeight w:val="170"/>
        </w:trPr>
        <w:tc>
          <w:tcPr>
            <w:tcW w:w="3898"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14:paraId="09A1A908" w14:textId="14E6F63C" w:rsidR="00384866" w:rsidRPr="00B5595A" w:rsidRDefault="006624CC" w:rsidP="00384866">
            <w:pPr>
              <w:spacing w:after="0" w:line="240" w:lineRule="auto"/>
              <w:rPr>
                <w:rFonts w:ascii="Century Gothic" w:eastAsia="Times New Roman" w:hAnsi="Century Gothic" w:cs="Calibri"/>
                <w:color w:val="000000"/>
                <w:sz w:val="20"/>
                <w:szCs w:val="20"/>
              </w:rPr>
            </w:pPr>
            <w:r w:rsidRPr="00B5595A">
              <w:rPr>
                <w:rFonts w:ascii="Century Gothic" w:eastAsia="Times New Roman" w:hAnsi="Century Gothic" w:cs="Calibri"/>
                <w:b/>
                <w:color w:val="000000"/>
                <w:sz w:val="20"/>
                <w:szCs w:val="20"/>
              </w:rPr>
              <w:t>Total</w:t>
            </w:r>
          </w:p>
        </w:tc>
        <w:tc>
          <w:tcPr>
            <w:tcW w:w="992" w:type="dxa"/>
            <w:tcBorders>
              <w:top w:val="nil"/>
              <w:left w:val="nil"/>
              <w:bottom w:val="single" w:sz="4" w:space="0" w:color="auto"/>
              <w:right w:val="single" w:sz="4" w:space="0" w:color="auto"/>
            </w:tcBorders>
            <w:shd w:val="clear" w:color="auto" w:fill="C2D69B" w:themeFill="accent3" w:themeFillTint="99"/>
            <w:noWrap/>
            <w:vAlign w:val="bottom"/>
            <w:hideMark/>
          </w:tcPr>
          <w:p w14:paraId="19DE4C5C" w14:textId="20EBE556" w:rsidR="00384866" w:rsidRPr="00B5595A" w:rsidRDefault="006624CC" w:rsidP="006624CC">
            <w:pPr>
              <w:spacing w:after="0" w:line="240" w:lineRule="auto"/>
              <w:jc w:val="right"/>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19.</w:t>
            </w:r>
            <w:r w:rsidR="00384866" w:rsidRPr="00B5595A">
              <w:rPr>
                <w:rFonts w:ascii="Century Gothic" w:eastAsia="Times New Roman" w:hAnsi="Century Gothic" w:cs="Calibri"/>
                <w:b/>
                <w:color w:val="000000"/>
                <w:sz w:val="20"/>
                <w:szCs w:val="20"/>
              </w:rPr>
              <w:t xml:space="preserve">599 </w:t>
            </w:r>
          </w:p>
        </w:tc>
        <w:tc>
          <w:tcPr>
            <w:tcW w:w="1843" w:type="dxa"/>
            <w:tcBorders>
              <w:top w:val="nil"/>
              <w:left w:val="nil"/>
              <w:bottom w:val="single" w:sz="4" w:space="0" w:color="auto"/>
              <w:right w:val="single" w:sz="4" w:space="0" w:color="auto"/>
            </w:tcBorders>
            <w:shd w:val="clear" w:color="auto" w:fill="C2D69B" w:themeFill="accent3" w:themeFillTint="99"/>
            <w:noWrap/>
            <w:vAlign w:val="bottom"/>
            <w:hideMark/>
          </w:tcPr>
          <w:p w14:paraId="00241E99" w14:textId="77777777" w:rsidR="00384866" w:rsidRPr="00B5595A" w:rsidRDefault="00384866" w:rsidP="00384866">
            <w:pPr>
              <w:spacing w:after="0" w:line="240" w:lineRule="auto"/>
              <w:jc w:val="right"/>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100%</w:t>
            </w:r>
          </w:p>
        </w:tc>
        <w:tc>
          <w:tcPr>
            <w:tcW w:w="992" w:type="dxa"/>
            <w:tcBorders>
              <w:top w:val="nil"/>
              <w:left w:val="nil"/>
              <w:bottom w:val="single" w:sz="4" w:space="0" w:color="auto"/>
              <w:right w:val="single" w:sz="4" w:space="0" w:color="auto"/>
            </w:tcBorders>
            <w:shd w:val="clear" w:color="auto" w:fill="C2D69B" w:themeFill="accent3" w:themeFillTint="99"/>
            <w:noWrap/>
            <w:vAlign w:val="bottom"/>
            <w:hideMark/>
          </w:tcPr>
          <w:p w14:paraId="04B67767" w14:textId="00A43037" w:rsidR="00384866" w:rsidRPr="00B5595A" w:rsidRDefault="00384866" w:rsidP="006624CC">
            <w:pPr>
              <w:spacing w:after="0" w:line="240" w:lineRule="auto"/>
              <w:jc w:val="right"/>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7</w:t>
            </w:r>
            <w:r w:rsidR="006624CC" w:rsidRPr="00B5595A">
              <w:rPr>
                <w:rFonts w:ascii="Century Gothic" w:eastAsia="Times New Roman" w:hAnsi="Century Gothic" w:cs="Calibri"/>
                <w:b/>
                <w:color w:val="000000"/>
                <w:sz w:val="20"/>
                <w:szCs w:val="20"/>
              </w:rPr>
              <w:t>.</w:t>
            </w:r>
            <w:r w:rsidRPr="00B5595A">
              <w:rPr>
                <w:rFonts w:ascii="Century Gothic" w:eastAsia="Times New Roman" w:hAnsi="Century Gothic" w:cs="Calibri"/>
                <w:b/>
                <w:color w:val="000000"/>
                <w:sz w:val="20"/>
                <w:szCs w:val="20"/>
              </w:rPr>
              <w:t xml:space="preserve">463 </w:t>
            </w:r>
          </w:p>
        </w:tc>
        <w:tc>
          <w:tcPr>
            <w:tcW w:w="1075" w:type="dxa"/>
            <w:tcBorders>
              <w:top w:val="nil"/>
              <w:left w:val="nil"/>
              <w:bottom w:val="single" w:sz="4" w:space="0" w:color="auto"/>
              <w:right w:val="single" w:sz="4" w:space="0" w:color="auto"/>
            </w:tcBorders>
            <w:shd w:val="clear" w:color="auto" w:fill="C2D69B" w:themeFill="accent3" w:themeFillTint="99"/>
            <w:noWrap/>
            <w:vAlign w:val="bottom"/>
            <w:hideMark/>
          </w:tcPr>
          <w:p w14:paraId="670F5726" w14:textId="77777777" w:rsidR="00384866" w:rsidRPr="00B5595A" w:rsidRDefault="00384866" w:rsidP="00384866">
            <w:pPr>
              <w:spacing w:after="0" w:line="240" w:lineRule="auto"/>
              <w:jc w:val="right"/>
              <w:rPr>
                <w:rFonts w:ascii="Century Gothic" w:eastAsia="Times New Roman" w:hAnsi="Century Gothic" w:cs="Calibri"/>
                <w:b/>
                <w:color w:val="000000"/>
                <w:sz w:val="20"/>
                <w:szCs w:val="20"/>
              </w:rPr>
            </w:pPr>
            <w:r w:rsidRPr="00B5595A">
              <w:rPr>
                <w:rFonts w:ascii="Century Gothic" w:eastAsia="Times New Roman" w:hAnsi="Century Gothic" w:cs="Calibri"/>
                <w:b/>
                <w:color w:val="000000"/>
                <w:sz w:val="20"/>
                <w:szCs w:val="20"/>
              </w:rPr>
              <w:t>38%</w:t>
            </w:r>
          </w:p>
        </w:tc>
      </w:tr>
    </w:tbl>
    <w:p w14:paraId="5D7879BD" w14:textId="192D89B8" w:rsidR="00384866" w:rsidRPr="00B5595A" w:rsidRDefault="00B5595A" w:rsidP="00ED54EE">
      <w:pPr>
        <w:jc w:val="center"/>
        <w:rPr>
          <w:rFonts w:ascii="Century Gothic" w:hAnsi="Century Gothic"/>
          <w:sz w:val="20"/>
        </w:rPr>
      </w:pPr>
      <w:r w:rsidRPr="00B5595A">
        <w:rPr>
          <w:rFonts w:ascii="Century Gothic" w:hAnsi="Century Gothic"/>
          <w:sz w:val="20"/>
        </w:rPr>
        <w:t>Fuente: Secretaría de Hacienda, 2018</w:t>
      </w:r>
    </w:p>
    <w:p w14:paraId="361808AB" w14:textId="1EAD87D1" w:rsidR="00384866" w:rsidRPr="0013149A" w:rsidRDefault="00384866" w:rsidP="0013149A">
      <w:pPr>
        <w:pStyle w:val="Ttulo3"/>
      </w:pPr>
      <w:bookmarkStart w:id="51" w:name="_Toc532565931"/>
      <w:r w:rsidRPr="0013149A">
        <w:t>Costo fiscal de los proyectos de acuerdo sancionados en la vigencia 2017 con efectos fiscales en el año 2017 y 2018.</w:t>
      </w:r>
      <w:bookmarkEnd w:id="51"/>
    </w:p>
    <w:p w14:paraId="024015CD" w14:textId="1E6C9689" w:rsidR="0013149A" w:rsidRDefault="0013149A" w:rsidP="0013149A">
      <w:pPr>
        <w:jc w:val="both"/>
        <w:rPr>
          <w:rFonts w:ascii="Century Gothic" w:hAnsi="Century Gothic"/>
        </w:rPr>
      </w:pPr>
      <w:r w:rsidRPr="0013149A">
        <w:rPr>
          <w:rFonts w:ascii="Century Gothic" w:hAnsi="Century Gothic"/>
        </w:rPr>
        <w:t>A continuación se presentan los proyectos de acuerdo sancionados en la vigencia 2017 con efectos fiscales en el año 2017 y 2018</w:t>
      </w:r>
      <w:r>
        <w:rPr>
          <w:rFonts w:ascii="Century Gothic" w:hAnsi="Century Gothic"/>
        </w:rPr>
        <w:t xml:space="preserve">: </w:t>
      </w:r>
    </w:p>
    <w:p w14:paraId="46D7C4DC" w14:textId="3EA615E1" w:rsidR="0013149A" w:rsidRPr="0013149A" w:rsidRDefault="0013149A" w:rsidP="00BC682E">
      <w:pPr>
        <w:pStyle w:val="Epgrafe"/>
        <w:spacing w:after="0"/>
        <w:jc w:val="center"/>
        <w:rPr>
          <w:rFonts w:ascii="Century Gothic" w:hAnsi="Century Gothic"/>
          <w:b w:val="0"/>
          <w:sz w:val="22"/>
          <w:szCs w:val="22"/>
        </w:rPr>
      </w:pPr>
      <w:bookmarkStart w:id="52" w:name="_Toc532570518"/>
      <w:r w:rsidRPr="0013149A">
        <w:rPr>
          <w:rFonts w:ascii="Century Gothic" w:hAnsi="Century Gothic"/>
          <w:b w:val="0"/>
          <w:color w:val="auto"/>
          <w:sz w:val="22"/>
          <w:szCs w:val="22"/>
        </w:rPr>
        <w:t xml:space="preserve">Tabla </w:t>
      </w:r>
      <w:r w:rsidRPr="0013149A">
        <w:rPr>
          <w:rFonts w:ascii="Century Gothic" w:hAnsi="Century Gothic"/>
          <w:b w:val="0"/>
          <w:color w:val="auto"/>
          <w:sz w:val="22"/>
          <w:szCs w:val="22"/>
        </w:rPr>
        <w:fldChar w:fldCharType="begin"/>
      </w:r>
      <w:r w:rsidRPr="0013149A">
        <w:rPr>
          <w:rFonts w:ascii="Century Gothic" w:hAnsi="Century Gothic"/>
          <w:b w:val="0"/>
          <w:color w:val="auto"/>
          <w:sz w:val="22"/>
          <w:szCs w:val="22"/>
        </w:rPr>
        <w:instrText xml:space="preserve"> SEQ Tabla \* ARABIC </w:instrText>
      </w:r>
      <w:r w:rsidRPr="0013149A">
        <w:rPr>
          <w:rFonts w:ascii="Century Gothic" w:hAnsi="Century Gothic"/>
          <w:b w:val="0"/>
          <w:color w:val="auto"/>
          <w:sz w:val="22"/>
          <w:szCs w:val="22"/>
        </w:rPr>
        <w:fldChar w:fldCharType="separate"/>
      </w:r>
      <w:r w:rsidR="00735A58">
        <w:rPr>
          <w:rFonts w:ascii="Century Gothic" w:hAnsi="Century Gothic"/>
          <w:b w:val="0"/>
          <w:noProof/>
          <w:color w:val="auto"/>
          <w:sz w:val="22"/>
          <w:szCs w:val="22"/>
        </w:rPr>
        <w:t>27</w:t>
      </w:r>
      <w:r w:rsidRPr="0013149A">
        <w:rPr>
          <w:rFonts w:ascii="Century Gothic" w:hAnsi="Century Gothic"/>
          <w:b w:val="0"/>
          <w:color w:val="auto"/>
          <w:sz w:val="22"/>
          <w:szCs w:val="22"/>
        </w:rPr>
        <w:fldChar w:fldCharType="end"/>
      </w:r>
      <w:r w:rsidRPr="0013149A">
        <w:rPr>
          <w:rFonts w:ascii="Century Gothic" w:hAnsi="Century Gothic"/>
          <w:b w:val="0"/>
          <w:color w:val="auto"/>
          <w:sz w:val="22"/>
          <w:szCs w:val="22"/>
        </w:rPr>
        <w:t>. Proyectos de acuerdo sancionados en la vigencia 2017</w:t>
      </w:r>
      <w:bookmarkEnd w:id="52"/>
    </w:p>
    <w:tbl>
      <w:tblPr>
        <w:tblW w:w="5000" w:type="pct"/>
        <w:tblLayout w:type="fixed"/>
        <w:tblCellMar>
          <w:left w:w="70" w:type="dxa"/>
          <w:right w:w="70" w:type="dxa"/>
        </w:tblCellMar>
        <w:tblLook w:val="04A0" w:firstRow="1" w:lastRow="0" w:firstColumn="1" w:lastColumn="0" w:noHBand="0" w:noVBand="1"/>
      </w:tblPr>
      <w:tblGrid>
        <w:gridCol w:w="495"/>
        <w:gridCol w:w="7231"/>
        <w:gridCol w:w="1252"/>
      </w:tblGrid>
      <w:tr w:rsidR="00384866" w:rsidRPr="0013149A" w14:paraId="306A1485" w14:textId="77777777" w:rsidTr="00F9168A">
        <w:trPr>
          <w:trHeight w:val="421"/>
          <w:tblHeader/>
        </w:trPr>
        <w:tc>
          <w:tcPr>
            <w:tcW w:w="276"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531149FB" w14:textId="2E2ED926" w:rsidR="00384866" w:rsidRPr="0013149A" w:rsidRDefault="00384866" w:rsidP="009201E5">
            <w:pPr>
              <w:spacing w:after="0" w:line="240" w:lineRule="auto"/>
              <w:jc w:val="center"/>
              <w:rPr>
                <w:rFonts w:ascii="Century Gothic" w:eastAsia="Times New Roman" w:hAnsi="Century Gothic" w:cs="Calibri"/>
                <w:b/>
                <w:bCs/>
                <w:color w:val="000000"/>
                <w:sz w:val="20"/>
                <w:szCs w:val="20"/>
              </w:rPr>
            </w:pPr>
            <w:r w:rsidRPr="0013149A">
              <w:rPr>
                <w:rFonts w:ascii="Century Gothic" w:eastAsia="Times New Roman" w:hAnsi="Century Gothic" w:cs="Calibri"/>
                <w:b/>
                <w:bCs/>
                <w:color w:val="000000"/>
                <w:sz w:val="20"/>
                <w:szCs w:val="20"/>
              </w:rPr>
              <w:t>No</w:t>
            </w:r>
            <w:r w:rsidR="00704887" w:rsidRPr="0013149A">
              <w:rPr>
                <w:rFonts w:ascii="Century Gothic" w:eastAsia="Times New Roman" w:hAnsi="Century Gothic" w:cs="Calibri"/>
                <w:b/>
                <w:bCs/>
                <w:color w:val="000000"/>
                <w:sz w:val="20"/>
                <w:szCs w:val="20"/>
              </w:rPr>
              <w:t>.</w:t>
            </w:r>
          </w:p>
        </w:tc>
        <w:tc>
          <w:tcPr>
            <w:tcW w:w="402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5950156C" w14:textId="77777777" w:rsidR="00384866" w:rsidRPr="0013149A" w:rsidRDefault="00384866" w:rsidP="0013149A">
            <w:pPr>
              <w:spacing w:after="0" w:line="240" w:lineRule="auto"/>
              <w:jc w:val="center"/>
              <w:rPr>
                <w:rFonts w:ascii="Century Gothic" w:eastAsia="Times New Roman" w:hAnsi="Century Gothic" w:cs="Calibri"/>
                <w:b/>
                <w:bCs/>
                <w:color w:val="000000"/>
                <w:sz w:val="20"/>
                <w:szCs w:val="20"/>
              </w:rPr>
            </w:pPr>
            <w:r w:rsidRPr="0013149A">
              <w:rPr>
                <w:rFonts w:ascii="Century Gothic" w:eastAsia="Times New Roman" w:hAnsi="Century Gothic" w:cs="Calibri"/>
                <w:b/>
                <w:bCs/>
                <w:color w:val="000000"/>
                <w:sz w:val="20"/>
                <w:szCs w:val="20"/>
              </w:rPr>
              <w:t>Epígrafe</w:t>
            </w:r>
          </w:p>
        </w:tc>
        <w:tc>
          <w:tcPr>
            <w:tcW w:w="69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7052B802" w14:textId="77777777" w:rsidR="00384866" w:rsidRPr="0013149A" w:rsidRDefault="00384866" w:rsidP="00EF6FAB">
            <w:pPr>
              <w:spacing w:after="0" w:line="240" w:lineRule="auto"/>
              <w:jc w:val="center"/>
              <w:rPr>
                <w:rFonts w:ascii="Century Gothic" w:eastAsia="Times New Roman" w:hAnsi="Century Gothic" w:cs="Calibri"/>
                <w:b/>
                <w:bCs/>
                <w:color w:val="000000"/>
                <w:sz w:val="20"/>
                <w:szCs w:val="20"/>
              </w:rPr>
            </w:pPr>
            <w:r w:rsidRPr="0013149A">
              <w:rPr>
                <w:rFonts w:ascii="Century Gothic" w:eastAsia="Times New Roman" w:hAnsi="Century Gothic" w:cs="Calibri"/>
                <w:b/>
                <w:bCs/>
                <w:color w:val="000000"/>
                <w:sz w:val="20"/>
                <w:szCs w:val="20"/>
              </w:rPr>
              <w:t>Iniciativa</w:t>
            </w:r>
          </w:p>
        </w:tc>
      </w:tr>
      <w:tr w:rsidR="00384866" w:rsidRPr="0013149A" w14:paraId="14FFF932"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0A20C74" w14:textId="77777777" w:rsidR="00384866" w:rsidRPr="0013149A" w:rsidRDefault="00384866" w:rsidP="00384866">
            <w:pPr>
              <w:spacing w:after="0" w:line="240" w:lineRule="auto"/>
              <w:jc w:val="center"/>
              <w:rPr>
                <w:rFonts w:ascii="Century Gothic" w:eastAsia="Times New Roman" w:hAnsi="Century Gothic" w:cs="Calibri"/>
                <w:color w:val="000000"/>
                <w:sz w:val="20"/>
                <w:szCs w:val="20"/>
              </w:rPr>
            </w:pPr>
            <w:r w:rsidRPr="0013149A">
              <w:rPr>
                <w:rFonts w:ascii="Century Gothic" w:eastAsia="Times New Roman" w:hAnsi="Century Gothic" w:cs="Calibri"/>
                <w:color w:val="000000"/>
                <w:sz w:val="20"/>
                <w:szCs w:val="20"/>
              </w:rPr>
              <w:t>1</w:t>
            </w:r>
          </w:p>
        </w:tc>
        <w:tc>
          <w:tcPr>
            <w:tcW w:w="4027" w:type="pct"/>
            <w:tcBorders>
              <w:top w:val="nil"/>
              <w:left w:val="nil"/>
              <w:bottom w:val="single" w:sz="4" w:space="0" w:color="auto"/>
              <w:right w:val="single" w:sz="4" w:space="0" w:color="auto"/>
            </w:tcBorders>
            <w:shd w:val="clear" w:color="auto" w:fill="auto"/>
            <w:vAlign w:val="bottom"/>
            <w:hideMark/>
          </w:tcPr>
          <w:p w14:paraId="13C4ABB0" w14:textId="0C5EE660" w:rsidR="00384866" w:rsidRPr="0013149A" w:rsidRDefault="009201E5" w:rsidP="0013149A">
            <w:pPr>
              <w:spacing w:after="0" w:line="240" w:lineRule="auto"/>
              <w:jc w:val="both"/>
              <w:rPr>
                <w:rFonts w:ascii="Century Gothic" w:eastAsia="Times New Roman" w:hAnsi="Century Gothic" w:cs="Arial"/>
                <w:color w:val="000000"/>
                <w:sz w:val="20"/>
                <w:szCs w:val="20"/>
              </w:rPr>
            </w:pPr>
            <w:r w:rsidRPr="0013149A">
              <w:rPr>
                <w:rFonts w:ascii="Century Gothic" w:eastAsia="Times New Roman" w:hAnsi="Century Gothic" w:cs="Arial"/>
                <w:color w:val="000000"/>
                <w:sz w:val="20"/>
                <w:szCs w:val="20"/>
              </w:rPr>
              <w:t>S</w:t>
            </w:r>
            <w:r w:rsidR="00384866" w:rsidRPr="0013149A">
              <w:rPr>
                <w:rFonts w:ascii="Century Gothic" w:eastAsia="Times New Roman" w:hAnsi="Century Gothic" w:cs="Arial"/>
                <w:color w:val="000000"/>
                <w:sz w:val="20"/>
                <w:szCs w:val="20"/>
              </w:rPr>
              <w:t>e autoriza al ejecutivo Municipal para contratar el mantenimiento y rehabilitación de vías urbanas en el municipio de Pasto – 2017 fase 1</w:t>
            </w:r>
          </w:p>
        </w:tc>
        <w:tc>
          <w:tcPr>
            <w:tcW w:w="697" w:type="pct"/>
            <w:tcBorders>
              <w:top w:val="nil"/>
              <w:left w:val="nil"/>
              <w:bottom w:val="single" w:sz="4" w:space="0" w:color="auto"/>
              <w:right w:val="single" w:sz="4" w:space="0" w:color="auto"/>
            </w:tcBorders>
            <w:shd w:val="clear" w:color="auto" w:fill="auto"/>
            <w:noWrap/>
            <w:vAlign w:val="center"/>
            <w:hideMark/>
          </w:tcPr>
          <w:p w14:paraId="7AFB47D7" w14:textId="77777777" w:rsidR="00384866" w:rsidRPr="0013149A" w:rsidRDefault="00384866" w:rsidP="00EF6FAB">
            <w:pPr>
              <w:spacing w:after="0" w:line="240" w:lineRule="auto"/>
              <w:rPr>
                <w:rFonts w:ascii="Century Gothic" w:eastAsia="Times New Roman" w:hAnsi="Century Gothic" w:cs="Calibri"/>
                <w:color w:val="000000"/>
                <w:sz w:val="20"/>
                <w:szCs w:val="20"/>
              </w:rPr>
            </w:pPr>
            <w:r w:rsidRPr="0013149A">
              <w:rPr>
                <w:rFonts w:ascii="Century Gothic" w:eastAsia="Times New Roman" w:hAnsi="Century Gothic" w:cs="Calibri"/>
                <w:color w:val="000000"/>
                <w:sz w:val="20"/>
                <w:szCs w:val="20"/>
              </w:rPr>
              <w:t>Alcalde</w:t>
            </w:r>
          </w:p>
        </w:tc>
      </w:tr>
      <w:tr w:rsidR="00384866" w:rsidRPr="0013149A" w14:paraId="413A3861"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B07B0D5" w14:textId="77777777" w:rsidR="00384866" w:rsidRPr="0013149A" w:rsidRDefault="00384866" w:rsidP="00384866">
            <w:pPr>
              <w:spacing w:after="0" w:line="240" w:lineRule="auto"/>
              <w:jc w:val="center"/>
              <w:rPr>
                <w:rFonts w:ascii="Century Gothic" w:eastAsia="Times New Roman" w:hAnsi="Century Gothic" w:cs="Calibri"/>
                <w:color w:val="000000"/>
                <w:sz w:val="20"/>
                <w:szCs w:val="20"/>
              </w:rPr>
            </w:pPr>
            <w:r w:rsidRPr="0013149A">
              <w:rPr>
                <w:rFonts w:ascii="Century Gothic" w:eastAsia="Times New Roman" w:hAnsi="Century Gothic" w:cs="Calibri"/>
                <w:color w:val="000000"/>
                <w:sz w:val="20"/>
                <w:szCs w:val="20"/>
              </w:rPr>
              <w:t>2</w:t>
            </w:r>
          </w:p>
        </w:tc>
        <w:tc>
          <w:tcPr>
            <w:tcW w:w="4027" w:type="pct"/>
            <w:tcBorders>
              <w:top w:val="nil"/>
              <w:left w:val="nil"/>
              <w:bottom w:val="single" w:sz="4" w:space="0" w:color="auto"/>
              <w:right w:val="single" w:sz="4" w:space="0" w:color="auto"/>
            </w:tcBorders>
            <w:shd w:val="clear" w:color="auto" w:fill="auto"/>
            <w:vAlign w:val="bottom"/>
            <w:hideMark/>
          </w:tcPr>
          <w:p w14:paraId="3117A1AA" w14:textId="2C201B58" w:rsidR="00384866" w:rsidRPr="0013149A" w:rsidRDefault="009201E5" w:rsidP="0013149A">
            <w:pPr>
              <w:spacing w:after="0" w:line="240" w:lineRule="auto"/>
              <w:jc w:val="both"/>
              <w:rPr>
                <w:rFonts w:ascii="Century Gothic" w:eastAsia="Times New Roman" w:hAnsi="Century Gothic" w:cs="Arial"/>
                <w:color w:val="000000"/>
                <w:sz w:val="20"/>
                <w:szCs w:val="20"/>
              </w:rPr>
            </w:pPr>
            <w:r w:rsidRPr="0013149A">
              <w:rPr>
                <w:rFonts w:ascii="Century Gothic" w:eastAsia="Times New Roman" w:hAnsi="Century Gothic" w:cs="Arial"/>
                <w:color w:val="000000"/>
                <w:sz w:val="20"/>
                <w:szCs w:val="20"/>
              </w:rPr>
              <w:t>S</w:t>
            </w:r>
            <w:r w:rsidR="00384866" w:rsidRPr="0013149A">
              <w:rPr>
                <w:rFonts w:ascii="Century Gothic" w:eastAsia="Times New Roman" w:hAnsi="Century Gothic" w:cs="Arial"/>
                <w:color w:val="000000"/>
                <w:sz w:val="20"/>
                <w:szCs w:val="20"/>
              </w:rPr>
              <w:t>e autoriza al ejecutivo Municipal para celebrar contratos para la prestación del servicio público educativo del Decreto 1851 de 2015</w:t>
            </w:r>
          </w:p>
        </w:tc>
        <w:tc>
          <w:tcPr>
            <w:tcW w:w="697" w:type="pct"/>
            <w:tcBorders>
              <w:top w:val="nil"/>
              <w:left w:val="nil"/>
              <w:bottom w:val="single" w:sz="4" w:space="0" w:color="auto"/>
              <w:right w:val="single" w:sz="4" w:space="0" w:color="auto"/>
            </w:tcBorders>
            <w:shd w:val="clear" w:color="auto" w:fill="auto"/>
            <w:noWrap/>
            <w:vAlign w:val="center"/>
            <w:hideMark/>
          </w:tcPr>
          <w:p w14:paraId="72A1B8C4" w14:textId="77777777" w:rsidR="00384866" w:rsidRPr="0013149A" w:rsidRDefault="00384866" w:rsidP="00EF6FAB">
            <w:pPr>
              <w:spacing w:after="0" w:line="240" w:lineRule="auto"/>
              <w:rPr>
                <w:rFonts w:ascii="Century Gothic" w:eastAsia="Times New Roman" w:hAnsi="Century Gothic" w:cs="Calibri"/>
                <w:color w:val="000000"/>
                <w:sz w:val="20"/>
                <w:szCs w:val="20"/>
              </w:rPr>
            </w:pPr>
            <w:r w:rsidRPr="0013149A">
              <w:rPr>
                <w:rFonts w:ascii="Century Gothic" w:eastAsia="Times New Roman" w:hAnsi="Century Gothic" w:cs="Calibri"/>
                <w:color w:val="000000"/>
                <w:sz w:val="20"/>
                <w:szCs w:val="20"/>
              </w:rPr>
              <w:t>Alcalde</w:t>
            </w:r>
          </w:p>
        </w:tc>
      </w:tr>
      <w:tr w:rsidR="00384866" w:rsidRPr="009201E5" w14:paraId="0451527B"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191C0C5"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w:t>
            </w:r>
          </w:p>
        </w:tc>
        <w:tc>
          <w:tcPr>
            <w:tcW w:w="4027" w:type="pct"/>
            <w:tcBorders>
              <w:top w:val="nil"/>
              <w:left w:val="nil"/>
              <w:bottom w:val="single" w:sz="4" w:space="0" w:color="auto"/>
              <w:right w:val="single" w:sz="4" w:space="0" w:color="auto"/>
            </w:tcBorders>
            <w:shd w:val="clear" w:color="auto" w:fill="auto"/>
            <w:vAlign w:val="bottom"/>
            <w:hideMark/>
          </w:tcPr>
          <w:p w14:paraId="7F9D361B" w14:textId="54C55FBD"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Gerente de la “Unidad Administrativa Especial del Sistema Estratégico de </w:t>
            </w:r>
            <w:r w:rsidR="00E74966" w:rsidRPr="009201E5">
              <w:rPr>
                <w:rFonts w:ascii="Century Gothic" w:eastAsia="Times New Roman" w:hAnsi="Century Gothic" w:cs="Arial"/>
                <w:color w:val="000000"/>
                <w:sz w:val="20"/>
                <w:szCs w:val="20"/>
              </w:rPr>
              <w:t>Transporte P</w:t>
            </w:r>
            <w:r w:rsidR="00E74966">
              <w:rPr>
                <w:rFonts w:ascii="Century Gothic" w:eastAsia="Times New Roman" w:hAnsi="Century Gothic" w:cs="Arial"/>
                <w:color w:val="000000"/>
                <w:sz w:val="20"/>
                <w:szCs w:val="20"/>
              </w:rPr>
              <w:t>ú</w:t>
            </w:r>
            <w:r w:rsidR="00E74966" w:rsidRPr="009201E5">
              <w:rPr>
                <w:rFonts w:ascii="Century Gothic" w:eastAsia="Times New Roman" w:hAnsi="Century Gothic" w:cs="Arial"/>
                <w:color w:val="000000"/>
                <w:sz w:val="20"/>
                <w:szCs w:val="20"/>
              </w:rPr>
              <w:t xml:space="preserve">blico </w:t>
            </w:r>
            <w:r w:rsidR="00384866" w:rsidRPr="009201E5">
              <w:rPr>
                <w:rFonts w:ascii="Century Gothic" w:eastAsia="Times New Roman" w:hAnsi="Century Gothic" w:cs="Arial"/>
                <w:color w:val="000000"/>
                <w:sz w:val="20"/>
                <w:szCs w:val="20"/>
              </w:rPr>
              <w:t xml:space="preserve">UAE </w:t>
            </w:r>
            <w:r w:rsidR="00B5595A">
              <w:rPr>
                <w:rFonts w:ascii="Century Gothic" w:eastAsia="Times New Roman" w:hAnsi="Century Gothic" w:cs="Arial"/>
                <w:color w:val="000000"/>
                <w:sz w:val="20"/>
                <w:szCs w:val="20"/>
              </w:rPr>
              <w:t>–</w:t>
            </w:r>
            <w:r w:rsidR="00384866" w:rsidRPr="009201E5">
              <w:rPr>
                <w:rFonts w:ascii="Century Gothic" w:eastAsia="Times New Roman" w:hAnsi="Century Gothic" w:cs="Arial"/>
                <w:color w:val="000000"/>
                <w:sz w:val="20"/>
                <w:szCs w:val="20"/>
              </w:rPr>
              <w:t xml:space="preserve"> SETP” para comprometer vigencias futuras ordinarias</w:t>
            </w:r>
          </w:p>
        </w:tc>
        <w:tc>
          <w:tcPr>
            <w:tcW w:w="697" w:type="pct"/>
            <w:tcBorders>
              <w:top w:val="nil"/>
              <w:left w:val="nil"/>
              <w:bottom w:val="single" w:sz="4" w:space="0" w:color="auto"/>
              <w:right w:val="single" w:sz="4" w:space="0" w:color="auto"/>
            </w:tcBorders>
            <w:shd w:val="clear" w:color="auto" w:fill="auto"/>
            <w:noWrap/>
            <w:vAlign w:val="center"/>
            <w:hideMark/>
          </w:tcPr>
          <w:p w14:paraId="4D31A344"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0E7DF93"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ED5E5F1"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w:t>
            </w:r>
          </w:p>
        </w:tc>
        <w:tc>
          <w:tcPr>
            <w:tcW w:w="4027" w:type="pct"/>
            <w:tcBorders>
              <w:top w:val="nil"/>
              <w:left w:val="nil"/>
              <w:bottom w:val="single" w:sz="4" w:space="0" w:color="auto"/>
              <w:right w:val="single" w:sz="4" w:space="0" w:color="auto"/>
            </w:tcBorders>
            <w:shd w:val="clear" w:color="auto" w:fill="auto"/>
            <w:vAlign w:val="bottom"/>
            <w:hideMark/>
          </w:tcPr>
          <w:p w14:paraId="2EE31D4D" w14:textId="64580924"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señala los casos en que el Alcalde requiere autorización previa del Concejo para contratar, se reglamenta estas autorizaciones y se deroga los </w:t>
            </w:r>
            <w:r w:rsidR="00E74966" w:rsidRPr="009201E5">
              <w:rPr>
                <w:rFonts w:ascii="Century Gothic" w:eastAsia="Times New Roman" w:hAnsi="Century Gothic" w:cs="Arial"/>
                <w:color w:val="000000"/>
                <w:sz w:val="20"/>
                <w:szCs w:val="20"/>
              </w:rPr>
              <w:t xml:space="preserve">Acuerdos </w:t>
            </w:r>
            <w:r w:rsidR="00384866" w:rsidRPr="009201E5">
              <w:rPr>
                <w:rFonts w:ascii="Century Gothic" w:eastAsia="Times New Roman" w:hAnsi="Century Gothic" w:cs="Arial"/>
                <w:color w:val="000000"/>
                <w:sz w:val="20"/>
                <w:szCs w:val="20"/>
              </w:rPr>
              <w:t>020 de 2008 y 033 de 2012</w:t>
            </w:r>
          </w:p>
        </w:tc>
        <w:tc>
          <w:tcPr>
            <w:tcW w:w="697" w:type="pct"/>
            <w:tcBorders>
              <w:top w:val="nil"/>
              <w:left w:val="nil"/>
              <w:bottom w:val="single" w:sz="4" w:space="0" w:color="auto"/>
              <w:right w:val="single" w:sz="4" w:space="0" w:color="auto"/>
            </w:tcBorders>
            <w:shd w:val="clear" w:color="auto" w:fill="auto"/>
            <w:noWrap/>
            <w:vAlign w:val="center"/>
            <w:hideMark/>
          </w:tcPr>
          <w:p w14:paraId="59E7E924"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54C82327"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A78C78B"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5</w:t>
            </w:r>
          </w:p>
        </w:tc>
        <w:tc>
          <w:tcPr>
            <w:tcW w:w="4027" w:type="pct"/>
            <w:tcBorders>
              <w:top w:val="nil"/>
              <w:left w:val="nil"/>
              <w:bottom w:val="single" w:sz="4" w:space="0" w:color="auto"/>
              <w:right w:val="single" w:sz="4" w:space="0" w:color="auto"/>
            </w:tcBorders>
            <w:shd w:val="clear" w:color="auto" w:fill="auto"/>
            <w:vAlign w:val="bottom"/>
            <w:hideMark/>
          </w:tcPr>
          <w:p w14:paraId="168C01BB" w14:textId="3D8C38D8"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adoptan las condiciones especiales de</w:t>
            </w:r>
            <w:r w:rsidR="00E74966">
              <w:rPr>
                <w:rFonts w:ascii="Century Gothic" w:eastAsia="Times New Roman" w:hAnsi="Century Gothic" w:cs="Arial"/>
                <w:color w:val="000000"/>
                <w:sz w:val="20"/>
                <w:szCs w:val="20"/>
              </w:rPr>
              <w:t xml:space="preserve"> pago en sanciones e intereses </w:t>
            </w:r>
            <w:r w:rsidR="00384866" w:rsidRPr="009201E5">
              <w:rPr>
                <w:rFonts w:ascii="Century Gothic" w:eastAsia="Times New Roman" w:hAnsi="Century Gothic" w:cs="Arial"/>
                <w:color w:val="000000"/>
                <w:sz w:val="20"/>
                <w:szCs w:val="20"/>
              </w:rPr>
              <w:t>de imp</w:t>
            </w:r>
            <w:r w:rsidR="00E74966">
              <w:rPr>
                <w:rFonts w:ascii="Century Gothic" w:eastAsia="Times New Roman" w:hAnsi="Century Gothic" w:cs="Arial"/>
                <w:color w:val="000000"/>
                <w:sz w:val="20"/>
                <w:szCs w:val="20"/>
              </w:rPr>
              <w:t xml:space="preserve">uestos, tasas y contribuciones </w:t>
            </w:r>
            <w:r w:rsidR="00384866" w:rsidRPr="009201E5">
              <w:rPr>
                <w:rFonts w:ascii="Century Gothic" w:eastAsia="Times New Roman" w:hAnsi="Century Gothic" w:cs="Arial"/>
                <w:color w:val="000000"/>
                <w:sz w:val="20"/>
                <w:szCs w:val="20"/>
              </w:rPr>
              <w:t xml:space="preserve">del municipio de Pasto de conformidad con lo establecido en el Artículo 356 de la </w:t>
            </w:r>
            <w:r w:rsidR="00E74966" w:rsidRPr="009201E5">
              <w:rPr>
                <w:rFonts w:ascii="Century Gothic" w:eastAsia="Times New Roman" w:hAnsi="Century Gothic" w:cs="Arial"/>
                <w:color w:val="000000"/>
                <w:sz w:val="20"/>
                <w:szCs w:val="20"/>
              </w:rPr>
              <w:t xml:space="preserve">Ley </w:t>
            </w:r>
            <w:r w:rsidR="00384866" w:rsidRPr="009201E5">
              <w:rPr>
                <w:rFonts w:ascii="Century Gothic" w:eastAsia="Times New Roman" w:hAnsi="Century Gothic" w:cs="Arial"/>
                <w:color w:val="000000"/>
                <w:sz w:val="20"/>
                <w:szCs w:val="20"/>
              </w:rPr>
              <w:t>1819 del 29 de diciembre de 2016</w:t>
            </w:r>
          </w:p>
        </w:tc>
        <w:tc>
          <w:tcPr>
            <w:tcW w:w="697" w:type="pct"/>
            <w:tcBorders>
              <w:top w:val="nil"/>
              <w:left w:val="nil"/>
              <w:bottom w:val="single" w:sz="4" w:space="0" w:color="auto"/>
              <w:right w:val="single" w:sz="4" w:space="0" w:color="auto"/>
            </w:tcBorders>
            <w:shd w:val="clear" w:color="auto" w:fill="auto"/>
            <w:noWrap/>
            <w:vAlign w:val="center"/>
            <w:hideMark/>
          </w:tcPr>
          <w:p w14:paraId="142B1B6F"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4D652F2"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1CF960FE"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6</w:t>
            </w:r>
          </w:p>
        </w:tc>
        <w:tc>
          <w:tcPr>
            <w:tcW w:w="4027" w:type="pct"/>
            <w:tcBorders>
              <w:top w:val="nil"/>
              <w:left w:val="nil"/>
              <w:bottom w:val="single" w:sz="4" w:space="0" w:color="auto"/>
              <w:right w:val="single" w:sz="4" w:space="0" w:color="auto"/>
            </w:tcBorders>
            <w:shd w:val="clear" w:color="auto" w:fill="auto"/>
            <w:vAlign w:val="bottom"/>
            <w:hideMark/>
          </w:tcPr>
          <w:p w14:paraId="260AB13D" w14:textId="4F9A8BA0"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presupuesto de rentas e ingresos y de gastos e inversiones del municipio 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033E3726"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5CCC2DB6"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2D38D2DA"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7</w:t>
            </w:r>
          </w:p>
        </w:tc>
        <w:tc>
          <w:tcPr>
            <w:tcW w:w="4027" w:type="pct"/>
            <w:tcBorders>
              <w:top w:val="nil"/>
              <w:left w:val="nil"/>
              <w:bottom w:val="single" w:sz="4" w:space="0" w:color="auto"/>
              <w:right w:val="single" w:sz="4" w:space="0" w:color="auto"/>
            </w:tcBorders>
            <w:shd w:val="clear" w:color="auto" w:fill="auto"/>
            <w:vAlign w:val="bottom"/>
            <w:hideMark/>
          </w:tcPr>
          <w:p w14:paraId="77FDC3DD" w14:textId="0C9573B3"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deroga el </w:t>
            </w:r>
            <w:r w:rsidR="00E74966" w:rsidRPr="009201E5">
              <w:rPr>
                <w:rFonts w:ascii="Century Gothic" w:eastAsia="Times New Roman" w:hAnsi="Century Gothic" w:cs="Arial"/>
                <w:color w:val="000000"/>
                <w:sz w:val="20"/>
                <w:szCs w:val="20"/>
              </w:rPr>
              <w:t xml:space="preserve">Acuerdo </w:t>
            </w:r>
            <w:r w:rsidR="00384866" w:rsidRPr="009201E5">
              <w:rPr>
                <w:rFonts w:ascii="Century Gothic" w:eastAsia="Times New Roman" w:hAnsi="Century Gothic" w:cs="Arial"/>
                <w:color w:val="000000"/>
                <w:sz w:val="20"/>
                <w:szCs w:val="20"/>
              </w:rPr>
              <w:t xml:space="preserve">017 de 2013, se crea e implementa el </w:t>
            </w:r>
            <w:r w:rsidR="00E74966" w:rsidRPr="009201E5">
              <w:rPr>
                <w:rFonts w:ascii="Century Gothic" w:eastAsia="Times New Roman" w:hAnsi="Century Gothic" w:cs="Arial"/>
                <w:color w:val="000000"/>
                <w:sz w:val="20"/>
                <w:szCs w:val="20"/>
              </w:rPr>
              <w:t xml:space="preserve">Centro </w:t>
            </w:r>
            <w:r w:rsidR="00384866" w:rsidRPr="009201E5">
              <w:rPr>
                <w:rFonts w:ascii="Century Gothic" w:eastAsia="Times New Roman" w:hAnsi="Century Gothic" w:cs="Arial"/>
                <w:color w:val="000000"/>
                <w:sz w:val="20"/>
                <w:szCs w:val="20"/>
              </w:rPr>
              <w:t xml:space="preserve">de </w:t>
            </w:r>
            <w:r w:rsidR="00E74966" w:rsidRPr="009201E5">
              <w:rPr>
                <w:rFonts w:ascii="Century Gothic" w:eastAsia="Times New Roman" w:hAnsi="Century Gothic" w:cs="Arial"/>
                <w:color w:val="000000"/>
                <w:sz w:val="20"/>
                <w:szCs w:val="20"/>
              </w:rPr>
              <w:t xml:space="preserve">Traslado </w:t>
            </w:r>
            <w:r w:rsidR="00384866" w:rsidRPr="009201E5">
              <w:rPr>
                <w:rFonts w:ascii="Century Gothic" w:eastAsia="Times New Roman" w:hAnsi="Century Gothic" w:cs="Arial"/>
                <w:color w:val="000000"/>
                <w:sz w:val="20"/>
                <w:szCs w:val="20"/>
              </w:rPr>
              <w:t xml:space="preserve">por </w:t>
            </w:r>
            <w:r w:rsidR="00E74966" w:rsidRPr="009201E5">
              <w:rPr>
                <w:rFonts w:ascii="Century Gothic" w:eastAsia="Times New Roman" w:hAnsi="Century Gothic" w:cs="Arial"/>
                <w:color w:val="000000"/>
                <w:sz w:val="20"/>
                <w:szCs w:val="20"/>
              </w:rPr>
              <w:t xml:space="preserve">Protección </w:t>
            </w:r>
            <w:r w:rsidR="00384866" w:rsidRPr="009201E5">
              <w:rPr>
                <w:rFonts w:ascii="Century Gothic" w:eastAsia="Times New Roman" w:hAnsi="Century Gothic" w:cs="Arial"/>
                <w:color w:val="000000"/>
                <w:sz w:val="20"/>
                <w:szCs w:val="20"/>
              </w:rPr>
              <w:t>- CTP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5D4FE334"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15C917ED"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20028792"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8</w:t>
            </w:r>
          </w:p>
        </w:tc>
        <w:tc>
          <w:tcPr>
            <w:tcW w:w="4027" w:type="pct"/>
            <w:tcBorders>
              <w:top w:val="nil"/>
              <w:left w:val="nil"/>
              <w:bottom w:val="single" w:sz="4" w:space="0" w:color="auto"/>
              <w:right w:val="single" w:sz="4" w:space="0" w:color="auto"/>
            </w:tcBorders>
            <w:shd w:val="clear" w:color="auto" w:fill="auto"/>
            <w:vAlign w:val="bottom"/>
            <w:hideMark/>
          </w:tcPr>
          <w:p w14:paraId="1C17A776" w14:textId="14F1BF50"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fija la escala de remuneraciones de la </w:t>
            </w:r>
            <w:r w:rsidR="00E74966" w:rsidRPr="009201E5">
              <w:rPr>
                <w:rFonts w:ascii="Century Gothic" w:eastAsia="Times New Roman" w:hAnsi="Century Gothic" w:cs="Arial"/>
                <w:color w:val="000000"/>
                <w:sz w:val="20"/>
                <w:szCs w:val="20"/>
              </w:rPr>
              <w:t xml:space="preserve">Personería municipal </w:t>
            </w:r>
            <w:r w:rsidR="00384866" w:rsidRPr="009201E5">
              <w:rPr>
                <w:rFonts w:ascii="Century Gothic" w:eastAsia="Times New Roman" w:hAnsi="Century Gothic" w:cs="Arial"/>
                <w:color w:val="000000"/>
                <w:sz w:val="20"/>
                <w:szCs w:val="20"/>
              </w:rPr>
              <w:t>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52800EEA"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Personería Municipal</w:t>
            </w:r>
          </w:p>
        </w:tc>
      </w:tr>
      <w:tr w:rsidR="00384866" w:rsidRPr="009201E5" w14:paraId="21E86C83"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5EA7AEAC"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9</w:t>
            </w:r>
          </w:p>
        </w:tc>
        <w:tc>
          <w:tcPr>
            <w:tcW w:w="4027" w:type="pct"/>
            <w:tcBorders>
              <w:top w:val="nil"/>
              <w:left w:val="nil"/>
              <w:bottom w:val="single" w:sz="4" w:space="0" w:color="auto"/>
              <w:right w:val="single" w:sz="4" w:space="0" w:color="auto"/>
            </w:tcBorders>
            <w:shd w:val="clear" w:color="auto" w:fill="auto"/>
            <w:vAlign w:val="bottom"/>
            <w:hideMark/>
          </w:tcPr>
          <w:p w14:paraId="61E4D293" w14:textId="5A4573DB"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fija la escala salarial para los diferentes empleos de la planta de personal de la </w:t>
            </w:r>
            <w:r w:rsidR="00E74966" w:rsidRPr="009201E5">
              <w:rPr>
                <w:rFonts w:ascii="Century Gothic" w:eastAsia="Times New Roman" w:hAnsi="Century Gothic" w:cs="Arial"/>
                <w:color w:val="000000"/>
                <w:sz w:val="20"/>
                <w:szCs w:val="20"/>
              </w:rPr>
              <w:t xml:space="preserve">Contraloría Municipal </w:t>
            </w:r>
            <w:r w:rsidR="00384866" w:rsidRPr="009201E5">
              <w:rPr>
                <w:rFonts w:ascii="Century Gothic" w:eastAsia="Times New Roman" w:hAnsi="Century Gothic" w:cs="Arial"/>
                <w:color w:val="000000"/>
                <w:sz w:val="20"/>
                <w:szCs w:val="20"/>
              </w:rPr>
              <w:t>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226F464B" w14:textId="3D4C3C72"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Contralor</w:t>
            </w:r>
            <w:r w:rsidR="00E74966">
              <w:rPr>
                <w:rFonts w:ascii="Century Gothic" w:eastAsia="Times New Roman" w:hAnsi="Century Gothic" w:cs="Calibri"/>
                <w:color w:val="000000"/>
                <w:sz w:val="20"/>
                <w:szCs w:val="20"/>
              </w:rPr>
              <w:t>ía</w:t>
            </w:r>
            <w:r w:rsidRPr="009201E5">
              <w:rPr>
                <w:rFonts w:ascii="Century Gothic" w:eastAsia="Times New Roman" w:hAnsi="Century Gothic" w:cs="Calibri"/>
                <w:color w:val="000000"/>
                <w:sz w:val="20"/>
                <w:szCs w:val="20"/>
              </w:rPr>
              <w:t xml:space="preserve"> Municipal</w:t>
            </w:r>
          </w:p>
        </w:tc>
      </w:tr>
      <w:tr w:rsidR="00384866" w:rsidRPr="009201E5" w14:paraId="1C63BE80"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C979915"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lastRenderedPageBreak/>
              <w:t>10</w:t>
            </w:r>
          </w:p>
        </w:tc>
        <w:tc>
          <w:tcPr>
            <w:tcW w:w="4027" w:type="pct"/>
            <w:tcBorders>
              <w:top w:val="nil"/>
              <w:left w:val="nil"/>
              <w:bottom w:val="single" w:sz="4" w:space="0" w:color="auto"/>
              <w:right w:val="single" w:sz="4" w:space="0" w:color="auto"/>
            </w:tcBorders>
            <w:shd w:val="clear" w:color="auto" w:fill="auto"/>
            <w:vAlign w:val="bottom"/>
            <w:hideMark/>
          </w:tcPr>
          <w:p w14:paraId="0ED89D03" w14:textId="39775734"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fija la escala salarial para los diferentes empleos de la planta de personal del nivel central de la </w:t>
            </w:r>
            <w:r w:rsidR="00E74966" w:rsidRPr="009201E5">
              <w:rPr>
                <w:rFonts w:ascii="Century Gothic" w:eastAsia="Times New Roman" w:hAnsi="Century Gothic" w:cs="Arial"/>
                <w:color w:val="000000"/>
                <w:sz w:val="20"/>
                <w:szCs w:val="20"/>
              </w:rPr>
              <w:t xml:space="preserve">Alcaldía </w:t>
            </w:r>
            <w:r w:rsidR="00384866" w:rsidRPr="009201E5">
              <w:rPr>
                <w:rFonts w:ascii="Century Gothic" w:eastAsia="Times New Roman" w:hAnsi="Century Gothic" w:cs="Arial"/>
                <w:color w:val="000000"/>
                <w:sz w:val="20"/>
                <w:szCs w:val="20"/>
              </w:rPr>
              <w:t>municipal de Pasto, para la vigencia fiscal 2017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270C4299"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7196DC7A"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99002F3"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11</w:t>
            </w:r>
          </w:p>
        </w:tc>
        <w:tc>
          <w:tcPr>
            <w:tcW w:w="4027" w:type="pct"/>
            <w:tcBorders>
              <w:top w:val="nil"/>
              <w:left w:val="nil"/>
              <w:bottom w:val="single" w:sz="4" w:space="0" w:color="auto"/>
              <w:right w:val="single" w:sz="4" w:space="0" w:color="auto"/>
            </w:tcBorders>
            <w:shd w:val="clear" w:color="auto" w:fill="auto"/>
            <w:vAlign w:val="bottom"/>
            <w:hideMark/>
          </w:tcPr>
          <w:p w14:paraId="64CE04EF" w14:textId="486C614A"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w:t>
            </w:r>
            <w:r w:rsidRPr="009201E5">
              <w:rPr>
                <w:rFonts w:ascii="Century Gothic" w:eastAsia="Times New Roman" w:hAnsi="Century Gothic" w:cs="Arial"/>
                <w:color w:val="000000"/>
                <w:sz w:val="20"/>
                <w:szCs w:val="20"/>
              </w:rPr>
              <w:t xml:space="preserve">Alcalde </w:t>
            </w:r>
            <w:r w:rsidR="00384866" w:rsidRPr="009201E5">
              <w:rPr>
                <w:rFonts w:ascii="Century Gothic" w:eastAsia="Times New Roman" w:hAnsi="Century Gothic" w:cs="Arial"/>
                <w:color w:val="000000"/>
                <w:sz w:val="20"/>
                <w:szCs w:val="20"/>
              </w:rPr>
              <w:t xml:space="preserve">municipal de Pasto, para la legalización y escrituración de los locales de los </w:t>
            </w:r>
            <w:r w:rsidR="00E74966" w:rsidRPr="009201E5">
              <w:rPr>
                <w:rFonts w:ascii="Century Gothic" w:eastAsia="Times New Roman" w:hAnsi="Century Gothic" w:cs="Arial"/>
                <w:color w:val="000000"/>
                <w:sz w:val="20"/>
                <w:szCs w:val="20"/>
              </w:rPr>
              <w:t>Centros Comerciales La Merced</w:t>
            </w:r>
            <w:r w:rsidR="00384866" w:rsidRPr="009201E5">
              <w:rPr>
                <w:rFonts w:ascii="Century Gothic" w:eastAsia="Times New Roman" w:hAnsi="Century Gothic" w:cs="Arial"/>
                <w:color w:val="000000"/>
                <w:sz w:val="20"/>
                <w:szCs w:val="20"/>
              </w:rPr>
              <w:t xml:space="preserve">, </w:t>
            </w:r>
            <w:r w:rsidR="00E74966" w:rsidRPr="009201E5">
              <w:rPr>
                <w:rFonts w:ascii="Century Gothic" w:eastAsia="Times New Roman" w:hAnsi="Century Gothic" w:cs="Arial"/>
                <w:color w:val="000000"/>
                <w:sz w:val="20"/>
                <w:szCs w:val="20"/>
              </w:rPr>
              <w:t xml:space="preserve">Alcázar </w:t>
            </w:r>
            <w:r w:rsidR="00384866" w:rsidRPr="009201E5">
              <w:rPr>
                <w:rFonts w:ascii="Century Gothic" w:eastAsia="Times New Roman" w:hAnsi="Century Gothic" w:cs="Arial"/>
                <w:color w:val="000000"/>
                <w:sz w:val="20"/>
                <w:szCs w:val="20"/>
              </w:rPr>
              <w:t>y 20 de julio</w:t>
            </w:r>
          </w:p>
        </w:tc>
        <w:tc>
          <w:tcPr>
            <w:tcW w:w="697" w:type="pct"/>
            <w:tcBorders>
              <w:top w:val="nil"/>
              <w:left w:val="nil"/>
              <w:bottom w:val="single" w:sz="4" w:space="0" w:color="auto"/>
              <w:right w:val="single" w:sz="4" w:space="0" w:color="auto"/>
            </w:tcBorders>
            <w:shd w:val="clear" w:color="auto" w:fill="auto"/>
            <w:noWrap/>
            <w:vAlign w:val="center"/>
            <w:hideMark/>
          </w:tcPr>
          <w:p w14:paraId="4EA02ACD"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7EA5F11E"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39524A3"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12</w:t>
            </w:r>
          </w:p>
        </w:tc>
        <w:tc>
          <w:tcPr>
            <w:tcW w:w="4027" w:type="pct"/>
            <w:tcBorders>
              <w:top w:val="nil"/>
              <w:left w:val="nil"/>
              <w:bottom w:val="single" w:sz="4" w:space="0" w:color="auto"/>
              <w:right w:val="single" w:sz="4" w:space="0" w:color="auto"/>
            </w:tcBorders>
            <w:shd w:val="clear" w:color="auto" w:fill="auto"/>
            <w:vAlign w:val="bottom"/>
            <w:hideMark/>
          </w:tcPr>
          <w:p w14:paraId="4BAB65D8" w14:textId="45850963"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aprueba la aplicación del sistema de valorización para financiar parcialmente algunos componentes del Sistema Estratégico de Transporte Público – SETP de la ciudad de Pasto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096EE723"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7B7C62DA"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F201013"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13</w:t>
            </w:r>
          </w:p>
        </w:tc>
        <w:tc>
          <w:tcPr>
            <w:tcW w:w="4027" w:type="pct"/>
            <w:tcBorders>
              <w:top w:val="nil"/>
              <w:left w:val="nil"/>
              <w:bottom w:val="single" w:sz="4" w:space="0" w:color="auto"/>
              <w:right w:val="single" w:sz="4" w:space="0" w:color="auto"/>
            </w:tcBorders>
            <w:shd w:val="clear" w:color="auto" w:fill="auto"/>
            <w:vAlign w:val="bottom"/>
            <w:hideMark/>
          </w:tcPr>
          <w:p w14:paraId="4C156C43" w14:textId="40AE5E30"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w:t>
            </w:r>
            <w:r w:rsidR="00E74966" w:rsidRPr="009201E5">
              <w:rPr>
                <w:rFonts w:ascii="Century Gothic" w:eastAsia="Times New Roman" w:hAnsi="Century Gothic" w:cs="Arial"/>
                <w:color w:val="000000"/>
                <w:sz w:val="20"/>
                <w:szCs w:val="20"/>
              </w:rPr>
              <w:t xml:space="preserve">Alcalde </w:t>
            </w:r>
            <w:r w:rsidR="00384866" w:rsidRPr="009201E5">
              <w:rPr>
                <w:rFonts w:ascii="Century Gothic" w:eastAsia="Times New Roman" w:hAnsi="Century Gothic" w:cs="Arial"/>
                <w:color w:val="000000"/>
                <w:sz w:val="20"/>
                <w:szCs w:val="20"/>
              </w:rPr>
              <w:t>para comprometer cupo de vigencias futuras ordinarias para la vigencia 2018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6CE72B7E"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1E21986E"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DE93C8E"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14</w:t>
            </w:r>
          </w:p>
        </w:tc>
        <w:tc>
          <w:tcPr>
            <w:tcW w:w="4027" w:type="pct"/>
            <w:tcBorders>
              <w:top w:val="nil"/>
              <w:left w:val="nil"/>
              <w:bottom w:val="single" w:sz="4" w:space="0" w:color="auto"/>
              <w:right w:val="single" w:sz="4" w:space="0" w:color="auto"/>
            </w:tcBorders>
            <w:shd w:val="clear" w:color="auto" w:fill="auto"/>
            <w:vAlign w:val="bottom"/>
            <w:hideMark/>
          </w:tcPr>
          <w:p w14:paraId="27C4FB10" w14:textId="2E78D547"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Acuerdo número 040 del 29 de noviembre de 2016 que establece los porcentajes de subsidios y los factores de aportes solidario en los servicios públicos domiciliarios de acueducto y alcantarillado para el municipio de Pasto en el año 2017</w:t>
            </w:r>
          </w:p>
        </w:tc>
        <w:tc>
          <w:tcPr>
            <w:tcW w:w="697" w:type="pct"/>
            <w:tcBorders>
              <w:top w:val="nil"/>
              <w:left w:val="nil"/>
              <w:bottom w:val="single" w:sz="4" w:space="0" w:color="auto"/>
              <w:right w:val="single" w:sz="4" w:space="0" w:color="auto"/>
            </w:tcBorders>
            <w:shd w:val="clear" w:color="auto" w:fill="auto"/>
            <w:noWrap/>
            <w:vAlign w:val="center"/>
            <w:hideMark/>
          </w:tcPr>
          <w:p w14:paraId="4AE068CF"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DBEA6E9"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09E17587"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15</w:t>
            </w:r>
          </w:p>
        </w:tc>
        <w:tc>
          <w:tcPr>
            <w:tcW w:w="4027" w:type="pct"/>
            <w:tcBorders>
              <w:top w:val="nil"/>
              <w:left w:val="nil"/>
              <w:bottom w:val="single" w:sz="4" w:space="0" w:color="auto"/>
              <w:right w:val="single" w:sz="4" w:space="0" w:color="auto"/>
            </w:tcBorders>
            <w:shd w:val="clear" w:color="auto" w:fill="auto"/>
            <w:vAlign w:val="bottom"/>
            <w:hideMark/>
          </w:tcPr>
          <w:p w14:paraId="29666D0C" w14:textId="4FD1295B"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fija la escala salarial para los diferentes empleos de la planta de personal del </w:t>
            </w:r>
            <w:r w:rsidR="00E74966" w:rsidRPr="009201E5">
              <w:rPr>
                <w:rFonts w:ascii="Century Gothic" w:eastAsia="Times New Roman" w:hAnsi="Century Gothic" w:cs="Arial"/>
                <w:color w:val="000000"/>
                <w:sz w:val="20"/>
                <w:szCs w:val="20"/>
              </w:rPr>
              <w:t xml:space="preserve">Concejo municipal </w:t>
            </w:r>
            <w:r w:rsidR="00384866" w:rsidRPr="009201E5">
              <w:rPr>
                <w:rFonts w:ascii="Century Gothic" w:eastAsia="Times New Roman" w:hAnsi="Century Gothic" w:cs="Arial"/>
                <w:color w:val="000000"/>
                <w:sz w:val="20"/>
                <w:szCs w:val="20"/>
              </w:rPr>
              <w:t>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59723741" w14:textId="2981B557" w:rsidR="00384866" w:rsidRPr="009201E5" w:rsidRDefault="009201E5"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Concejo</w:t>
            </w:r>
            <w:r>
              <w:rPr>
                <w:rFonts w:ascii="Century Gothic" w:eastAsia="Times New Roman" w:hAnsi="Century Gothic" w:cs="Calibri"/>
                <w:color w:val="000000"/>
                <w:sz w:val="20"/>
                <w:szCs w:val="20"/>
              </w:rPr>
              <w:t xml:space="preserve"> Municipal</w:t>
            </w:r>
          </w:p>
        </w:tc>
      </w:tr>
      <w:tr w:rsidR="00384866" w:rsidRPr="009201E5" w14:paraId="7FDC3735"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615FA81"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16</w:t>
            </w:r>
          </w:p>
        </w:tc>
        <w:tc>
          <w:tcPr>
            <w:tcW w:w="4027" w:type="pct"/>
            <w:tcBorders>
              <w:top w:val="nil"/>
              <w:left w:val="nil"/>
              <w:bottom w:val="single" w:sz="4" w:space="0" w:color="auto"/>
              <w:right w:val="single" w:sz="4" w:space="0" w:color="auto"/>
            </w:tcBorders>
            <w:shd w:val="clear" w:color="auto" w:fill="auto"/>
            <w:vAlign w:val="bottom"/>
            <w:hideMark/>
          </w:tcPr>
          <w:p w14:paraId="74381A1A" w14:textId="46083491"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presupuesto de rentas e ingresos y de gastos e inversiones del municipio 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274E3F39"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567CA58D"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E3EF3BA"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17</w:t>
            </w:r>
          </w:p>
        </w:tc>
        <w:tc>
          <w:tcPr>
            <w:tcW w:w="4027" w:type="pct"/>
            <w:tcBorders>
              <w:top w:val="nil"/>
              <w:left w:val="nil"/>
              <w:bottom w:val="single" w:sz="4" w:space="0" w:color="auto"/>
              <w:right w:val="single" w:sz="4" w:space="0" w:color="auto"/>
            </w:tcBorders>
            <w:shd w:val="clear" w:color="auto" w:fill="auto"/>
            <w:vAlign w:val="bottom"/>
            <w:hideMark/>
          </w:tcPr>
          <w:p w14:paraId="1018E9A2" w14:textId="51646C0E"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determina como autoridad admi</w:t>
            </w:r>
            <w:r w:rsidR="00E74966">
              <w:rPr>
                <w:rFonts w:ascii="Century Gothic" w:eastAsia="Times New Roman" w:hAnsi="Century Gothic" w:cs="Arial"/>
                <w:color w:val="000000"/>
                <w:sz w:val="20"/>
                <w:szCs w:val="20"/>
              </w:rPr>
              <w:t xml:space="preserve">nistrativa especial de policía </w:t>
            </w:r>
            <w:r w:rsidR="00384866" w:rsidRPr="009201E5">
              <w:rPr>
                <w:rFonts w:ascii="Century Gothic" w:eastAsia="Times New Roman" w:hAnsi="Century Gothic" w:cs="Arial"/>
                <w:color w:val="000000"/>
                <w:sz w:val="20"/>
                <w:szCs w:val="20"/>
              </w:rPr>
              <w:t xml:space="preserve">a los </w:t>
            </w:r>
            <w:r w:rsidR="00F54387" w:rsidRPr="009201E5">
              <w:rPr>
                <w:rFonts w:ascii="Century Gothic" w:eastAsia="Times New Roman" w:hAnsi="Century Gothic" w:cs="Arial"/>
                <w:color w:val="000000"/>
                <w:sz w:val="20"/>
                <w:szCs w:val="20"/>
              </w:rPr>
              <w:t xml:space="preserve">Secretarios </w:t>
            </w:r>
            <w:r w:rsidR="00384866" w:rsidRPr="009201E5">
              <w:rPr>
                <w:rFonts w:ascii="Century Gothic" w:eastAsia="Times New Roman" w:hAnsi="Century Gothic" w:cs="Arial"/>
                <w:color w:val="000000"/>
                <w:sz w:val="20"/>
                <w:szCs w:val="20"/>
              </w:rPr>
              <w:t xml:space="preserve">de </w:t>
            </w:r>
            <w:r w:rsidR="00F54387" w:rsidRPr="009201E5">
              <w:rPr>
                <w:rFonts w:ascii="Century Gothic" w:eastAsia="Times New Roman" w:hAnsi="Century Gothic" w:cs="Arial"/>
                <w:color w:val="000000"/>
                <w:sz w:val="20"/>
                <w:szCs w:val="20"/>
              </w:rPr>
              <w:t>Gobierno</w:t>
            </w:r>
            <w:r w:rsidR="00384866" w:rsidRPr="009201E5">
              <w:rPr>
                <w:rFonts w:ascii="Century Gothic" w:eastAsia="Times New Roman" w:hAnsi="Century Gothic" w:cs="Arial"/>
                <w:color w:val="000000"/>
                <w:sz w:val="20"/>
                <w:szCs w:val="20"/>
              </w:rPr>
              <w:t xml:space="preserve">, de </w:t>
            </w:r>
            <w:r w:rsidR="00F54387" w:rsidRPr="009201E5">
              <w:rPr>
                <w:rFonts w:ascii="Century Gothic" w:eastAsia="Times New Roman" w:hAnsi="Century Gothic" w:cs="Arial"/>
                <w:color w:val="000000"/>
                <w:sz w:val="20"/>
                <w:szCs w:val="20"/>
              </w:rPr>
              <w:t xml:space="preserve">Salud </w:t>
            </w:r>
            <w:r w:rsidR="00384866" w:rsidRPr="009201E5">
              <w:rPr>
                <w:rFonts w:ascii="Century Gothic" w:eastAsia="Times New Roman" w:hAnsi="Century Gothic" w:cs="Arial"/>
                <w:color w:val="000000"/>
                <w:sz w:val="20"/>
                <w:szCs w:val="20"/>
              </w:rPr>
              <w:t xml:space="preserve">y de </w:t>
            </w:r>
            <w:r w:rsidR="00F54387" w:rsidRPr="009201E5">
              <w:rPr>
                <w:rFonts w:ascii="Century Gothic" w:eastAsia="Times New Roman" w:hAnsi="Century Gothic" w:cs="Arial"/>
                <w:color w:val="000000"/>
                <w:sz w:val="20"/>
                <w:szCs w:val="20"/>
              </w:rPr>
              <w:t xml:space="preserve">Gestión Ambiental </w:t>
            </w:r>
            <w:r w:rsidR="00384866" w:rsidRPr="009201E5">
              <w:rPr>
                <w:rFonts w:ascii="Century Gothic" w:eastAsia="Times New Roman" w:hAnsi="Century Gothic" w:cs="Arial"/>
                <w:color w:val="000000"/>
                <w:sz w:val="20"/>
                <w:szCs w:val="20"/>
              </w:rPr>
              <w:t xml:space="preserve">o quien haga sus veces en el municipio de Pasto en los términos de los </w:t>
            </w:r>
            <w:r w:rsidR="00F54387" w:rsidRPr="009201E5">
              <w:rPr>
                <w:rFonts w:ascii="Century Gothic" w:eastAsia="Times New Roman" w:hAnsi="Century Gothic" w:cs="Arial"/>
                <w:color w:val="000000"/>
                <w:sz w:val="20"/>
                <w:szCs w:val="20"/>
              </w:rPr>
              <w:t xml:space="preserve">Artículos </w:t>
            </w:r>
            <w:r w:rsidR="00384866" w:rsidRPr="009201E5">
              <w:rPr>
                <w:rFonts w:ascii="Century Gothic" w:eastAsia="Times New Roman" w:hAnsi="Century Gothic" w:cs="Arial"/>
                <w:color w:val="000000"/>
                <w:sz w:val="20"/>
                <w:szCs w:val="20"/>
              </w:rPr>
              <w:t xml:space="preserve">198 y 207 de la </w:t>
            </w:r>
            <w:r w:rsidR="00E74966" w:rsidRPr="009201E5">
              <w:rPr>
                <w:rFonts w:ascii="Century Gothic" w:eastAsia="Times New Roman" w:hAnsi="Century Gothic" w:cs="Arial"/>
                <w:color w:val="000000"/>
                <w:sz w:val="20"/>
                <w:szCs w:val="20"/>
              </w:rPr>
              <w:t xml:space="preserve">Ley </w:t>
            </w:r>
            <w:r w:rsidR="00384866" w:rsidRPr="009201E5">
              <w:rPr>
                <w:rFonts w:ascii="Century Gothic" w:eastAsia="Times New Roman" w:hAnsi="Century Gothic" w:cs="Arial"/>
                <w:color w:val="000000"/>
                <w:sz w:val="20"/>
                <w:szCs w:val="20"/>
              </w:rPr>
              <w:t>1801 de 2016</w:t>
            </w:r>
          </w:p>
        </w:tc>
        <w:tc>
          <w:tcPr>
            <w:tcW w:w="697" w:type="pct"/>
            <w:tcBorders>
              <w:top w:val="nil"/>
              <w:left w:val="nil"/>
              <w:bottom w:val="single" w:sz="4" w:space="0" w:color="auto"/>
              <w:right w:val="single" w:sz="4" w:space="0" w:color="auto"/>
            </w:tcBorders>
            <w:shd w:val="clear" w:color="auto" w:fill="auto"/>
            <w:noWrap/>
            <w:vAlign w:val="center"/>
            <w:hideMark/>
          </w:tcPr>
          <w:p w14:paraId="26C7B522"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4882338B"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06E80804"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18</w:t>
            </w:r>
          </w:p>
        </w:tc>
        <w:tc>
          <w:tcPr>
            <w:tcW w:w="4027" w:type="pct"/>
            <w:tcBorders>
              <w:top w:val="nil"/>
              <w:left w:val="nil"/>
              <w:bottom w:val="single" w:sz="4" w:space="0" w:color="auto"/>
              <w:right w:val="single" w:sz="4" w:space="0" w:color="auto"/>
            </w:tcBorders>
            <w:shd w:val="clear" w:color="auto" w:fill="auto"/>
            <w:vAlign w:val="bottom"/>
            <w:hideMark/>
          </w:tcPr>
          <w:p w14:paraId="0E882340" w14:textId="026ED834"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gerente de la “Unidad Administrativa Especial del Sistema </w:t>
            </w:r>
            <w:r w:rsidR="00F54387" w:rsidRPr="009201E5">
              <w:rPr>
                <w:rFonts w:ascii="Century Gothic" w:eastAsia="Times New Roman" w:hAnsi="Century Gothic" w:cs="Arial"/>
                <w:color w:val="000000"/>
                <w:sz w:val="20"/>
                <w:szCs w:val="20"/>
              </w:rPr>
              <w:t xml:space="preserve">Estratégico </w:t>
            </w:r>
            <w:r w:rsidR="00384866" w:rsidRPr="009201E5">
              <w:rPr>
                <w:rFonts w:ascii="Century Gothic" w:eastAsia="Times New Roman" w:hAnsi="Century Gothic" w:cs="Arial"/>
                <w:color w:val="000000"/>
                <w:sz w:val="20"/>
                <w:szCs w:val="20"/>
              </w:rPr>
              <w:t xml:space="preserve">de </w:t>
            </w:r>
            <w:r w:rsidR="00F54387" w:rsidRPr="009201E5">
              <w:rPr>
                <w:rFonts w:ascii="Century Gothic" w:eastAsia="Times New Roman" w:hAnsi="Century Gothic" w:cs="Arial"/>
                <w:color w:val="000000"/>
                <w:sz w:val="20"/>
                <w:szCs w:val="20"/>
              </w:rPr>
              <w:t xml:space="preserve">Transporte Público </w:t>
            </w:r>
            <w:r w:rsidR="00384866" w:rsidRPr="009201E5">
              <w:rPr>
                <w:rFonts w:ascii="Century Gothic" w:eastAsia="Times New Roman" w:hAnsi="Century Gothic" w:cs="Arial"/>
                <w:color w:val="000000"/>
                <w:sz w:val="20"/>
                <w:szCs w:val="20"/>
              </w:rPr>
              <w:t>UAE – SETP” para comprometer vigencias futuras ordinarias</w:t>
            </w:r>
          </w:p>
        </w:tc>
        <w:tc>
          <w:tcPr>
            <w:tcW w:w="697" w:type="pct"/>
            <w:tcBorders>
              <w:top w:val="nil"/>
              <w:left w:val="nil"/>
              <w:bottom w:val="single" w:sz="4" w:space="0" w:color="auto"/>
              <w:right w:val="single" w:sz="4" w:space="0" w:color="auto"/>
            </w:tcBorders>
            <w:shd w:val="clear" w:color="auto" w:fill="auto"/>
            <w:noWrap/>
            <w:vAlign w:val="center"/>
            <w:hideMark/>
          </w:tcPr>
          <w:p w14:paraId="17BCFEA8"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72A66F08"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6004465"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19</w:t>
            </w:r>
          </w:p>
        </w:tc>
        <w:tc>
          <w:tcPr>
            <w:tcW w:w="4027" w:type="pct"/>
            <w:tcBorders>
              <w:top w:val="nil"/>
              <w:left w:val="nil"/>
              <w:bottom w:val="single" w:sz="4" w:space="0" w:color="auto"/>
              <w:right w:val="single" w:sz="4" w:space="0" w:color="auto"/>
            </w:tcBorders>
            <w:shd w:val="clear" w:color="auto" w:fill="auto"/>
            <w:vAlign w:val="bottom"/>
            <w:hideMark/>
          </w:tcPr>
          <w:p w14:paraId="134CBBEC" w14:textId="5D228813"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Alcalde municipal para contratar un empréstito con destino a la ejecución de proyectos para intervención de vías urbanas acorde a lo establecido en el </w:t>
            </w:r>
            <w:r w:rsidR="00F54387" w:rsidRPr="009201E5">
              <w:rPr>
                <w:rFonts w:ascii="Century Gothic" w:eastAsia="Times New Roman" w:hAnsi="Century Gothic" w:cs="Arial"/>
                <w:color w:val="000000"/>
                <w:sz w:val="20"/>
                <w:szCs w:val="20"/>
              </w:rPr>
              <w:t xml:space="preserve">Plan </w:t>
            </w:r>
            <w:r w:rsidR="00384866" w:rsidRPr="009201E5">
              <w:rPr>
                <w:rFonts w:ascii="Century Gothic" w:eastAsia="Times New Roman" w:hAnsi="Century Gothic" w:cs="Arial"/>
                <w:color w:val="000000"/>
                <w:sz w:val="20"/>
                <w:szCs w:val="20"/>
              </w:rPr>
              <w:t xml:space="preserve">de </w:t>
            </w:r>
            <w:r w:rsidR="00F54387" w:rsidRPr="009201E5">
              <w:rPr>
                <w:rFonts w:ascii="Century Gothic" w:eastAsia="Times New Roman" w:hAnsi="Century Gothic" w:cs="Arial"/>
                <w:color w:val="000000"/>
                <w:sz w:val="20"/>
                <w:szCs w:val="20"/>
              </w:rPr>
              <w:t xml:space="preserve">Desarrollo </w:t>
            </w:r>
            <w:r w:rsidR="00F54387">
              <w:rPr>
                <w:rFonts w:ascii="Century Gothic" w:eastAsia="Times New Roman" w:hAnsi="Century Gothic" w:cs="Arial"/>
                <w:color w:val="000000"/>
                <w:sz w:val="20"/>
                <w:szCs w:val="20"/>
              </w:rPr>
              <w:t>“</w:t>
            </w:r>
            <w:r w:rsidR="00384866" w:rsidRPr="009201E5">
              <w:rPr>
                <w:rFonts w:ascii="Century Gothic" w:eastAsia="Times New Roman" w:hAnsi="Century Gothic" w:cs="Arial"/>
                <w:color w:val="000000"/>
                <w:sz w:val="20"/>
                <w:szCs w:val="20"/>
              </w:rPr>
              <w:t xml:space="preserve">Pasto </w:t>
            </w:r>
            <w:r w:rsidR="00F54387" w:rsidRPr="009201E5">
              <w:rPr>
                <w:rFonts w:ascii="Century Gothic" w:eastAsia="Times New Roman" w:hAnsi="Century Gothic" w:cs="Arial"/>
                <w:color w:val="000000"/>
                <w:sz w:val="20"/>
                <w:szCs w:val="20"/>
              </w:rPr>
              <w:t xml:space="preserve">Educado Constructor </w:t>
            </w:r>
            <w:r w:rsidR="00384866" w:rsidRPr="009201E5">
              <w:rPr>
                <w:rFonts w:ascii="Century Gothic" w:eastAsia="Times New Roman" w:hAnsi="Century Gothic" w:cs="Arial"/>
                <w:color w:val="000000"/>
                <w:sz w:val="20"/>
                <w:szCs w:val="20"/>
              </w:rPr>
              <w:t xml:space="preserve">de </w:t>
            </w:r>
            <w:r w:rsidR="00F54387" w:rsidRPr="009201E5">
              <w:rPr>
                <w:rFonts w:ascii="Century Gothic" w:eastAsia="Times New Roman" w:hAnsi="Century Gothic" w:cs="Arial"/>
                <w:color w:val="000000"/>
                <w:sz w:val="20"/>
                <w:szCs w:val="20"/>
              </w:rPr>
              <w:t>Paz</w:t>
            </w:r>
            <w:r w:rsidR="00F54387">
              <w:rPr>
                <w:rFonts w:ascii="Century Gothic" w:eastAsia="Times New Roman" w:hAnsi="Century Gothic" w:cs="Arial"/>
                <w:color w:val="000000"/>
                <w:sz w:val="20"/>
                <w:szCs w:val="20"/>
              </w:rPr>
              <w:t>”</w:t>
            </w:r>
            <w:r w:rsidR="00F54387" w:rsidRPr="009201E5">
              <w:rPr>
                <w:rFonts w:ascii="Century Gothic" w:eastAsia="Times New Roman" w:hAnsi="Century Gothic" w:cs="Arial"/>
                <w:color w:val="000000"/>
                <w:sz w:val="20"/>
                <w:szCs w:val="20"/>
              </w:rPr>
              <w:t xml:space="preserve"> </w:t>
            </w:r>
            <w:r w:rsidR="00384866" w:rsidRPr="009201E5">
              <w:rPr>
                <w:rFonts w:ascii="Century Gothic" w:eastAsia="Times New Roman" w:hAnsi="Century Gothic" w:cs="Arial"/>
                <w:color w:val="000000"/>
                <w:sz w:val="20"/>
                <w:szCs w:val="20"/>
              </w:rPr>
              <w:t>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01D20F6D"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58E64F6B"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5FE8D14"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20</w:t>
            </w:r>
          </w:p>
        </w:tc>
        <w:tc>
          <w:tcPr>
            <w:tcW w:w="4027" w:type="pct"/>
            <w:tcBorders>
              <w:top w:val="nil"/>
              <w:left w:val="nil"/>
              <w:bottom w:val="single" w:sz="4" w:space="0" w:color="auto"/>
              <w:right w:val="single" w:sz="4" w:space="0" w:color="auto"/>
            </w:tcBorders>
            <w:shd w:val="clear" w:color="auto" w:fill="auto"/>
            <w:vAlign w:val="bottom"/>
            <w:hideMark/>
          </w:tcPr>
          <w:p w14:paraId="41771CBF" w14:textId="5F7C66C4"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modifica el </w:t>
            </w:r>
            <w:r w:rsidR="00F54387" w:rsidRPr="009201E5">
              <w:rPr>
                <w:rFonts w:ascii="Century Gothic" w:eastAsia="Times New Roman" w:hAnsi="Century Gothic" w:cs="Arial"/>
                <w:color w:val="000000"/>
                <w:sz w:val="20"/>
                <w:szCs w:val="20"/>
              </w:rPr>
              <w:t xml:space="preserve">Acuerdo </w:t>
            </w:r>
            <w:r w:rsidR="00384866" w:rsidRPr="009201E5">
              <w:rPr>
                <w:rFonts w:ascii="Century Gothic" w:eastAsia="Times New Roman" w:hAnsi="Century Gothic" w:cs="Arial"/>
                <w:color w:val="000000"/>
                <w:sz w:val="20"/>
                <w:szCs w:val="20"/>
              </w:rPr>
              <w:t>037 de noviembre de 2010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11969532"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491995B9"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168194D0"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21</w:t>
            </w:r>
          </w:p>
        </w:tc>
        <w:tc>
          <w:tcPr>
            <w:tcW w:w="4027" w:type="pct"/>
            <w:tcBorders>
              <w:top w:val="nil"/>
              <w:left w:val="nil"/>
              <w:bottom w:val="single" w:sz="4" w:space="0" w:color="auto"/>
              <w:right w:val="single" w:sz="4" w:space="0" w:color="auto"/>
            </w:tcBorders>
            <w:shd w:val="clear" w:color="auto" w:fill="auto"/>
            <w:vAlign w:val="bottom"/>
            <w:hideMark/>
          </w:tcPr>
          <w:p w14:paraId="0436BA58" w14:textId="4299D8CB"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institucionaliza el 16 de agosto de cada año, como el día de la prevención del bajo peso al nacer en el municipio de Pasto</w:t>
            </w:r>
          </w:p>
        </w:tc>
        <w:tc>
          <w:tcPr>
            <w:tcW w:w="697" w:type="pct"/>
            <w:tcBorders>
              <w:top w:val="nil"/>
              <w:left w:val="nil"/>
              <w:bottom w:val="single" w:sz="4" w:space="0" w:color="auto"/>
              <w:right w:val="single" w:sz="4" w:space="0" w:color="auto"/>
            </w:tcBorders>
            <w:shd w:val="clear" w:color="auto" w:fill="auto"/>
            <w:noWrap/>
            <w:vAlign w:val="center"/>
            <w:hideMark/>
          </w:tcPr>
          <w:p w14:paraId="42978016"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2C088456"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591A9DA"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22</w:t>
            </w:r>
          </w:p>
        </w:tc>
        <w:tc>
          <w:tcPr>
            <w:tcW w:w="4027" w:type="pct"/>
            <w:tcBorders>
              <w:top w:val="nil"/>
              <w:left w:val="nil"/>
              <w:bottom w:val="single" w:sz="4" w:space="0" w:color="auto"/>
              <w:right w:val="single" w:sz="4" w:space="0" w:color="auto"/>
            </w:tcBorders>
            <w:shd w:val="clear" w:color="auto" w:fill="auto"/>
            <w:vAlign w:val="bottom"/>
            <w:hideMark/>
          </w:tcPr>
          <w:p w14:paraId="702E139E" w14:textId="2E25D904"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presupuesto de rentas e ingresos y de gastos e inversiones del municipio 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32B3852B"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DC0A038"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5DC9962E"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23</w:t>
            </w:r>
          </w:p>
        </w:tc>
        <w:tc>
          <w:tcPr>
            <w:tcW w:w="4027" w:type="pct"/>
            <w:tcBorders>
              <w:top w:val="nil"/>
              <w:left w:val="nil"/>
              <w:bottom w:val="single" w:sz="4" w:space="0" w:color="auto"/>
              <w:right w:val="single" w:sz="4" w:space="0" w:color="auto"/>
            </w:tcBorders>
            <w:shd w:val="clear" w:color="auto" w:fill="auto"/>
            <w:vAlign w:val="bottom"/>
            <w:hideMark/>
          </w:tcPr>
          <w:p w14:paraId="199352BB" w14:textId="6C19859F"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crean las contralorías escolares en el municipio de San Juan de Pasto, para las instituciones educativas oficiales del municipio</w:t>
            </w:r>
          </w:p>
        </w:tc>
        <w:tc>
          <w:tcPr>
            <w:tcW w:w="697" w:type="pct"/>
            <w:tcBorders>
              <w:top w:val="nil"/>
              <w:left w:val="nil"/>
              <w:bottom w:val="single" w:sz="4" w:space="0" w:color="auto"/>
              <w:right w:val="single" w:sz="4" w:space="0" w:color="auto"/>
            </w:tcBorders>
            <w:shd w:val="clear" w:color="auto" w:fill="auto"/>
            <w:noWrap/>
            <w:vAlign w:val="center"/>
            <w:hideMark/>
          </w:tcPr>
          <w:p w14:paraId="43D9989D" w14:textId="30B7BA21"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Contralor</w:t>
            </w:r>
            <w:r w:rsidR="00E74966">
              <w:rPr>
                <w:rFonts w:ascii="Century Gothic" w:eastAsia="Times New Roman" w:hAnsi="Century Gothic" w:cs="Calibri"/>
                <w:color w:val="000000"/>
                <w:sz w:val="20"/>
                <w:szCs w:val="20"/>
              </w:rPr>
              <w:t>ía</w:t>
            </w:r>
            <w:r w:rsidRPr="009201E5">
              <w:rPr>
                <w:rFonts w:ascii="Century Gothic" w:eastAsia="Times New Roman" w:hAnsi="Century Gothic" w:cs="Calibri"/>
                <w:color w:val="000000"/>
                <w:sz w:val="20"/>
                <w:szCs w:val="20"/>
              </w:rPr>
              <w:t xml:space="preserve"> Municipal</w:t>
            </w:r>
          </w:p>
        </w:tc>
      </w:tr>
      <w:tr w:rsidR="00384866" w:rsidRPr="009201E5" w14:paraId="6DA5AFBB"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1CF4E60"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24</w:t>
            </w:r>
          </w:p>
        </w:tc>
        <w:tc>
          <w:tcPr>
            <w:tcW w:w="4027" w:type="pct"/>
            <w:tcBorders>
              <w:top w:val="nil"/>
              <w:left w:val="nil"/>
              <w:bottom w:val="single" w:sz="4" w:space="0" w:color="auto"/>
              <w:right w:val="single" w:sz="4" w:space="0" w:color="auto"/>
            </w:tcBorders>
            <w:shd w:val="clear" w:color="auto" w:fill="auto"/>
            <w:vAlign w:val="bottom"/>
            <w:hideMark/>
          </w:tcPr>
          <w:p w14:paraId="78FE7E08" w14:textId="4A81595E"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otorga la máxima distinción “orden al mérito concejo municipal de Pasto” al señor José Francisco </w:t>
            </w:r>
            <w:proofErr w:type="spellStart"/>
            <w:r w:rsidR="00384866" w:rsidRPr="009201E5">
              <w:rPr>
                <w:rFonts w:ascii="Century Gothic" w:eastAsia="Times New Roman" w:hAnsi="Century Gothic" w:cs="Arial"/>
                <w:color w:val="000000"/>
                <w:sz w:val="20"/>
                <w:szCs w:val="20"/>
              </w:rPr>
              <w:t>Argoty</w:t>
            </w:r>
            <w:proofErr w:type="spellEnd"/>
            <w:r w:rsidR="00384866" w:rsidRPr="009201E5">
              <w:rPr>
                <w:rFonts w:ascii="Century Gothic" w:eastAsia="Times New Roman" w:hAnsi="Century Gothic" w:cs="Arial"/>
                <w:color w:val="000000"/>
                <w:sz w:val="20"/>
                <w:szCs w:val="20"/>
              </w:rPr>
              <w:t xml:space="preserve"> Benavides</w:t>
            </w:r>
          </w:p>
        </w:tc>
        <w:tc>
          <w:tcPr>
            <w:tcW w:w="697" w:type="pct"/>
            <w:tcBorders>
              <w:top w:val="nil"/>
              <w:left w:val="nil"/>
              <w:bottom w:val="single" w:sz="4" w:space="0" w:color="auto"/>
              <w:right w:val="single" w:sz="4" w:space="0" w:color="auto"/>
            </w:tcBorders>
            <w:shd w:val="clear" w:color="auto" w:fill="auto"/>
            <w:noWrap/>
            <w:vAlign w:val="center"/>
            <w:hideMark/>
          </w:tcPr>
          <w:p w14:paraId="5635EBD8" w14:textId="702E0F51" w:rsidR="00384866" w:rsidRPr="009201E5" w:rsidRDefault="009201E5"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Concejo</w:t>
            </w:r>
            <w:r>
              <w:rPr>
                <w:rFonts w:ascii="Century Gothic" w:eastAsia="Times New Roman" w:hAnsi="Century Gothic" w:cs="Calibri"/>
                <w:color w:val="000000"/>
                <w:sz w:val="20"/>
                <w:szCs w:val="20"/>
              </w:rPr>
              <w:t xml:space="preserve"> Municipal</w:t>
            </w:r>
          </w:p>
        </w:tc>
      </w:tr>
      <w:tr w:rsidR="00384866" w:rsidRPr="009201E5" w14:paraId="2E97E17D"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08539937"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25</w:t>
            </w:r>
          </w:p>
        </w:tc>
        <w:tc>
          <w:tcPr>
            <w:tcW w:w="4027" w:type="pct"/>
            <w:tcBorders>
              <w:top w:val="nil"/>
              <w:left w:val="nil"/>
              <w:bottom w:val="single" w:sz="4" w:space="0" w:color="auto"/>
              <w:right w:val="single" w:sz="4" w:space="0" w:color="auto"/>
            </w:tcBorders>
            <w:shd w:val="clear" w:color="auto" w:fill="auto"/>
            <w:vAlign w:val="bottom"/>
            <w:hideMark/>
          </w:tcPr>
          <w:p w14:paraId="0A298543" w14:textId="77EB8FCC"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Se</w:t>
            </w:r>
            <w:r w:rsidR="00384866" w:rsidRPr="009201E5">
              <w:rPr>
                <w:rFonts w:ascii="Century Gothic" w:eastAsia="Times New Roman" w:hAnsi="Century Gothic" w:cs="Arial"/>
                <w:color w:val="000000"/>
                <w:sz w:val="20"/>
                <w:szCs w:val="20"/>
              </w:rPr>
              <w:t xml:space="preserve"> autoriza al Alcalde municipal para celebrar una adición en tiempo y valor al contrato no. 2017-1474 cuyo objeto es presentar el servicio de vigilancia y seguridad privada y de monitoreo para las diferentes sedes de la administración municipal y las plazas de mercado del municipio de Pasto</w:t>
            </w:r>
          </w:p>
        </w:tc>
        <w:tc>
          <w:tcPr>
            <w:tcW w:w="697" w:type="pct"/>
            <w:tcBorders>
              <w:top w:val="nil"/>
              <w:left w:val="nil"/>
              <w:bottom w:val="single" w:sz="4" w:space="0" w:color="auto"/>
              <w:right w:val="single" w:sz="4" w:space="0" w:color="auto"/>
            </w:tcBorders>
            <w:shd w:val="clear" w:color="auto" w:fill="auto"/>
            <w:noWrap/>
            <w:vAlign w:val="center"/>
            <w:hideMark/>
          </w:tcPr>
          <w:p w14:paraId="75EA0A3E"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4FE98767"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13B240B8"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26</w:t>
            </w:r>
          </w:p>
        </w:tc>
        <w:tc>
          <w:tcPr>
            <w:tcW w:w="4027" w:type="pct"/>
            <w:tcBorders>
              <w:top w:val="nil"/>
              <w:left w:val="nil"/>
              <w:bottom w:val="single" w:sz="4" w:space="0" w:color="auto"/>
              <w:right w:val="single" w:sz="4" w:space="0" w:color="auto"/>
            </w:tcBorders>
            <w:shd w:val="clear" w:color="auto" w:fill="auto"/>
            <w:vAlign w:val="bottom"/>
            <w:hideMark/>
          </w:tcPr>
          <w:p w14:paraId="3869912F" w14:textId="1EE60536"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crea el Consejo </w:t>
            </w:r>
            <w:r w:rsidRPr="009201E5">
              <w:rPr>
                <w:rFonts w:ascii="Century Gothic" w:eastAsia="Times New Roman" w:hAnsi="Century Gothic" w:cs="Arial"/>
                <w:color w:val="000000"/>
                <w:sz w:val="20"/>
                <w:szCs w:val="20"/>
              </w:rPr>
              <w:t xml:space="preserve">Municipal </w:t>
            </w:r>
            <w:r w:rsidR="00384866" w:rsidRPr="009201E5">
              <w:rPr>
                <w:rFonts w:ascii="Century Gothic" w:eastAsia="Times New Roman" w:hAnsi="Century Gothic" w:cs="Arial"/>
                <w:color w:val="000000"/>
                <w:sz w:val="20"/>
                <w:szCs w:val="20"/>
              </w:rPr>
              <w:t xml:space="preserve">de </w:t>
            </w:r>
            <w:r w:rsidRPr="009201E5">
              <w:rPr>
                <w:rFonts w:ascii="Century Gothic" w:eastAsia="Times New Roman" w:hAnsi="Century Gothic" w:cs="Arial"/>
                <w:color w:val="000000"/>
                <w:sz w:val="20"/>
                <w:szCs w:val="20"/>
              </w:rPr>
              <w:t>Paz</w:t>
            </w:r>
            <w:r w:rsidR="00384866" w:rsidRPr="009201E5">
              <w:rPr>
                <w:rFonts w:ascii="Century Gothic" w:eastAsia="Times New Roman" w:hAnsi="Century Gothic" w:cs="Arial"/>
                <w:color w:val="000000"/>
                <w:sz w:val="20"/>
                <w:szCs w:val="20"/>
              </w:rPr>
              <w:t xml:space="preserve">, </w:t>
            </w:r>
            <w:r w:rsidR="00F54387" w:rsidRPr="009201E5">
              <w:rPr>
                <w:rFonts w:ascii="Century Gothic" w:eastAsia="Times New Roman" w:hAnsi="Century Gothic" w:cs="Arial"/>
                <w:color w:val="000000"/>
                <w:sz w:val="20"/>
                <w:szCs w:val="20"/>
              </w:rPr>
              <w:t xml:space="preserve">Reconciliación </w:t>
            </w:r>
            <w:r w:rsidR="00384866" w:rsidRPr="009201E5">
              <w:rPr>
                <w:rFonts w:ascii="Century Gothic" w:eastAsia="Times New Roman" w:hAnsi="Century Gothic" w:cs="Arial"/>
                <w:color w:val="000000"/>
                <w:sz w:val="20"/>
                <w:szCs w:val="20"/>
              </w:rPr>
              <w:t xml:space="preserve">y </w:t>
            </w:r>
            <w:r w:rsidR="00F54387" w:rsidRPr="009201E5">
              <w:rPr>
                <w:rFonts w:ascii="Century Gothic" w:eastAsia="Times New Roman" w:hAnsi="Century Gothic" w:cs="Arial"/>
                <w:color w:val="000000"/>
                <w:sz w:val="20"/>
                <w:szCs w:val="20"/>
              </w:rPr>
              <w:t>Convivencia</w:t>
            </w:r>
            <w:r w:rsidR="00384866" w:rsidRPr="009201E5">
              <w:rPr>
                <w:rFonts w:ascii="Century Gothic" w:eastAsia="Times New Roman" w:hAnsi="Century Gothic" w:cs="Arial"/>
                <w:color w:val="000000"/>
                <w:sz w:val="20"/>
                <w:szCs w:val="20"/>
              </w:rPr>
              <w:t xml:space="preserve"> del </w:t>
            </w:r>
            <w:r w:rsidR="00384866" w:rsidRPr="009201E5">
              <w:rPr>
                <w:rFonts w:ascii="Century Gothic" w:eastAsia="Times New Roman" w:hAnsi="Century Gothic" w:cs="Arial"/>
                <w:color w:val="000000"/>
                <w:sz w:val="20"/>
                <w:szCs w:val="20"/>
              </w:rPr>
              <w:lastRenderedPageBreak/>
              <w:t>municipio de Pasto</w:t>
            </w:r>
          </w:p>
        </w:tc>
        <w:tc>
          <w:tcPr>
            <w:tcW w:w="697" w:type="pct"/>
            <w:tcBorders>
              <w:top w:val="nil"/>
              <w:left w:val="nil"/>
              <w:bottom w:val="single" w:sz="4" w:space="0" w:color="auto"/>
              <w:right w:val="single" w:sz="4" w:space="0" w:color="auto"/>
            </w:tcBorders>
            <w:shd w:val="clear" w:color="auto" w:fill="auto"/>
            <w:noWrap/>
            <w:vAlign w:val="center"/>
            <w:hideMark/>
          </w:tcPr>
          <w:p w14:paraId="44F396B5"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lastRenderedPageBreak/>
              <w:t>Alcalde</w:t>
            </w:r>
          </w:p>
        </w:tc>
      </w:tr>
      <w:tr w:rsidR="00384866" w:rsidRPr="009201E5" w14:paraId="429E9CA6"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CFC589A"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lastRenderedPageBreak/>
              <w:t>27</w:t>
            </w:r>
          </w:p>
        </w:tc>
        <w:tc>
          <w:tcPr>
            <w:tcW w:w="4027" w:type="pct"/>
            <w:tcBorders>
              <w:top w:val="nil"/>
              <w:left w:val="nil"/>
              <w:bottom w:val="single" w:sz="4" w:space="0" w:color="auto"/>
              <w:right w:val="single" w:sz="4" w:space="0" w:color="auto"/>
            </w:tcBorders>
            <w:shd w:val="clear" w:color="auto" w:fill="auto"/>
            <w:vAlign w:val="bottom"/>
            <w:hideMark/>
          </w:tcPr>
          <w:p w14:paraId="07DFF227" w14:textId="5211274F"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autoriza al Alcalde para comprometer vigencias futuras ordinarias para la vigencia 2018-2019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35596C5B"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D30A25C"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59EC71FB"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28</w:t>
            </w:r>
          </w:p>
        </w:tc>
        <w:tc>
          <w:tcPr>
            <w:tcW w:w="4027" w:type="pct"/>
            <w:tcBorders>
              <w:top w:val="nil"/>
              <w:left w:val="nil"/>
              <w:bottom w:val="single" w:sz="4" w:space="0" w:color="auto"/>
              <w:right w:val="single" w:sz="4" w:space="0" w:color="auto"/>
            </w:tcBorders>
            <w:shd w:val="clear" w:color="auto" w:fill="auto"/>
            <w:vAlign w:val="bottom"/>
            <w:hideMark/>
          </w:tcPr>
          <w:p w14:paraId="5EDD96AE" w14:textId="6C6CE460"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presupuesto de rentas e ingresos y de gastos e inversiones del municipio 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75EA6BA5"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106B34C"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0DD18236"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29</w:t>
            </w:r>
          </w:p>
        </w:tc>
        <w:tc>
          <w:tcPr>
            <w:tcW w:w="4027" w:type="pct"/>
            <w:tcBorders>
              <w:top w:val="nil"/>
              <w:left w:val="nil"/>
              <w:bottom w:val="single" w:sz="4" w:space="0" w:color="auto"/>
              <w:right w:val="single" w:sz="4" w:space="0" w:color="auto"/>
            </w:tcBorders>
            <w:shd w:val="clear" w:color="auto" w:fill="auto"/>
            <w:vAlign w:val="bottom"/>
            <w:hideMark/>
          </w:tcPr>
          <w:p w14:paraId="397CFC7A" w14:textId="63EE4F3A"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autoriza al Alcalde municipal para celebrar contrato de vigilancia por un monto superior al permitido, para prestar el servicio de vigilancia y seguridad privada y de monitoreo a las diferentes sedes de la administración municipal y las plazas de mercado del municipio de Pasto</w:t>
            </w:r>
          </w:p>
        </w:tc>
        <w:tc>
          <w:tcPr>
            <w:tcW w:w="697" w:type="pct"/>
            <w:tcBorders>
              <w:top w:val="nil"/>
              <w:left w:val="nil"/>
              <w:bottom w:val="single" w:sz="4" w:space="0" w:color="auto"/>
              <w:right w:val="single" w:sz="4" w:space="0" w:color="auto"/>
            </w:tcBorders>
            <w:shd w:val="clear" w:color="auto" w:fill="auto"/>
            <w:noWrap/>
            <w:vAlign w:val="center"/>
            <w:hideMark/>
          </w:tcPr>
          <w:p w14:paraId="0AEEAA44"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5A0C61E9"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9190DBF"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30</w:t>
            </w:r>
          </w:p>
        </w:tc>
        <w:tc>
          <w:tcPr>
            <w:tcW w:w="4027" w:type="pct"/>
            <w:tcBorders>
              <w:top w:val="nil"/>
              <w:left w:val="nil"/>
              <w:bottom w:val="single" w:sz="4" w:space="0" w:color="auto"/>
              <w:right w:val="single" w:sz="4" w:space="0" w:color="auto"/>
            </w:tcBorders>
            <w:shd w:val="clear" w:color="auto" w:fill="auto"/>
            <w:vAlign w:val="bottom"/>
            <w:hideMark/>
          </w:tcPr>
          <w:p w14:paraId="51315FDC" w14:textId="20AC614B"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faculta al Alcalde de Pasto para celebrar un contrato dentro del proyecto “construcción del alcantarillado pluvial y sanitario de los sectores de </w:t>
            </w:r>
            <w:r w:rsidR="00BC682E" w:rsidRPr="009201E5">
              <w:rPr>
                <w:rFonts w:ascii="Century Gothic" w:eastAsia="Times New Roman" w:hAnsi="Century Gothic" w:cs="Arial"/>
                <w:color w:val="000000"/>
                <w:sz w:val="20"/>
                <w:szCs w:val="20"/>
              </w:rPr>
              <w:t>La Laguna Centro</w:t>
            </w:r>
            <w:r w:rsidR="00384866" w:rsidRPr="009201E5">
              <w:rPr>
                <w:rFonts w:ascii="Century Gothic" w:eastAsia="Times New Roman" w:hAnsi="Century Gothic" w:cs="Arial"/>
                <w:color w:val="000000"/>
                <w:sz w:val="20"/>
                <w:szCs w:val="20"/>
              </w:rPr>
              <w:t xml:space="preserve">, </w:t>
            </w:r>
            <w:r w:rsidR="00BC682E" w:rsidRPr="009201E5">
              <w:rPr>
                <w:rFonts w:ascii="Century Gothic" w:eastAsia="Times New Roman" w:hAnsi="Century Gothic" w:cs="Arial"/>
                <w:color w:val="000000"/>
                <w:sz w:val="20"/>
                <w:szCs w:val="20"/>
              </w:rPr>
              <w:t xml:space="preserve">Alto </w:t>
            </w:r>
            <w:r w:rsidR="00384866" w:rsidRPr="009201E5">
              <w:rPr>
                <w:rFonts w:ascii="Century Gothic" w:eastAsia="Times New Roman" w:hAnsi="Century Gothic" w:cs="Arial"/>
                <w:color w:val="000000"/>
                <w:sz w:val="20"/>
                <w:szCs w:val="20"/>
              </w:rPr>
              <w:t xml:space="preserve">San Pedro y </w:t>
            </w:r>
            <w:r w:rsidR="00BC682E" w:rsidRPr="009201E5">
              <w:rPr>
                <w:rFonts w:ascii="Century Gothic" w:eastAsia="Times New Roman" w:hAnsi="Century Gothic" w:cs="Arial"/>
                <w:color w:val="000000"/>
                <w:sz w:val="20"/>
                <w:szCs w:val="20"/>
              </w:rPr>
              <w:t xml:space="preserve">La </w:t>
            </w:r>
            <w:r w:rsidR="00384866" w:rsidRPr="009201E5">
              <w:rPr>
                <w:rFonts w:ascii="Century Gothic" w:eastAsia="Times New Roman" w:hAnsi="Century Gothic" w:cs="Arial"/>
                <w:color w:val="000000"/>
                <w:sz w:val="20"/>
                <w:szCs w:val="20"/>
              </w:rPr>
              <w:t xml:space="preserve">Playa del corregimiento de </w:t>
            </w:r>
            <w:r w:rsidR="00BC682E" w:rsidRPr="009201E5">
              <w:rPr>
                <w:rFonts w:ascii="Century Gothic" w:eastAsia="Times New Roman" w:hAnsi="Century Gothic" w:cs="Arial"/>
                <w:color w:val="000000"/>
                <w:sz w:val="20"/>
                <w:szCs w:val="20"/>
              </w:rPr>
              <w:t xml:space="preserve">La </w:t>
            </w:r>
            <w:r w:rsidR="00384866" w:rsidRPr="009201E5">
              <w:rPr>
                <w:rFonts w:ascii="Century Gothic" w:eastAsia="Times New Roman" w:hAnsi="Century Gothic" w:cs="Arial"/>
                <w:color w:val="000000"/>
                <w:sz w:val="20"/>
                <w:szCs w:val="20"/>
              </w:rPr>
              <w:t>Laguna del municipio de Pasto</w:t>
            </w:r>
            <w:r w:rsidR="000D2FE2">
              <w:rPr>
                <w:rFonts w:ascii="Century Gothic" w:eastAsia="Times New Roman" w:hAnsi="Century Gothic" w:cs="Arial"/>
                <w:color w:val="000000"/>
                <w:sz w:val="20"/>
                <w:szCs w:val="20"/>
              </w:rPr>
              <w:t>”</w:t>
            </w:r>
          </w:p>
        </w:tc>
        <w:tc>
          <w:tcPr>
            <w:tcW w:w="697" w:type="pct"/>
            <w:tcBorders>
              <w:top w:val="nil"/>
              <w:left w:val="nil"/>
              <w:bottom w:val="single" w:sz="4" w:space="0" w:color="auto"/>
              <w:right w:val="single" w:sz="4" w:space="0" w:color="auto"/>
            </w:tcBorders>
            <w:shd w:val="clear" w:color="auto" w:fill="auto"/>
            <w:noWrap/>
            <w:vAlign w:val="center"/>
            <w:hideMark/>
          </w:tcPr>
          <w:p w14:paraId="6E374985"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C736D91"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28150562"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31</w:t>
            </w:r>
          </w:p>
        </w:tc>
        <w:tc>
          <w:tcPr>
            <w:tcW w:w="4027" w:type="pct"/>
            <w:tcBorders>
              <w:top w:val="nil"/>
              <w:left w:val="nil"/>
              <w:bottom w:val="single" w:sz="4" w:space="0" w:color="auto"/>
              <w:right w:val="single" w:sz="4" w:space="0" w:color="auto"/>
            </w:tcBorders>
            <w:shd w:val="clear" w:color="auto" w:fill="auto"/>
            <w:vAlign w:val="bottom"/>
            <w:hideMark/>
          </w:tcPr>
          <w:p w14:paraId="497C3CFE" w14:textId="3DB82F6F"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Se </w:t>
            </w:r>
            <w:r w:rsidR="00384866" w:rsidRPr="009201E5">
              <w:rPr>
                <w:rFonts w:ascii="Century Gothic" w:eastAsia="Times New Roman" w:hAnsi="Century Gothic" w:cs="Arial"/>
                <w:color w:val="000000"/>
                <w:sz w:val="20"/>
                <w:szCs w:val="20"/>
              </w:rPr>
              <w:t xml:space="preserve">autoriza al Alcalde municipal para contratar empréstitos con destino a la ejecución de proyectos acorde a lo establecido en el </w:t>
            </w:r>
            <w:r w:rsidR="00BC682E" w:rsidRPr="009201E5">
              <w:rPr>
                <w:rFonts w:ascii="Century Gothic" w:eastAsia="Times New Roman" w:hAnsi="Century Gothic" w:cs="Arial"/>
                <w:color w:val="000000"/>
                <w:sz w:val="20"/>
                <w:szCs w:val="20"/>
              </w:rPr>
              <w:t xml:space="preserve">Plan </w:t>
            </w:r>
            <w:r w:rsidR="00384866" w:rsidRPr="009201E5">
              <w:rPr>
                <w:rFonts w:ascii="Century Gothic" w:eastAsia="Times New Roman" w:hAnsi="Century Gothic" w:cs="Arial"/>
                <w:color w:val="000000"/>
                <w:sz w:val="20"/>
                <w:szCs w:val="20"/>
              </w:rPr>
              <w:t xml:space="preserve">de </w:t>
            </w:r>
            <w:r w:rsidR="00BC682E" w:rsidRPr="009201E5">
              <w:rPr>
                <w:rFonts w:ascii="Century Gothic" w:eastAsia="Times New Roman" w:hAnsi="Century Gothic" w:cs="Arial"/>
                <w:color w:val="000000"/>
                <w:sz w:val="20"/>
                <w:szCs w:val="20"/>
              </w:rPr>
              <w:t xml:space="preserve">Desarrollo </w:t>
            </w:r>
            <w:r w:rsidR="00BC682E">
              <w:rPr>
                <w:rFonts w:ascii="Century Gothic" w:eastAsia="Times New Roman" w:hAnsi="Century Gothic" w:cs="Arial"/>
                <w:color w:val="000000"/>
                <w:sz w:val="20"/>
                <w:szCs w:val="20"/>
              </w:rPr>
              <w:t>“</w:t>
            </w:r>
            <w:r w:rsidR="00384866" w:rsidRPr="009201E5">
              <w:rPr>
                <w:rFonts w:ascii="Century Gothic" w:eastAsia="Times New Roman" w:hAnsi="Century Gothic" w:cs="Arial"/>
                <w:color w:val="000000"/>
                <w:sz w:val="20"/>
                <w:szCs w:val="20"/>
              </w:rPr>
              <w:t xml:space="preserve">Pasto </w:t>
            </w:r>
            <w:r w:rsidR="00BC682E" w:rsidRPr="009201E5">
              <w:rPr>
                <w:rFonts w:ascii="Century Gothic" w:eastAsia="Times New Roman" w:hAnsi="Century Gothic" w:cs="Arial"/>
                <w:color w:val="000000"/>
                <w:sz w:val="20"/>
                <w:szCs w:val="20"/>
              </w:rPr>
              <w:t xml:space="preserve">Educado Constructor </w:t>
            </w:r>
            <w:r w:rsidR="00384866" w:rsidRPr="009201E5">
              <w:rPr>
                <w:rFonts w:ascii="Century Gothic" w:eastAsia="Times New Roman" w:hAnsi="Century Gothic" w:cs="Arial"/>
                <w:color w:val="000000"/>
                <w:sz w:val="20"/>
                <w:szCs w:val="20"/>
              </w:rPr>
              <w:t xml:space="preserve">de </w:t>
            </w:r>
            <w:r w:rsidR="00BC682E" w:rsidRPr="009201E5">
              <w:rPr>
                <w:rFonts w:ascii="Century Gothic" w:eastAsia="Times New Roman" w:hAnsi="Century Gothic" w:cs="Arial"/>
                <w:color w:val="000000"/>
                <w:sz w:val="20"/>
                <w:szCs w:val="20"/>
              </w:rPr>
              <w:t>Paz</w:t>
            </w:r>
            <w:r w:rsidR="00BC682E">
              <w:rPr>
                <w:rFonts w:ascii="Century Gothic" w:eastAsia="Times New Roman" w:hAnsi="Century Gothic" w:cs="Arial"/>
                <w:color w:val="000000"/>
                <w:sz w:val="20"/>
                <w:szCs w:val="20"/>
              </w:rPr>
              <w:t>”</w:t>
            </w:r>
            <w:r w:rsidR="00384866" w:rsidRPr="009201E5">
              <w:rPr>
                <w:rFonts w:ascii="Century Gothic" w:eastAsia="Times New Roman" w:hAnsi="Century Gothic" w:cs="Arial"/>
                <w:color w:val="000000"/>
                <w:sz w:val="20"/>
                <w:szCs w:val="20"/>
              </w:rPr>
              <w:t>,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3E3CC58C"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784DB093"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33F281F"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32</w:t>
            </w:r>
          </w:p>
        </w:tc>
        <w:tc>
          <w:tcPr>
            <w:tcW w:w="4027" w:type="pct"/>
            <w:tcBorders>
              <w:top w:val="nil"/>
              <w:left w:val="nil"/>
              <w:bottom w:val="single" w:sz="4" w:space="0" w:color="auto"/>
              <w:right w:val="single" w:sz="4" w:space="0" w:color="auto"/>
            </w:tcBorders>
            <w:shd w:val="clear" w:color="auto" w:fill="auto"/>
            <w:vAlign w:val="bottom"/>
            <w:hideMark/>
          </w:tcPr>
          <w:p w14:paraId="18F2FBF0" w14:textId="0C614FE8"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presupuesto de rentas e ingresos y de gastos e inversiones del municipio de Pasto para la vigencia fiscal 2017</w:t>
            </w:r>
          </w:p>
        </w:tc>
        <w:tc>
          <w:tcPr>
            <w:tcW w:w="697" w:type="pct"/>
            <w:tcBorders>
              <w:top w:val="nil"/>
              <w:left w:val="nil"/>
              <w:bottom w:val="single" w:sz="4" w:space="0" w:color="auto"/>
              <w:right w:val="single" w:sz="4" w:space="0" w:color="auto"/>
            </w:tcBorders>
            <w:shd w:val="clear" w:color="auto" w:fill="auto"/>
            <w:noWrap/>
            <w:vAlign w:val="center"/>
            <w:hideMark/>
          </w:tcPr>
          <w:p w14:paraId="3CB7F563"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45086CA9"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577C00E5"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33</w:t>
            </w:r>
          </w:p>
        </w:tc>
        <w:tc>
          <w:tcPr>
            <w:tcW w:w="4027" w:type="pct"/>
            <w:tcBorders>
              <w:top w:val="nil"/>
              <w:left w:val="nil"/>
              <w:bottom w:val="single" w:sz="4" w:space="0" w:color="auto"/>
              <w:right w:val="single" w:sz="4" w:space="0" w:color="auto"/>
            </w:tcBorders>
            <w:shd w:val="clear" w:color="auto" w:fill="auto"/>
            <w:vAlign w:val="bottom"/>
            <w:hideMark/>
          </w:tcPr>
          <w:p w14:paraId="4B3B3705" w14:textId="781480C7"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expide el presupuesto anual de rentas e ingresos y de gastos e inversiones del municipio de Pasto para la vigencia fiscal comprendida entre el 1° de enero y el 31 de diciembre de 2018</w:t>
            </w:r>
          </w:p>
        </w:tc>
        <w:tc>
          <w:tcPr>
            <w:tcW w:w="697" w:type="pct"/>
            <w:tcBorders>
              <w:top w:val="nil"/>
              <w:left w:val="nil"/>
              <w:bottom w:val="single" w:sz="4" w:space="0" w:color="auto"/>
              <w:right w:val="single" w:sz="4" w:space="0" w:color="auto"/>
            </w:tcBorders>
            <w:shd w:val="clear" w:color="auto" w:fill="auto"/>
            <w:noWrap/>
            <w:vAlign w:val="center"/>
            <w:hideMark/>
          </w:tcPr>
          <w:p w14:paraId="39BA8EE3"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FB3B49C"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F3D7332"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34</w:t>
            </w:r>
          </w:p>
        </w:tc>
        <w:tc>
          <w:tcPr>
            <w:tcW w:w="4027" w:type="pct"/>
            <w:tcBorders>
              <w:top w:val="nil"/>
              <w:left w:val="nil"/>
              <w:bottom w:val="single" w:sz="4" w:space="0" w:color="auto"/>
              <w:right w:val="single" w:sz="4" w:space="0" w:color="auto"/>
            </w:tcBorders>
            <w:shd w:val="clear" w:color="auto" w:fill="auto"/>
            <w:vAlign w:val="bottom"/>
            <w:hideMark/>
          </w:tcPr>
          <w:p w14:paraId="23794345" w14:textId="5E4CFBA7"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establecen los porcentajes de subsidio y los factores de aporte solidario en los servicios públicos domiciliarios de acueducto y alcantarillado para el municipio de Pasto en el año 2018</w:t>
            </w:r>
          </w:p>
        </w:tc>
        <w:tc>
          <w:tcPr>
            <w:tcW w:w="697" w:type="pct"/>
            <w:tcBorders>
              <w:top w:val="nil"/>
              <w:left w:val="nil"/>
              <w:bottom w:val="single" w:sz="4" w:space="0" w:color="auto"/>
              <w:right w:val="single" w:sz="4" w:space="0" w:color="auto"/>
            </w:tcBorders>
            <w:shd w:val="clear" w:color="auto" w:fill="auto"/>
            <w:noWrap/>
            <w:vAlign w:val="center"/>
            <w:hideMark/>
          </w:tcPr>
          <w:p w14:paraId="7E167C83"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6EFE6D01"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C24AAA6"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35</w:t>
            </w:r>
          </w:p>
        </w:tc>
        <w:tc>
          <w:tcPr>
            <w:tcW w:w="4027" w:type="pct"/>
            <w:tcBorders>
              <w:top w:val="nil"/>
              <w:left w:val="nil"/>
              <w:bottom w:val="single" w:sz="4" w:space="0" w:color="auto"/>
              <w:right w:val="single" w:sz="4" w:space="0" w:color="auto"/>
            </w:tcBorders>
            <w:shd w:val="clear" w:color="auto" w:fill="auto"/>
            <w:vAlign w:val="bottom"/>
            <w:hideMark/>
          </w:tcPr>
          <w:p w14:paraId="55B3844F" w14:textId="2B533D3E"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establecen los porcentajes de subsidio y contribuciones de los factores de aporte solidario en el servicio público domiciliario de aseo para el municipio de Pasto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62E7BB04"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08D7296"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1A8B66D"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36</w:t>
            </w:r>
          </w:p>
        </w:tc>
        <w:tc>
          <w:tcPr>
            <w:tcW w:w="4027" w:type="pct"/>
            <w:tcBorders>
              <w:top w:val="nil"/>
              <w:left w:val="nil"/>
              <w:bottom w:val="single" w:sz="4" w:space="0" w:color="auto"/>
              <w:right w:val="single" w:sz="4" w:space="0" w:color="auto"/>
            </w:tcBorders>
            <w:shd w:val="clear" w:color="auto" w:fill="auto"/>
            <w:vAlign w:val="bottom"/>
            <w:hideMark/>
          </w:tcPr>
          <w:p w14:paraId="306B3F34" w14:textId="28D4EC90"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gerente de la “Unidad Administrativa Especial del Sistema </w:t>
            </w:r>
            <w:r w:rsidR="00E74966" w:rsidRPr="009201E5">
              <w:rPr>
                <w:rFonts w:ascii="Century Gothic" w:eastAsia="Times New Roman" w:hAnsi="Century Gothic" w:cs="Arial"/>
                <w:color w:val="000000"/>
                <w:sz w:val="20"/>
                <w:szCs w:val="20"/>
              </w:rPr>
              <w:t xml:space="preserve">Estratégico </w:t>
            </w:r>
            <w:r w:rsidR="00384866" w:rsidRPr="009201E5">
              <w:rPr>
                <w:rFonts w:ascii="Century Gothic" w:eastAsia="Times New Roman" w:hAnsi="Century Gothic" w:cs="Arial"/>
                <w:color w:val="000000"/>
                <w:sz w:val="20"/>
                <w:szCs w:val="20"/>
              </w:rPr>
              <w:t xml:space="preserve">de </w:t>
            </w:r>
            <w:r w:rsidR="00E74966" w:rsidRPr="009201E5">
              <w:rPr>
                <w:rFonts w:ascii="Century Gothic" w:eastAsia="Times New Roman" w:hAnsi="Century Gothic" w:cs="Arial"/>
                <w:color w:val="000000"/>
                <w:sz w:val="20"/>
                <w:szCs w:val="20"/>
              </w:rPr>
              <w:t xml:space="preserve">Transporte </w:t>
            </w:r>
            <w:r w:rsidR="00384866" w:rsidRPr="009201E5">
              <w:rPr>
                <w:rFonts w:ascii="Century Gothic" w:eastAsia="Times New Roman" w:hAnsi="Century Gothic" w:cs="Arial"/>
                <w:color w:val="000000"/>
                <w:sz w:val="20"/>
                <w:szCs w:val="20"/>
              </w:rPr>
              <w:t xml:space="preserve">Público UAE </w:t>
            </w:r>
            <w:r w:rsidR="00B606E8">
              <w:rPr>
                <w:rFonts w:ascii="Century Gothic" w:eastAsia="Times New Roman" w:hAnsi="Century Gothic" w:cs="Arial"/>
                <w:color w:val="000000"/>
                <w:sz w:val="20"/>
                <w:szCs w:val="20"/>
              </w:rPr>
              <w:t>–</w:t>
            </w:r>
            <w:r w:rsidR="00384866" w:rsidRPr="009201E5">
              <w:rPr>
                <w:rFonts w:ascii="Century Gothic" w:eastAsia="Times New Roman" w:hAnsi="Century Gothic" w:cs="Arial"/>
                <w:color w:val="000000"/>
                <w:sz w:val="20"/>
                <w:szCs w:val="20"/>
              </w:rPr>
              <w:t xml:space="preserve"> SETP” para comprometer vigencias futuras ordinarias para la vigencia 2018</w:t>
            </w:r>
          </w:p>
        </w:tc>
        <w:tc>
          <w:tcPr>
            <w:tcW w:w="697" w:type="pct"/>
            <w:tcBorders>
              <w:top w:val="nil"/>
              <w:left w:val="nil"/>
              <w:bottom w:val="single" w:sz="4" w:space="0" w:color="auto"/>
              <w:right w:val="single" w:sz="4" w:space="0" w:color="auto"/>
            </w:tcBorders>
            <w:shd w:val="clear" w:color="auto" w:fill="auto"/>
            <w:noWrap/>
            <w:vAlign w:val="center"/>
            <w:hideMark/>
          </w:tcPr>
          <w:p w14:paraId="1D646BEF"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701FAD6"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D71B843"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37</w:t>
            </w:r>
          </w:p>
        </w:tc>
        <w:tc>
          <w:tcPr>
            <w:tcW w:w="4027" w:type="pct"/>
            <w:tcBorders>
              <w:top w:val="nil"/>
              <w:left w:val="nil"/>
              <w:bottom w:val="single" w:sz="4" w:space="0" w:color="auto"/>
              <w:right w:val="single" w:sz="4" w:space="0" w:color="auto"/>
            </w:tcBorders>
            <w:shd w:val="clear" w:color="auto" w:fill="auto"/>
            <w:vAlign w:val="bottom"/>
            <w:hideMark/>
          </w:tcPr>
          <w:p w14:paraId="4EB6BF07" w14:textId="05373271"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w:t>
            </w:r>
            <w:r w:rsidR="00B606E8" w:rsidRPr="009201E5">
              <w:rPr>
                <w:rFonts w:ascii="Century Gothic" w:eastAsia="Times New Roman" w:hAnsi="Century Gothic" w:cs="Arial"/>
                <w:color w:val="000000"/>
                <w:sz w:val="20"/>
                <w:szCs w:val="20"/>
              </w:rPr>
              <w:t xml:space="preserve">Alcalde </w:t>
            </w:r>
            <w:r w:rsidR="00384866" w:rsidRPr="009201E5">
              <w:rPr>
                <w:rFonts w:ascii="Century Gothic" w:eastAsia="Times New Roman" w:hAnsi="Century Gothic" w:cs="Arial"/>
                <w:color w:val="000000"/>
                <w:sz w:val="20"/>
                <w:szCs w:val="20"/>
              </w:rPr>
              <w:t>para comprometer vigencias futuras excepcionales de la vigencia 2018</w:t>
            </w:r>
          </w:p>
        </w:tc>
        <w:tc>
          <w:tcPr>
            <w:tcW w:w="697" w:type="pct"/>
            <w:tcBorders>
              <w:top w:val="nil"/>
              <w:left w:val="nil"/>
              <w:bottom w:val="single" w:sz="4" w:space="0" w:color="auto"/>
              <w:right w:val="single" w:sz="4" w:space="0" w:color="auto"/>
            </w:tcBorders>
            <w:shd w:val="clear" w:color="auto" w:fill="auto"/>
            <w:noWrap/>
            <w:vAlign w:val="center"/>
            <w:hideMark/>
          </w:tcPr>
          <w:p w14:paraId="53CB3D78"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58B4E9C"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200C034"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38</w:t>
            </w:r>
          </w:p>
        </w:tc>
        <w:tc>
          <w:tcPr>
            <w:tcW w:w="4027" w:type="pct"/>
            <w:tcBorders>
              <w:top w:val="nil"/>
              <w:left w:val="nil"/>
              <w:bottom w:val="single" w:sz="4" w:space="0" w:color="auto"/>
              <w:right w:val="single" w:sz="4" w:space="0" w:color="auto"/>
            </w:tcBorders>
            <w:shd w:val="clear" w:color="auto" w:fill="auto"/>
            <w:vAlign w:val="bottom"/>
            <w:hideMark/>
          </w:tcPr>
          <w:p w14:paraId="51DA6A46" w14:textId="2A01F348"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Ejecutivo municipal para celebrar contratos del </w:t>
            </w:r>
            <w:r w:rsidR="00EF6FAB" w:rsidRPr="009201E5">
              <w:rPr>
                <w:rFonts w:ascii="Century Gothic" w:eastAsia="Times New Roman" w:hAnsi="Century Gothic" w:cs="Arial"/>
                <w:color w:val="000000"/>
                <w:sz w:val="20"/>
                <w:szCs w:val="20"/>
              </w:rPr>
              <w:t xml:space="preserve">Programa </w:t>
            </w:r>
            <w:r w:rsidR="00384866" w:rsidRPr="009201E5">
              <w:rPr>
                <w:rFonts w:ascii="Century Gothic" w:eastAsia="Times New Roman" w:hAnsi="Century Gothic" w:cs="Arial"/>
                <w:color w:val="000000"/>
                <w:sz w:val="20"/>
                <w:szCs w:val="20"/>
              </w:rPr>
              <w:t xml:space="preserve">de </w:t>
            </w:r>
            <w:r w:rsidR="00EF6FAB" w:rsidRPr="009201E5">
              <w:rPr>
                <w:rFonts w:ascii="Century Gothic" w:eastAsia="Times New Roman" w:hAnsi="Century Gothic" w:cs="Arial"/>
                <w:color w:val="000000"/>
                <w:sz w:val="20"/>
                <w:szCs w:val="20"/>
              </w:rPr>
              <w:t xml:space="preserve">Alimentación Escolar </w:t>
            </w:r>
            <w:r w:rsidR="00EF6FAB">
              <w:rPr>
                <w:rFonts w:ascii="Century Gothic" w:eastAsia="Times New Roman" w:hAnsi="Century Gothic" w:cs="Arial"/>
                <w:color w:val="000000"/>
                <w:sz w:val="20"/>
                <w:szCs w:val="20"/>
              </w:rPr>
              <w:t xml:space="preserve">– </w:t>
            </w:r>
            <w:r w:rsidR="00384866" w:rsidRPr="009201E5">
              <w:rPr>
                <w:rFonts w:ascii="Century Gothic" w:eastAsia="Times New Roman" w:hAnsi="Century Gothic" w:cs="Arial"/>
                <w:color w:val="000000"/>
                <w:sz w:val="20"/>
                <w:szCs w:val="20"/>
              </w:rPr>
              <w:t>PAE</w:t>
            </w:r>
            <w:r w:rsidR="00EF6FAB">
              <w:rPr>
                <w:rFonts w:ascii="Century Gothic" w:eastAsia="Times New Roman" w:hAnsi="Century Gothic" w:cs="Arial"/>
                <w:color w:val="000000"/>
                <w:sz w:val="20"/>
                <w:szCs w:val="20"/>
              </w:rPr>
              <w:t>,</w:t>
            </w:r>
            <w:r w:rsidR="00384866" w:rsidRPr="009201E5">
              <w:rPr>
                <w:rFonts w:ascii="Century Gothic" w:eastAsia="Times New Roman" w:hAnsi="Century Gothic" w:cs="Arial"/>
                <w:color w:val="000000"/>
                <w:sz w:val="20"/>
                <w:szCs w:val="20"/>
              </w:rPr>
              <w:t xml:space="preserve"> vigencia 2018, por encima de los montos establecidos en el </w:t>
            </w:r>
            <w:r w:rsidR="00EF6FAB" w:rsidRPr="009201E5">
              <w:rPr>
                <w:rFonts w:ascii="Century Gothic" w:eastAsia="Times New Roman" w:hAnsi="Century Gothic" w:cs="Arial"/>
                <w:color w:val="000000"/>
                <w:sz w:val="20"/>
                <w:szCs w:val="20"/>
              </w:rPr>
              <w:t xml:space="preserve">Acuerdo </w:t>
            </w:r>
            <w:r w:rsidR="00384866" w:rsidRPr="009201E5">
              <w:rPr>
                <w:rFonts w:ascii="Century Gothic" w:eastAsia="Times New Roman" w:hAnsi="Century Gothic" w:cs="Arial"/>
                <w:color w:val="000000"/>
                <w:sz w:val="20"/>
                <w:szCs w:val="20"/>
              </w:rPr>
              <w:t>004 de 2017</w:t>
            </w:r>
          </w:p>
        </w:tc>
        <w:tc>
          <w:tcPr>
            <w:tcW w:w="697" w:type="pct"/>
            <w:tcBorders>
              <w:top w:val="nil"/>
              <w:left w:val="nil"/>
              <w:bottom w:val="single" w:sz="4" w:space="0" w:color="auto"/>
              <w:right w:val="single" w:sz="4" w:space="0" w:color="auto"/>
            </w:tcBorders>
            <w:shd w:val="clear" w:color="auto" w:fill="auto"/>
            <w:noWrap/>
            <w:vAlign w:val="center"/>
            <w:hideMark/>
          </w:tcPr>
          <w:p w14:paraId="432BE209"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92559F1"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C537A42"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39</w:t>
            </w:r>
          </w:p>
        </w:tc>
        <w:tc>
          <w:tcPr>
            <w:tcW w:w="4027" w:type="pct"/>
            <w:tcBorders>
              <w:top w:val="nil"/>
              <w:left w:val="nil"/>
              <w:bottom w:val="single" w:sz="4" w:space="0" w:color="auto"/>
              <w:right w:val="single" w:sz="4" w:space="0" w:color="auto"/>
            </w:tcBorders>
            <w:shd w:val="clear" w:color="auto" w:fill="auto"/>
            <w:vAlign w:val="bottom"/>
            <w:hideMark/>
          </w:tcPr>
          <w:p w14:paraId="398609AC" w14:textId="767D4B64"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gerente de la Unidad Administrativa Especial del Sistema </w:t>
            </w:r>
            <w:r w:rsidR="00EF6FAB" w:rsidRPr="009201E5">
              <w:rPr>
                <w:rFonts w:ascii="Century Gothic" w:eastAsia="Times New Roman" w:hAnsi="Century Gothic" w:cs="Arial"/>
                <w:color w:val="000000"/>
                <w:sz w:val="20"/>
                <w:szCs w:val="20"/>
              </w:rPr>
              <w:t xml:space="preserve">Estratégico </w:t>
            </w:r>
            <w:r w:rsidR="00384866" w:rsidRPr="009201E5">
              <w:rPr>
                <w:rFonts w:ascii="Century Gothic" w:eastAsia="Times New Roman" w:hAnsi="Century Gothic" w:cs="Arial"/>
                <w:color w:val="000000"/>
                <w:sz w:val="20"/>
                <w:szCs w:val="20"/>
              </w:rPr>
              <w:t xml:space="preserve">de </w:t>
            </w:r>
            <w:r w:rsidR="00EF6FAB" w:rsidRPr="009201E5">
              <w:rPr>
                <w:rFonts w:ascii="Century Gothic" w:eastAsia="Times New Roman" w:hAnsi="Century Gothic" w:cs="Arial"/>
                <w:color w:val="000000"/>
                <w:sz w:val="20"/>
                <w:szCs w:val="20"/>
              </w:rPr>
              <w:t xml:space="preserve">Transporte </w:t>
            </w:r>
            <w:r w:rsidR="00384866" w:rsidRPr="009201E5">
              <w:rPr>
                <w:rFonts w:ascii="Century Gothic" w:eastAsia="Times New Roman" w:hAnsi="Century Gothic" w:cs="Arial"/>
                <w:color w:val="000000"/>
                <w:sz w:val="20"/>
                <w:szCs w:val="20"/>
              </w:rPr>
              <w:t>Público UAE – SETP (AVANTE) para comprometer vigencias futuras ordinarias para la vigencia 2018</w:t>
            </w:r>
          </w:p>
        </w:tc>
        <w:tc>
          <w:tcPr>
            <w:tcW w:w="697" w:type="pct"/>
            <w:tcBorders>
              <w:top w:val="nil"/>
              <w:left w:val="nil"/>
              <w:bottom w:val="single" w:sz="4" w:space="0" w:color="auto"/>
              <w:right w:val="single" w:sz="4" w:space="0" w:color="auto"/>
            </w:tcBorders>
            <w:shd w:val="clear" w:color="auto" w:fill="auto"/>
            <w:noWrap/>
            <w:vAlign w:val="center"/>
            <w:hideMark/>
          </w:tcPr>
          <w:p w14:paraId="662DE133"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DB6B6DD"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8F8220D"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40</w:t>
            </w:r>
          </w:p>
        </w:tc>
        <w:tc>
          <w:tcPr>
            <w:tcW w:w="4027" w:type="pct"/>
            <w:tcBorders>
              <w:top w:val="nil"/>
              <w:left w:val="nil"/>
              <w:bottom w:val="single" w:sz="4" w:space="0" w:color="auto"/>
              <w:right w:val="single" w:sz="4" w:space="0" w:color="auto"/>
            </w:tcBorders>
            <w:shd w:val="clear" w:color="auto" w:fill="auto"/>
            <w:vAlign w:val="bottom"/>
            <w:hideMark/>
          </w:tcPr>
          <w:p w14:paraId="623F5311" w14:textId="102DD00E"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autoriza al Alcalde para comprometer vigencias futuras ordinarias para la vigencia 2018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3262A73E"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3AAEEAF6"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3591FEBF"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41</w:t>
            </w:r>
          </w:p>
        </w:tc>
        <w:tc>
          <w:tcPr>
            <w:tcW w:w="4027" w:type="pct"/>
            <w:tcBorders>
              <w:top w:val="nil"/>
              <w:left w:val="nil"/>
              <w:bottom w:val="single" w:sz="4" w:space="0" w:color="auto"/>
              <w:right w:val="single" w:sz="4" w:space="0" w:color="auto"/>
            </w:tcBorders>
            <w:shd w:val="clear" w:color="auto" w:fill="auto"/>
            <w:vAlign w:val="bottom"/>
            <w:hideMark/>
          </w:tcPr>
          <w:p w14:paraId="3CE6C3A6" w14:textId="44B17711"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modifica el presupuesto de rentas e ingresos y de gastos e inversiones del municipio de Pasto para la vigencia fiscal 2017 y se dictan otras disposiciones</w:t>
            </w:r>
          </w:p>
        </w:tc>
        <w:tc>
          <w:tcPr>
            <w:tcW w:w="697" w:type="pct"/>
            <w:tcBorders>
              <w:top w:val="nil"/>
              <w:left w:val="nil"/>
              <w:bottom w:val="single" w:sz="4" w:space="0" w:color="auto"/>
              <w:right w:val="single" w:sz="4" w:space="0" w:color="auto"/>
            </w:tcBorders>
            <w:shd w:val="clear" w:color="auto" w:fill="auto"/>
            <w:noWrap/>
            <w:vAlign w:val="center"/>
            <w:hideMark/>
          </w:tcPr>
          <w:p w14:paraId="7BEC7E1C"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08A51E07"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378C3B2"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42</w:t>
            </w:r>
          </w:p>
        </w:tc>
        <w:tc>
          <w:tcPr>
            <w:tcW w:w="4027" w:type="pct"/>
            <w:tcBorders>
              <w:top w:val="nil"/>
              <w:left w:val="nil"/>
              <w:bottom w:val="single" w:sz="4" w:space="0" w:color="auto"/>
              <w:right w:val="single" w:sz="4" w:space="0" w:color="auto"/>
            </w:tcBorders>
            <w:shd w:val="clear" w:color="auto" w:fill="auto"/>
            <w:vAlign w:val="bottom"/>
            <w:hideMark/>
          </w:tcPr>
          <w:p w14:paraId="2AF865D2" w14:textId="36C38476"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Se</w:t>
            </w:r>
            <w:r w:rsidR="00384866" w:rsidRPr="009201E5">
              <w:rPr>
                <w:rFonts w:ascii="Century Gothic" w:eastAsia="Times New Roman" w:hAnsi="Century Gothic" w:cs="Arial"/>
                <w:color w:val="000000"/>
                <w:sz w:val="20"/>
                <w:szCs w:val="20"/>
              </w:rPr>
              <w:t xml:space="preserve"> fijan las tarifas y derechos por trámites ante la </w:t>
            </w:r>
            <w:r w:rsidR="00EF6FAB" w:rsidRPr="009201E5">
              <w:rPr>
                <w:rFonts w:ascii="Century Gothic" w:eastAsia="Times New Roman" w:hAnsi="Century Gothic" w:cs="Arial"/>
                <w:color w:val="000000"/>
                <w:sz w:val="20"/>
                <w:szCs w:val="20"/>
              </w:rPr>
              <w:t xml:space="preserve">Secretaría </w:t>
            </w:r>
            <w:r w:rsidR="00384866" w:rsidRPr="009201E5">
              <w:rPr>
                <w:rFonts w:ascii="Century Gothic" w:eastAsia="Times New Roman" w:hAnsi="Century Gothic" w:cs="Arial"/>
                <w:color w:val="000000"/>
                <w:sz w:val="20"/>
                <w:szCs w:val="20"/>
              </w:rPr>
              <w:t xml:space="preserve">de </w:t>
            </w:r>
            <w:r w:rsidR="00EF6FAB" w:rsidRPr="009201E5">
              <w:rPr>
                <w:rFonts w:ascii="Century Gothic" w:eastAsia="Times New Roman" w:hAnsi="Century Gothic" w:cs="Arial"/>
                <w:color w:val="000000"/>
                <w:sz w:val="20"/>
                <w:szCs w:val="20"/>
              </w:rPr>
              <w:t xml:space="preserve">Tránsito </w:t>
            </w:r>
            <w:r w:rsidR="00384866" w:rsidRPr="009201E5">
              <w:rPr>
                <w:rFonts w:ascii="Century Gothic" w:eastAsia="Times New Roman" w:hAnsi="Century Gothic" w:cs="Arial"/>
                <w:color w:val="000000"/>
                <w:sz w:val="20"/>
                <w:szCs w:val="20"/>
              </w:rPr>
              <w:t xml:space="preserve">y </w:t>
            </w:r>
            <w:r w:rsidR="00EF6FAB" w:rsidRPr="009201E5">
              <w:rPr>
                <w:rFonts w:ascii="Century Gothic" w:eastAsia="Times New Roman" w:hAnsi="Century Gothic" w:cs="Arial"/>
                <w:color w:val="000000"/>
                <w:sz w:val="20"/>
                <w:szCs w:val="20"/>
              </w:rPr>
              <w:t xml:space="preserve">Transporte </w:t>
            </w:r>
            <w:r w:rsidR="00384866" w:rsidRPr="009201E5">
              <w:rPr>
                <w:rFonts w:ascii="Century Gothic" w:eastAsia="Times New Roman" w:hAnsi="Century Gothic" w:cs="Arial"/>
                <w:color w:val="000000"/>
                <w:sz w:val="20"/>
                <w:szCs w:val="20"/>
              </w:rPr>
              <w:t>municipal de Pasto</w:t>
            </w:r>
          </w:p>
        </w:tc>
        <w:tc>
          <w:tcPr>
            <w:tcW w:w="697" w:type="pct"/>
            <w:tcBorders>
              <w:top w:val="nil"/>
              <w:left w:val="nil"/>
              <w:bottom w:val="single" w:sz="4" w:space="0" w:color="auto"/>
              <w:right w:val="single" w:sz="4" w:space="0" w:color="auto"/>
            </w:tcBorders>
            <w:shd w:val="clear" w:color="auto" w:fill="auto"/>
            <w:noWrap/>
            <w:vAlign w:val="center"/>
            <w:hideMark/>
          </w:tcPr>
          <w:p w14:paraId="1667012F"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68114AFC"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17D9DA1"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lastRenderedPageBreak/>
              <w:t>43</w:t>
            </w:r>
          </w:p>
        </w:tc>
        <w:tc>
          <w:tcPr>
            <w:tcW w:w="4027" w:type="pct"/>
            <w:tcBorders>
              <w:top w:val="nil"/>
              <w:left w:val="nil"/>
              <w:bottom w:val="single" w:sz="4" w:space="0" w:color="auto"/>
              <w:right w:val="single" w:sz="4" w:space="0" w:color="auto"/>
            </w:tcBorders>
            <w:shd w:val="clear" w:color="auto" w:fill="auto"/>
            <w:vAlign w:val="bottom"/>
            <w:hideMark/>
          </w:tcPr>
          <w:p w14:paraId="0B14EDFA" w14:textId="31EACFB6"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dictan las normas necesarias para reglamentar la estancia de caninos o felinos domésticos o mascotas en zonas de recreo en el municipio de Pasto</w:t>
            </w:r>
          </w:p>
        </w:tc>
        <w:tc>
          <w:tcPr>
            <w:tcW w:w="697" w:type="pct"/>
            <w:tcBorders>
              <w:top w:val="nil"/>
              <w:left w:val="nil"/>
              <w:bottom w:val="single" w:sz="4" w:space="0" w:color="auto"/>
              <w:right w:val="single" w:sz="4" w:space="0" w:color="auto"/>
            </w:tcBorders>
            <w:shd w:val="clear" w:color="auto" w:fill="auto"/>
            <w:noWrap/>
            <w:vAlign w:val="center"/>
            <w:hideMark/>
          </w:tcPr>
          <w:p w14:paraId="3CFA440C" w14:textId="06B0FF3D" w:rsidR="00384866" w:rsidRPr="009201E5" w:rsidRDefault="009201E5"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Concejo</w:t>
            </w:r>
            <w:r>
              <w:rPr>
                <w:rFonts w:ascii="Century Gothic" w:eastAsia="Times New Roman" w:hAnsi="Century Gothic" w:cs="Calibri"/>
                <w:color w:val="000000"/>
                <w:sz w:val="20"/>
                <w:szCs w:val="20"/>
              </w:rPr>
              <w:t xml:space="preserve"> Municipal</w:t>
            </w:r>
          </w:p>
        </w:tc>
      </w:tr>
      <w:tr w:rsidR="00384866" w:rsidRPr="009201E5" w14:paraId="781EAF6D"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A76A273"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44</w:t>
            </w:r>
          </w:p>
        </w:tc>
        <w:tc>
          <w:tcPr>
            <w:tcW w:w="4027" w:type="pct"/>
            <w:tcBorders>
              <w:top w:val="nil"/>
              <w:left w:val="nil"/>
              <w:bottom w:val="single" w:sz="4" w:space="0" w:color="auto"/>
              <w:right w:val="single" w:sz="4" w:space="0" w:color="auto"/>
            </w:tcBorders>
            <w:shd w:val="clear" w:color="auto" w:fill="auto"/>
            <w:vAlign w:val="bottom"/>
            <w:hideMark/>
          </w:tcPr>
          <w:p w14:paraId="34430E1D" w14:textId="0300DFCA"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w:t>
            </w:r>
            <w:r w:rsidR="00EF6FAB">
              <w:rPr>
                <w:rFonts w:ascii="Century Gothic" w:eastAsia="Times New Roman" w:hAnsi="Century Gothic" w:cs="Arial"/>
                <w:color w:val="000000"/>
                <w:sz w:val="20"/>
                <w:szCs w:val="20"/>
              </w:rPr>
              <w:t>concede al Alcalde del municipio</w:t>
            </w:r>
            <w:r w:rsidR="00384866" w:rsidRPr="009201E5">
              <w:rPr>
                <w:rFonts w:ascii="Century Gothic" w:eastAsia="Times New Roman" w:hAnsi="Century Gothic" w:cs="Arial"/>
                <w:color w:val="000000"/>
                <w:sz w:val="20"/>
                <w:szCs w:val="20"/>
              </w:rPr>
              <w:t xml:space="preserve"> de Pasto facultades pro tempore para que incorpore por decreto los recursos del SGP educación, cofinanciación PAE y recursos provenientes de convenios y modifique el presupuesto de rentas e ingresos y gastos e inversiones del municipio de Pasto para la vigencia fiscal 2017 en el monto incorporado</w:t>
            </w:r>
          </w:p>
        </w:tc>
        <w:tc>
          <w:tcPr>
            <w:tcW w:w="697" w:type="pct"/>
            <w:tcBorders>
              <w:top w:val="nil"/>
              <w:left w:val="nil"/>
              <w:bottom w:val="single" w:sz="4" w:space="0" w:color="auto"/>
              <w:right w:val="single" w:sz="4" w:space="0" w:color="auto"/>
            </w:tcBorders>
            <w:shd w:val="clear" w:color="auto" w:fill="auto"/>
            <w:noWrap/>
            <w:vAlign w:val="center"/>
            <w:hideMark/>
          </w:tcPr>
          <w:p w14:paraId="0B813D70"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2A66B76E"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C3CDC36"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45</w:t>
            </w:r>
          </w:p>
        </w:tc>
        <w:tc>
          <w:tcPr>
            <w:tcW w:w="4027" w:type="pct"/>
            <w:tcBorders>
              <w:top w:val="nil"/>
              <w:left w:val="nil"/>
              <w:bottom w:val="single" w:sz="4" w:space="0" w:color="auto"/>
              <w:right w:val="single" w:sz="4" w:space="0" w:color="auto"/>
            </w:tcBorders>
            <w:shd w:val="clear" w:color="auto" w:fill="auto"/>
            <w:vAlign w:val="bottom"/>
            <w:hideMark/>
          </w:tcPr>
          <w:p w14:paraId="55D8E7F2" w14:textId="5B728952"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Gerente de la Unidad Administrativa Especial del Sistema </w:t>
            </w:r>
            <w:r w:rsidR="00EF6FAB" w:rsidRPr="009201E5">
              <w:rPr>
                <w:rFonts w:ascii="Century Gothic" w:eastAsia="Times New Roman" w:hAnsi="Century Gothic" w:cs="Arial"/>
                <w:color w:val="000000"/>
                <w:sz w:val="20"/>
                <w:szCs w:val="20"/>
              </w:rPr>
              <w:t xml:space="preserve">Estratégico </w:t>
            </w:r>
            <w:r w:rsidR="00384866" w:rsidRPr="009201E5">
              <w:rPr>
                <w:rFonts w:ascii="Century Gothic" w:eastAsia="Times New Roman" w:hAnsi="Century Gothic" w:cs="Arial"/>
                <w:color w:val="000000"/>
                <w:sz w:val="20"/>
                <w:szCs w:val="20"/>
              </w:rPr>
              <w:t xml:space="preserve">de </w:t>
            </w:r>
            <w:r w:rsidR="00EF6FAB" w:rsidRPr="009201E5">
              <w:rPr>
                <w:rFonts w:ascii="Century Gothic" w:eastAsia="Times New Roman" w:hAnsi="Century Gothic" w:cs="Arial"/>
                <w:color w:val="000000"/>
                <w:sz w:val="20"/>
                <w:szCs w:val="20"/>
              </w:rPr>
              <w:t xml:space="preserve">Transporte </w:t>
            </w:r>
            <w:r w:rsidR="00384866" w:rsidRPr="009201E5">
              <w:rPr>
                <w:rFonts w:ascii="Century Gothic" w:eastAsia="Times New Roman" w:hAnsi="Century Gothic" w:cs="Arial"/>
                <w:color w:val="000000"/>
                <w:sz w:val="20"/>
                <w:szCs w:val="20"/>
              </w:rPr>
              <w:t>Público UAE</w:t>
            </w:r>
            <w:r w:rsidR="00B5595A">
              <w:rPr>
                <w:rFonts w:ascii="Century Gothic" w:eastAsia="Times New Roman" w:hAnsi="Century Gothic" w:cs="Arial"/>
                <w:color w:val="000000"/>
                <w:sz w:val="20"/>
                <w:szCs w:val="20"/>
              </w:rPr>
              <w:t xml:space="preserve"> </w:t>
            </w:r>
            <w:r w:rsidR="00384866" w:rsidRPr="009201E5">
              <w:rPr>
                <w:rFonts w:ascii="Century Gothic" w:eastAsia="Times New Roman" w:hAnsi="Century Gothic" w:cs="Arial"/>
                <w:color w:val="000000"/>
                <w:sz w:val="20"/>
                <w:szCs w:val="20"/>
              </w:rPr>
              <w:t>– SETP, para comprometer vigencias futuras excepcionales para la vigencia 2018</w:t>
            </w:r>
          </w:p>
        </w:tc>
        <w:tc>
          <w:tcPr>
            <w:tcW w:w="697" w:type="pct"/>
            <w:tcBorders>
              <w:top w:val="nil"/>
              <w:left w:val="nil"/>
              <w:bottom w:val="single" w:sz="4" w:space="0" w:color="auto"/>
              <w:right w:val="single" w:sz="4" w:space="0" w:color="auto"/>
            </w:tcBorders>
            <w:shd w:val="clear" w:color="auto" w:fill="auto"/>
            <w:noWrap/>
            <w:vAlign w:val="center"/>
            <w:hideMark/>
          </w:tcPr>
          <w:p w14:paraId="7D471111"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5E5E1E92"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197D359"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46</w:t>
            </w:r>
          </w:p>
        </w:tc>
        <w:tc>
          <w:tcPr>
            <w:tcW w:w="4027" w:type="pct"/>
            <w:tcBorders>
              <w:top w:val="nil"/>
              <w:left w:val="nil"/>
              <w:bottom w:val="single" w:sz="4" w:space="0" w:color="auto"/>
              <w:right w:val="single" w:sz="4" w:space="0" w:color="auto"/>
            </w:tcBorders>
            <w:shd w:val="clear" w:color="auto" w:fill="auto"/>
            <w:vAlign w:val="bottom"/>
            <w:hideMark/>
          </w:tcPr>
          <w:p w14:paraId="7893D5BF" w14:textId="5D11EDDC"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e actualiza el estatuto tributario del municipio de Pasto</w:t>
            </w:r>
          </w:p>
        </w:tc>
        <w:tc>
          <w:tcPr>
            <w:tcW w:w="697" w:type="pct"/>
            <w:tcBorders>
              <w:top w:val="nil"/>
              <w:left w:val="nil"/>
              <w:bottom w:val="single" w:sz="4" w:space="0" w:color="auto"/>
              <w:right w:val="single" w:sz="4" w:space="0" w:color="auto"/>
            </w:tcBorders>
            <w:shd w:val="clear" w:color="auto" w:fill="auto"/>
            <w:noWrap/>
            <w:vAlign w:val="center"/>
            <w:hideMark/>
          </w:tcPr>
          <w:p w14:paraId="5A7BE71D"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r w:rsidR="00384866" w:rsidRPr="009201E5" w14:paraId="4F095FFA" w14:textId="77777777" w:rsidTr="00BC682E">
        <w:trPr>
          <w:trHeight w:val="20"/>
        </w:trPr>
        <w:tc>
          <w:tcPr>
            <w:tcW w:w="276"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5BC7BB7A" w14:textId="77777777" w:rsidR="00384866" w:rsidRPr="009201E5" w:rsidRDefault="00384866" w:rsidP="00384866">
            <w:pPr>
              <w:spacing w:after="0" w:line="240" w:lineRule="auto"/>
              <w:jc w:val="center"/>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47</w:t>
            </w:r>
          </w:p>
        </w:tc>
        <w:tc>
          <w:tcPr>
            <w:tcW w:w="4027" w:type="pct"/>
            <w:tcBorders>
              <w:top w:val="nil"/>
              <w:left w:val="nil"/>
              <w:bottom w:val="single" w:sz="4" w:space="0" w:color="auto"/>
              <w:right w:val="single" w:sz="4" w:space="0" w:color="auto"/>
            </w:tcBorders>
            <w:shd w:val="clear" w:color="auto" w:fill="auto"/>
            <w:vAlign w:val="bottom"/>
            <w:hideMark/>
          </w:tcPr>
          <w:p w14:paraId="18701B81" w14:textId="54A51063" w:rsidR="00384866" w:rsidRPr="009201E5" w:rsidRDefault="009201E5" w:rsidP="0013149A">
            <w:pPr>
              <w:spacing w:after="0" w:line="240" w:lineRule="auto"/>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S</w:t>
            </w:r>
            <w:r w:rsidR="00384866" w:rsidRPr="009201E5">
              <w:rPr>
                <w:rFonts w:ascii="Century Gothic" w:eastAsia="Times New Roman" w:hAnsi="Century Gothic" w:cs="Arial"/>
                <w:color w:val="000000"/>
                <w:sz w:val="20"/>
                <w:szCs w:val="20"/>
              </w:rPr>
              <w:t xml:space="preserve">e autoriza al Gerente de la Unidad Administrativa Especial del Sistema </w:t>
            </w:r>
            <w:r w:rsidR="00EF6FAB" w:rsidRPr="009201E5">
              <w:rPr>
                <w:rFonts w:ascii="Century Gothic" w:eastAsia="Times New Roman" w:hAnsi="Century Gothic" w:cs="Arial"/>
                <w:color w:val="000000"/>
                <w:sz w:val="20"/>
                <w:szCs w:val="20"/>
              </w:rPr>
              <w:t xml:space="preserve">Estratégico </w:t>
            </w:r>
            <w:r w:rsidR="00384866" w:rsidRPr="009201E5">
              <w:rPr>
                <w:rFonts w:ascii="Century Gothic" w:eastAsia="Times New Roman" w:hAnsi="Century Gothic" w:cs="Arial"/>
                <w:color w:val="000000"/>
                <w:sz w:val="20"/>
                <w:szCs w:val="20"/>
              </w:rPr>
              <w:t xml:space="preserve">de </w:t>
            </w:r>
            <w:r w:rsidR="00EF6FAB" w:rsidRPr="009201E5">
              <w:rPr>
                <w:rFonts w:ascii="Century Gothic" w:eastAsia="Times New Roman" w:hAnsi="Century Gothic" w:cs="Arial"/>
                <w:color w:val="000000"/>
                <w:sz w:val="20"/>
                <w:szCs w:val="20"/>
              </w:rPr>
              <w:t xml:space="preserve">Transporte </w:t>
            </w:r>
            <w:r w:rsidR="00384866" w:rsidRPr="009201E5">
              <w:rPr>
                <w:rFonts w:ascii="Century Gothic" w:eastAsia="Times New Roman" w:hAnsi="Century Gothic" w:cs="Arial"/>
                <w:color w:val="000000"/>
                <w:sz w:val="20"/>
                <w:szCs w:val="20"/>
              </w:rPr>
              <w:t>Público UAE</w:t>
            </w:r>
            <w:r w:rsidR="00B5595A">
              <w:rPr>
                <w:rFonts w:ascii="Century Gothic" w:eastAsia="Times New Roman" w:hAnsi="Century Gothic" w:cs="Arial"/>
                <w:color w:val="000000"/>
                <w:sz w:val="20"/>
                <w:szCs w:val="20"/>
              </w:rPr>
              <w:t xml:space="preserve"> </w:t>
            </w:r>
            <w:r w:rsidR="00384866" w:rsidRPr="009201E5">
              <w:rPr>
                <w:rFonts w:ascii="Century Gothic" w:eastAsia="Times New Roman" w:hAnsi="Century Gothic" w:cs="Arial"/>
                <w:color w:val="000000"/>
                <w:sz w:val="20"/>
                <w:szCs w:val="20"/>
              </w:rPr>
              <w:t>– SETP, para comprometer vigencias futuras ordinarias en ejecución de contratos para la vigencia 2018</w:t>
            </w:r>
          </w:p>
        </w:tc>
        <w:tc>
          <w:tcPr>
            <w:tcW w:w="697" w:type="pct"/>
            <w:tcBorders>
              <w:top w:val="nil"/>
              <w:left w:val="nil"/>
              <w:bottom w:val="single" w:sz="4" w:space="0" w:color="auto"/>
              <w:right w:val="single" w:sz="4" w:space="0" w:color="auto"/>
            </w:tcBorders>
            <w:shd w:val="clear" w:color="auto" w:fill="auto"/>
            <w:noWrap/>
            <w:vAlign w:val="center"/>
            <w:hideMark/>
          </w:tcPr>
          <w:p w14:paraId="1FDBD1B9" w14:textId="77777777" w:rsidR="00384866" w:rsidRPr="009201E5" w:rsidRDefault="00384866" w:rsidP="00EF6FAB">
            <w:pPr>
              <w:spacing w:after="0" w:line="240" w:lineRule="auto"/>
              <w:rPr>
                <w:rFonts w:ascii="Century Gothic" w:eastAsia="Times New Roman" w:hAnsi="Century Gothic" w:cs="Calibri"/>
                <w:color w:val="000000"/>
                <w:sz w:val="20"/>
                <w:szCs w:val="20"/>
              </w:rPr>
            </w:pPr>
            <w:r w:rsidRPr="009201E5">
              <w:rPr>
                <w:rFonts w:ascii="Century Gothic" w:eastAsia="Times New Roman" w:hAnsi="Century Gothic" w:cs="Calibri"/>
                <w:color w:val="000000"/>
                <w:sz w:val="20"/>
                <w:szCs w:val="20"/>
              </w:rPr>
              <w:t>Alcalde</w:t>
            </w:r>
          </w:p>
        </w:tc>
      </w:tr>
    </w:tbl>
    <w:p w14:paraId="45792C4B" w14:textId="77777777" w:rsidR="00B5595A" w:rsidRPr="00B5595A" w:rsidRDefault="00B5595A" w:rsidP="00B5595A">
      <w:pPr>
        <w:jc w:val="center"/>
        <w:rPr>
          <w:rFonts w:ascii="Century Gothic" w:hAnsi="Century Gothic"/>
          <w:sz w:val="20"/>
        </w:rPr>
      </w:pPr>
      <w:r w:rsidRPr="00B5595A">
        <w:rPr>
          <w:rFonts w:ascii="Century Gothic" w:hAnsi="Century Gothic"/>
          <w:sz w:val="20"/>
        </w:rPr>
        <w:t>Fuente: Secretaría de Hacienda, 2018</w:t>
      </w:r>
    </w:p>
    <w:p w14:paraId="1E1CDAFA" w14:textId="77777777" w:rsidR="00ED54EE" w:rsidRDefault="00384866" w:rsidP="00384866">
      <w:pPr>
        <w:jc w:val="both"/>
        <w:rPr>
          <w:rFonts w:ascii="Century Gothic" w:hAnsi="Century Gothic"/>
        </w:rPr>
      </w:pPr>
      <w:r w:rsidRPr="00B5595A">
        <w:rPr>
          <w:rFonts w:ascii="Century Gothic" w:hAnsi="Century Gothic"/>
        </w:rPr>
        <w:t>Durante la vigencia 2017 se expidieron 47 acuerdos</w:t>
      </w:r>
      <w:r w:rsidR="0013149A" w:rsidRPr="00B5595A">
        <w:rPr>
          <w:rFonts w:ascii="Century Gothic" w:hAnsi="Century Gothic"/>
        </w:rPr>
        <w:t>,</w:t>
      </w:r>
      <w:r w:rsidRPr="00B5595A">
        <w:rPr>
          <w:rFonts w:ascii="Century Gothic" w:hAnsi="Century Gothic"/>
        </w:rPr>
        <w:t xml:space="preserve"> de los cuales</w:t>
      </w:r>
      <w:r w:rsidR="0013149A" w:rsidRPr="00B5595A">
        <w:rPr>
          <w:rFonts w:ascii="Century Gothic" w:hAnsi="Century Gothic"/>
        </w:rPr>
        <w:t>,</w:t>
      </w:r>
      <w:r w:rsidRPr="00B5595A">
        <w:rPr>
          <w:rFonts w:ascii="Century Gothic" w:hAnsi="Century Gothic"/>
        </w:rPr>
        <w:t xml:space="preserve"> </w:t>
      </w:r>
      <w:r w:rsidR="0013149A" w:rsidRPr="00B5595A">
        <w:rPr>
          <w:rFonts w:ascii="Century Gothic" w:hAnsi="Century Gothic"/>
        </w:rPr>
        <w:t xml:space="preserve">tres son iniciativa del Concejo Municipal, </w:t>
      </w:r>
      <w:r w:rsidRPr="00B5595A">
        <w:rPr>
          <w:rFonts w:ascii="Century Gothic" w:hAnsi="Century Gothic"/>
        </w:rPr>
        <w:t xml:space="preserve">dos </w:t>
      </w:r>
      <w:r w:rsidR="0013149A" w:rsidRPr="00B5595A">
        <w:rPr>
          <w:rFonts w:ascii="Century Gothic" w:hAnsi="Century Gothic"/>
        </w:rPr>
        <w:t>de la</w:t>
      </w:r>
      <w:r w:rsidRPr="00B5595A">
        <w:rPr>
          <w:rFonts w:ascii="Century Gothic" w:hAnsi="Century Gothic"/>
        </w:rPr>
        <w:t xml:space="preserve"> Contralor</w:t>
      </w:r>
      <w:r w:rsidR="0013149A" w:rsidRPr="00B5595A">
        <w:rPr>
          <w:rFonts w:ascii="Century Gothic" w:hAnsi="Century Gothic"/>
        </w:rPr>
        <w:t>ía</w:t>
      </w:r>
      <w:r w:rsidRPr="00B5595A">
        <w:rPr>
          <w:rFonts w:ascii="Century Gothic" w:hAnsi="Century Gothic"/>
        </w:rPr>
        <w:t xml:space="preserve"> Municipal, uno de la Personería Municipal y </w:t>
      </w:r>
      <w:r w:rsidR="0013149A" w:rsidRPr="00B5595A">
        <w:rPr>
          <w:rFonts w:ascii="Century Gothic" w:hAnsi="Century Gothic"/>
        </w:rPr>
        <w:t xml:space="preserve">los demás son iniciativa del Alcalde, entre estos últimos, se autorizan </w:t>
      </w:r>
      <w:r w:rsidRPr="00B5595A">
        <w:rPr>
          <w:rFonts w:ascii="Century Gothic" w:hAnsi="Century Gothic"/>
        </w:rPr>
        <w:t>vigencias futuras, se realiz</w:t>
      </w:r>
      <w:r w:rsidR="0013149A" w:rsidRPr="00B5595A">
        <w:rPr>
          <w:rFonts w:ascii="Century Gothic" w:hAnsi="Century Gothic"/>
        </w:rPr>
        <w:t xml:space="preserve">an </w:t>
      </w:r>
      <w:r w:rsidRPr="00B5595A">
        <w:rPr>
          <w:rFonts w:ascii="Century Gothic" w:hAnsi="Century Gothic"/>
        </w:rPr>
        <w:t xml:space="preserve">modificaciones al Estatuto Tributario del </w:t>
      </w:r>
      <w:r w:rsidR="00ED54EE" w:rsidRPr="00B5595A">
        <w:rPr>
          <w:rFonts w:ascii="Century Gothic" w:hAnsi="Century Gothic"/>
        </w:rPr>
        <w:t xml:space="preserve">municipio </w:t>
      </w:r>
      <w:r w:rsidRPr="00B5595A">
        <w:rPr>
          <w:rFonts w:ascii="Century Gothic" w:hAnsi="Century Gothic"/>
        </w:rPr>
        <w:t>de Pasto</w:t>
      </w:r>
      <w:r w:rsidR="00ED54EE">
        <w:rPr>
          <w:rFonts w:ascii="Century Gothic" w:hAnsi="Century Gothic"/>
        </w:rPr>
        <w:t>.</w:t>
      </w:r>
    </w:p>
    <w:p w14:paraId="4F0DE917" w14:textId="3A7CEDCB" w:rsidR="00384866" w:rsidRPr="00B5595A" w:rsidRDefault="00ED54EE" w:rsidP="00384866">
      <w:pPr>
        <w:jc w:val="both"/>
        <w:rPr>
          <w:rFonts w:ascii="Century Gothic" w:hAnsi="Century Gothic"/>
        </w:rPr>
      </w:pPr>
      <w:r w:rsidRPr="00B5595A">
        <w:rPr>
          <w:rFonts w:ascii="Century Gothic" w:hAnsi="Century Gothic"/>
        </w:rPr>
        <w:t>L</w:t>
      </w:r>
      <w:r w:rsidR="00384866" w:rsidRPr="00B5595A">
        <w:rPr>
          <w:rFonts w:ascii="Century Gothic" w:hAnsi="Century Gothic"/>
        </w:rPr>
        <w:t>os acuerdos que tienen costos para la vigencia 2018 son los que aprueban los porcentajes de subsidios y contribuciones</w:t>
      </w:r>
      <w:r w:rsidR="0013149A" w:rsidRPr="00B5595A">
        <w:rPr>
          <w:rFonts w:ascii="Century Gothic" w:hAnsi="Century Gothic"/>
        </w:rPr>
        <w:t>,</w:t>
      </w:r>
      <w:r w:rsidR="00384866" w:rsidRPr="00B5595A">
        <w:rPr>
          <w:rFonts w:ascii="Century Gothic" w:hAnsi="Century Gothic"/>
        </w:rPr>
        <w:t xml:space="preserve"> valores que se encuentran contemplados en el p</w:t>
      </w:r>
      <w:r w:rsidR="00B5595A" w:rsidRPr="00B5595A">
        <w:rPr>
          <w:rFonts w:ascii="Century Gothic" w:hAnsi="Century Gothic"/>
        </w:rPr>
        <w:t xml:space="preserve">resupuesto de la vigencia 2018; </w:t>
      </w:r>
      <w:r w:rsidR="00384866" w:rsidRPr="00B5595A">
        <w:rPr>
          <w:rFonts w:ascii="Century Gothic" w:hAnsi="Century Gothic"/>
        </w:rPr>
        <w:t xml:space="preserve">los demás tuvieron efectos en el </w:t>
      </w:r>
      <w:r>
        <w:rPr>
          <w:rFonts w:ascii="Century Gothic" w:hAnsi="Century Gothic"/>
        </w:rPr>
        <w:t xml:space="preserve">año </w:t>
      </w:r>
      <w:r w:rsidR="00384866" w:rsidRPr="00B5595A">
        <w:rPr>
          <w:rFonts w:ascii="Century Gothic" w:hAnsi="Century Gothic"/>
        </w:rPr>
        <w:t>2017</w:t>
      </w:r>
      <w:r w:rsidR="00B5595A" w:rsidRPr="00B5595A">
        <w:rPr>
          <w:rFonts w:ascii="Century Gothic" w:hAnsi="Century Gothic"/>
        </w:rPr>
        <w:t>,</w:t>
      </w:r>
      <w:r w:rsidR="00384866" w:rsidRPr="00B5595A">
        <w:rPr>
          <w:rFonts w:ascii="Century Gothic" w:hAnsi="Century Gothic"/>
        </w:rPr>
        <w:t xml:space="preserve"> </w:t>
      </w:r>
      <w:r>
        <w:rPr>
          <w:rFonts w:ascii="Century Gothic" w:hAnsi="Century Gothic"/>
        </w:rPr>
        <w:t>entre los que se destaca</w:t>
      </w:r>
      <w:r w:rsidR="00B5595A" w:rsidRPr="00B5595A">
        <w:rPr>
          <w:rFonts w:ascii="Century Gothic" w:hAnsi="Century Gothic"/>
        </w:rPr>
        <w:t>:</w:t>
      </w:r>
      <w:r w:rsidR="00384866" w:rsidRPr="00B5595A">
        <w:rPr>
          <w:rFonts w:ascii="Century Gothic" w:hAnsi="Century Gothic"/>
        </w:rPr>
        <w:t xml:space="preserve"> las modificacion</w:t>
      </w:r>
      <w:r w:rsidR="00B5595A" w:rsidRPr="00B5595A">
        <w:rPr>
          <w:rFonts w:ascii="Century Gothic" w:hAnsi="Century Gothic"/>
        </w:rPr>
        <w:t>es al presupuesto</w:t>
      </w:r>
      <w:r>
        <w:rPr>
          <w:rFonts w:ascii="Century Gothic" w:hAnsi="Century Gothic"/>
        </w:rPr>
        <w:t xml:space="preserve"> y</w:t>
      </w:r>
      <w:r w:rsidR="00B5595A" w:rsidRPr="00B5595A">
        <w:rPr>
          <w:rFonts w:ascii="Century Gothic" w:hAnsi="Century Gothic"/>
        </w:rPr>
        <w:t xml:space="preserve"> otros que </w:t>
      </w:r>
      <w:r w:rsidR="00384866" w:rsidRPr="00B5595A">
        <w:rPr>
          <w:rFonts w:ascii="Century Gothic" w:hAnsi="Century Gothic"/>
        </w:rPr>
        <w:t xml:space="preserve">autoriza al </w:t>
      </w:r>
      <w:r w:rsidR="00B5595A" w:rsidRPr="00B5595A">
        <w:rPr>
          <w:rFonts w:ascii="Century Gothic" w:hAnsi="Century Gothic"/>
        </w:rPr>
        <w:t xml:space="preserve">Alcalde </w:t>
      </w:r>
      <w:r w:rsidR="00384866" w:rsidRPr="00B5595A">
        <w:rPr>
          <w:rFonts w:ascii="Century Gothic" w:hAnsi="Century Gothic"/>
        </w:rPr>
        <w:t>para contratar por encima del monto establecido</w:t>
      </w:r>
      <w:r w:rsidR="00B5595A" w:rsidRPr="00B5595A">
        <w:rPr>
          <w:rFonts w:ascii="Century Gothic" w:hAnsi="Century Gothic"/>
        </w:rPr>
        <w:t>,</w:t>
      </w:r>
      <w:r w:rsidR="00384866" w:rsidRPr="00B5595A">
        <w:rPr>
          <w:rFonts w:ascii="Century Gothic" w:hAnsi="Century Gothic"/>
        </w:rPr>
        <w:t xml:space="preserve"> los cuales no tienen efectos presupuestales.</w:t>
      </w:r>
    </w:p>
    <w:p w14:paraId="0C427443" w14:textId="77777777" w:rsidR="003C01E5" w:rsidRPr="00B5595A" w:rsidRDefault="00896530" w:rsidP="00E059C0">
      <w:pPr>
        <w:pStyle w:val="Ttulo1"/>
      </w:pPr>
      <w:bookmarkStart w:id="53" w:name="_Toc532565932"/>
      <w:r w:rsidRPr="00B5595A">
        <w:rPr>
          <w:rStyle w:val="Ttulo1Car"/>
          <w:b/>
          <w:bCs/>
        </w:rPr>
        <w:t>Relación de los pasivos exigibles y de los pasivos contingentes</w:t>
      </w:r>
      <w:bookmarkEnd w:id="53"/>
    </w:p>
    <w:p w14:paraId="6C72DFB7" w14:textId="77777777" w:rsidR="00E86A11" w:rsidRPr="00B5595A" w:rsidRDefault="00E86A11" w:rsidP="00E059C0">
      <w:pPr>
        <w:pStyle w:val="Ttulo2"/>
      </w:pPr>
      <w:bookmarkStart w:id="54" w:name="_Toc532565933"/>
      <w:r w:rsidRPr="00B5595A">
        <w:rPr>
          <w:rStyle w:val="Ttulo2Car"/>
          <w:b/>
          <w:bCs/>
        </w:rPr>
        <w:t xml:space="preserve">Pasivos </w:t>
      </w:r>
      <w:r w:rsidR="00EA43E7" w:rsidRPr="00B5595A">
        <w:rPr>
          <w:rStyle w:val="Ttulo2Car"/>
          <w:b/>
          <w:bCs/>
        </w:rPr>
        <w:t xml:space="preserve">ciertos o </w:t>
      </w:r>
      <w:r w:rsidRPr="00B5595A">
        <w:rPr>
          <w:rStyle w:val="Ttulo2Car"/>
          <w:b/>
          <w:bCs/>
        </w:rPr>
        <w:t>exigibles</w:t>
      </w:r>
      <w:bookmarkEnd w:id="54"/>
    </w:p>
    <w:p w14:paraId="1272D41A" w14:textId="07228B6B" w:rsidR="001800FE" w:rsidRPr="001E2110" w:rsidRDefault="00ED54EE" w:rsidP="001800FE">
      <w:pPr>
        <w:spacing w:after="240"/>
        <w:jc w:val="both"/>
        <w:rPr>
          <w:rFonts w:ascii="Century Gothic" w:hAnsi="Century Gothic"/>
          <w:highlight w:val="yellow"/>
          <w:lang w:val="es-ES"/>
        </w:rPr>
      </w:pPr>
      <w:r>
        <w:rPr>
          <w:rFonts w:ascii="Century Gothic" w:hAnsi="Century Gothic"/>
          <w:lang w:val="es-ES"/>
        </w:rPr>
        <w:t>S</w:t>
      </w:r>
      <w:r w:rsidR="001800FE" w:rsidRPr="00B5595A">
        <w:rPr>
          <w:rFonts w:ascii="Century Gothic" w:hAnsi="Century Gothic"/>
          <w:lang w:val="es-ES"/>
        </w:rPr>
        <w:t xml:space="preserve">on aquellos compromisos que habiendo cumplido todo el ciclo presupuestal y recibidos los bienes y/o servicios a satisfacción, no se ha efectuado el respectivo pago en las vigencias anteriores; es decir, no existe discusión alguna sobre la certeza </w:t>
      </w:r>
      <w:r w:rsidR="00243557">
        <w:rPr>
          <w:rFonts w:ascii="Century Gothic" w:hAnsi="Century Gothic"/>
          <w:lang w:val="es-ES"/>
        </w:rPr>
        <w:t>de tener que realizar el pago.</w:t>
      </w:r>
    </w:p>
    <w:p w14:paraId="5A3FB545" w14:textId="78AC8AAE" w:rsidR="001800FE" w:rsidRPr="001E2110" w:rsidRDefault="001800FE" w:rsidP="001800FE">
      <w:pPr>
        <w:spacing w:after="240"/>
        <w:jc w:val="both"/>
        <w:rPr>
          <w:rFonts w:ascii="Century Gothic" w:hAnsi="Century Gothic"/>
          <w:highlight w:val="yellow"/>
          <w:lang w:val="es-ES"/>
        </w:rPr>
      </w:pPr>
      <w:r w:rsidRPr="00B5595A">
        <w:rPr>
          <w:rFonts w:ascii="Century Gothic" w:hAnsi="Century Gothic"/>
          <w:lang w:val="es-ES"/>
        </w:rPr>
        <w:t>Atendiendo el Articulo 89 del Decreto 111 de</w:t>
      </w:r>
      <w:r w:rsidR="00ED54EE">
        <w:rPr>
          <w:rFonts w:ascii="Century Gothic" w:hAnsi="Century Gothic"/>
          <w:lang w:val="es-ES"/>
        </w:rPr>
        <w:t xml:space="preserve"> 1996 y el Estatuto Orgánico de</w:t>
      </w:r>
      <w:r w:rsidRPr="00B5595A">
        <w:rPr>
          <w:rFonts w:ascii="Century Gothic" w:hAnsi="Century Gothic"/>
          <w:lang w:val="es-ES"/>
        </w:rPr>
        <w:t xml:space="preserve"> Presupuesto aprobado por el Concejo </w:t>
      </w:r>
      <w:r w:rsidR="00ED54EE" w:rsidRPr="00B5595A">
        <w:rPr>
          <w:rFonts w:ascii="Century Gothic" w:hAnsi="Century Gothic"/>
          <w:lang w:val="es-ES"/>
        </w:rPr>
        <w:t xml:space="preserve">Municipal </w:t>
      </w:r>
      <w:r w:rsidRPr="00B5595A">
        <w:rPr>
          <w:rFonts w:ascii="Century Gothic" w:hAnsi="Century Gothic"/>
          <w:lang w:val="es-ES"/>
        </w:rPr>
        <w:t>de Pasto, mediante Acuerdo 065 del 22 de diciembre de 1996</w:t>
      </w:r>
      <w:r w:rsidR="00B5595A" w:rsidRPr="00B5595A">
        <w:rPr>
          <w:rFonts w:ascii="Century Gothic" w:hAnsi="Century Gothic"/>
          <w:lang w:val="es-ES"/>
        </w:rPr>
        <w:t>,</w:t>
      </w:r>
      <w:r w:rsidRPr="00B5595A">
        <w:rPr>
          <w:rFonts w:ascii="Century Gothic" w:hAnsi="Century Gothic"/>
          <w:lang w:val="es-ES"/>
        </w:rPr>
        <w:t xml:space="preserve"> en su </w:t>
      </w:r>
      <w:r w:rsidR="001854C1" w:rsidRPr="00B5595A">
        <w:rPr>
          <w:rFonts w:ascii="Century Gothic" w:hAnsi="Century Gothic"/>
          <w:lang w:val="es-ES"/>
        </w:rPr>
        <w:t xml:space="preserve">Artículo </w:t>
      </w:r>
      <w:r w:rsidRPr="00B5595A">
        <w:rPr>
          <w:rFonts w:ascii="Century Gothic" w:hAnsi="Century Gothic"/>
          <w:lang w:val="es-ES"/>
        </w:rPr>
        <w:t>97 estipula</w:t>
      </w:r>
      <w:r w:rsidR="00ED54EE">
        <w:rPr>
          <w:rFonts w:ascii="Century Gothic" w:hAnsi="Century Gothic"/>
          <w:lang w:val="es-ES"/>
        </w:rPr>
        <w:t xml:space="preserve"> que:</w:t>
      </w:r>
      <w:r w:rsidR="00243557">
        <w:rPr>
          <w:rFonts w:ascii="Century Gothic" w:hAnsi="Century Gothic"/>
          <w:lang w:val="es-ES"/>
        </w:rPr>
        <w:t xml:space="preserve"> </w:t>
      </w:r>
      <w:r w:rsidR="00ED54EE">
        <w:rPr>
          <w:rFonts w:ascii="Century Gothic" w:hAnsi="Century Gothic"/>
          <w:lang w:val="es-ES"/>
        </w:rPr>
        <w:t>“</w:t>
      </w:r>
      <w:r w:rsidRPr="00B5595A">
        <w:rPr>
          <w:rFonts w:ascii="Century Gothic" w:hAnsi="Century Gothic"/>
          <w:lang w:val="es-ES"/>
        </w:rPr>
        <w:t xml:space="preserve">al cierre de cada </w:t>
      </w:r>
      <w:r w:rsidRPr="00B5595A">
        <w:rPr>
          <w:rFonts w:ascii="Century Gothic" w:hAnsi="Century Gothic"/>
          <w:lang w:val="es-ES"/>
        </w:rPr>
        <w:lastRenderedPageBreak/>
        <w:t>vigencia fiscal se cumplió con el deber de constituir las Cuentas por Pagar que incluye los establecimientos públicos, UAE Sistema Estratégico de Transporte Publico, Fondos Cuenta, Concejo, Personería y Contraloría Municipal, cuyos pagos los realizara cada entidad, según las obligaciones correspondientes a los anticipos pactados en los contratos y a la entrega de bienes y servicios</w:t>
      </w:r>
      <w:r w:rsidR="00ED54EE">
        <w:rPr>
          <w:rFonts w:ascii="Century Gothic" w:hAnsi="Century Gothic"/>
          <w:lang w:val="es-ES"/>
        </w:rPr>
        <w:t>”</w:t>
      </w:r>
      <w:r w:rsidRPr="00B5595A">
        <w:rPr>
          <w:rFonts w:ascii="Century Gothic" w:hAnsi="Century Gothic"/>
          <w:lang w:val="es-ES"/>
        </w:rPr>
        <w:t>.</w:t>
      </w:r>
    </w:p>
    <w:p w14:paraId="591A1160" w14:textId="43C2CF0F" w:rsidR="001800FE" w:rsidRPr="00CF2F3E" w:rsidRDefault="001800FE" w:rsidP="001800FE">
      <w:pPr>
        <w:spacing w:after="240"/>
        <w:jc w:val="both"/>
        <w:rPr>
          <w:rFonts w:ascii="Century Gothic" w:hAnsi="Century Gothic"/>
          <w:lang w:val="es-ES"/>
        </w:rPr>
      </w:pPr>
      <w:r w:rsidRPr="00CF2F3E">
        <w:rPr>
          <w:rFonts w:ascii="Century Gothic" w:hAnsi="Century Gothic"/>
          <w:lang w:val="es-ES"/>
        </w:rPr>
        <w:t>Estas obligaciones contraídas por la Administración Municipal y entidades</w:t>
      </w:r>
      <w:r w:rsidR="00CF2F3E">
        <w:rPr>
          <w:rFonts w:ascii="Century Gothic" w:hAnsi="Century Gothic"/>
          <w:lang w:val="es-ES"/>
        </w:rPr>
        <w:t>,</w:t>
      </w:r>
      <w:r w:rsidRPr="00CF2F3E">
        <w:rPr>
          <w:rFonts w:ascii="Century Gothic" w:hAnsi="Century Gothic"/>
          <w:lang w:val="es-ES"/>
        </w:rPr>
        <w:t xml:space="preserve"> cuentan con los recursos que se encuentran disponibles en las entidades financieras para ser girados de acuerdo con la programación respectiva, con recursos de </w:t>
      </w:r>
      <w:r w:rsidR="00CF2F3E" w:rsidRPr="00CF2F3E">
        <w:rPr>
          <w:rFonts w:ascii="Century Gothic" w:hAnsi="Century Gothic"/>
          <w:lang w:val="es-ES"/>
        </w:rPr>
        <w:t>funcionamiento, destinación específica</w:t>
      </w:r>
      <w:r w:rsidRPr="00CF2F3E">
        <w:rPr>
          <w:rFonts w:ascii="Century Gothic" w:hAnsi="Century Gothic"/>
          <w:lang w:val="es-ES"/>
        </w:rPr>
        <w:t xml:space="preserve">, SGP, </w:t>
      </w:r>
      <w:r w:rsidR="003A2979" w:rsidRPr="00CF2F3E">
        <w:rPr>
          <w:rFonts w:ascii="Century Gothic" w:hAnsi="Century Gothic"/>
          <w:lang w:val="es-ES"/>
        </w:rPr>
        <w:t>inversión</w:t>
      </w:r>
      <w:r w:rsidR="00CF2F3E" w:rsidRPr="00CF2F3E">
        <w:rPr>
          <w:rFonts w:ascii="Century Gothic" w:hAnsi="Century Gothic"/>
          <w:lang w:val="es-ES"/>
        </w:rPr>
        <w:t>, fondos cuenta y cofinanciación.</w:t>
      </w:r>
    </w:p>
    <w:p w14:paraId="310D86A0" w14:textId="0AE00AF2" w:rsidR="00384866" w:rsidRPr="00CF2F3E" w:rsidRDefault="00384866" w:rsidP="00384866">
      <w:pPr>
        <w:spacing w:after="240"/>
        <w:jc w:val="both"/>
        <w:rPr>
          <w:rFonts w:ascii="Century Gothic" w:hAnsi="Century Gothic"/>
          <w:lang w:val="es-ES"/>
        </w:rPr>
      </w:pPr>
      <w:r w:rsidRPr="00CF2F3E">
        <w:rPr>
          <w:rFonts w:ascii="Century Gothic" w:hAnsi="Century Gothic"/>
          <w:lang w:val="es-ES"/>
        </w:rPr>
        <w:t>Mediante Resolución No. 32 de enero 20 de 2018, el Municipio constituy</w:t>
      </w:r>
      <w:r w:rsidR="00CF2F3E" w:rsidRPr="00CF2F3E">
        <w:rPr>
          <w:rFonts w:ascii="Century Gothic" w:hAnsi="Century Gothic"/>
          <w:lang w:val="es-ES"/>
        </w:rPr>
        <w:t>ó</w:t>
      </w:r>
      <w:r w:rsidRPr="00CF2F3E">
        <w:rPr>
          <w:rFonts w:ascii="Century Gothic" w:hAnsi="Century Gothic"/>
          <w:lang w:val="es-ES"/>
        </w:rPr>
        <w:t xml:space="preserve"> las </w:t>
      </w:r>
      <w:r w:rsidR="00CF2F3E" w:rsidRPr="00CF2F3E">
        <w:rPr>
          <w:rFonts w:ascii="Century Gothic" w:hAnsi="Century Gothic"/>
          <w:lang w:val="es-ES"/>
        </w:rPr>
        <w:t xml:space="preserve">cuentas por pagar </w:t>
      </w:r>
      <w:r w:rsidRPr="00CF2F3E">
        <w:rPr>
          <w:rFonts w:ascii="Century Gothic" w:hAnsi="Century Gothic"/>
          <w:lang w:val="es-ES"/>
        </w:rPr>
        <w:t>a 31 de diciembre de 2017 por valor de $20.371 millones distribuidos así:</w:t>
      </w:r>
    </w:p>
    <w:p w14:paraId="6EF264BD" w14:textId="77777777" w:rsidR="00384866" w:rsidRPr="00CF2F3E" w:rsidRDefault="00384866" w:rsidP="00384866">
      <w:pPr>
        <w:pStyle w:val="Epgrafe"/>
        <w:spacing w:after="0"/>
        <w:jc w:val="center"/>
        <w:rPr>
          <w:rFonts w:ascii="Century Gothic" w:hAnsi="Century Gothic"/>
          <w:b w:val="0"/>
          <w:color w:val="auto"/>
          <w:sz w:val="22"/>
          <w:szCs w:val="22"/>
          <w:lang w:val="es-ES"/>
        </w:rPr>
      </w:pPr>
      <w:bookmarkStart w:id="55" w:name="_Toc532570519"/>
      <w:r w:rsidRPr="00CF2F3E">
        <w:rPr>
          <w:rFonts w:ascii="Century Gothic" w:hAnsi="Century Gothic"/>
          <w:b w:val="0"/>
          <w:color w:val="auto"/>
          <w:sz w:val="22"/>
          <w:szCs w:val="22"/>
          <w:lang w:val="es-ES"/>
        </w:rPr>
        <w:t xml:space="preserve">Tabla </w:t>
      </w:r>
      <w:r w:rsidRPr="00CF2F3E">
        <w:rPr>
          <w:rFonts w:ascii="Century Gothic" w:hAnsi="Century Gothic"/>
          <w:b w:val="0"/>
          <w:color w:val="auto"/>
          <w:sz w:val="22"/>
          <w:szCs w:val="22"/>
          <w:lang w:val="es-ES"/>
        </w:rPr>
        <w:fldChar w:fldCharType="begin"/>
      </w:r>
      <w:r w:rsidRPr="00CF2F3E">
        <w:rPr>
          <w:rFonts w:ascii="Century Gothic" w:hAnsi="Century Gothic"/>
          <w:b w:val="0"/>
          <w:color w:val="auto"/>
          <w:sz w:val="22"/>
          <w:szCs w:val="22"/>
          <w:lang w:val="es-ES"/>
        </w:rPr>
        <w:instrText xml:space="preserve"> SEQ Tabla \* ARABIC </w:instrText>
      </w:r>
      <w:r w:rsidRPr="00CF2F3E">
        <w:rPr>
          <w:rFonts w:ascii="Century Gothic" w:hAnsi="Century Gothic"/>
          <w:b w:val="0"/>
          <w:color w:val="auto"/>
          <w:sz w:val="22"/>
          <w:szCs w:val="22"/>
          <w:lang w:val="es-ES"/>
        </w:rPr>
        <w:fldChar w:fldCharType="separate"/>
      </w:r>
      <w:r w:rsidR="00735A58">
        <w:rPr>
          <w:rFonts w:ascii="Century Gothic" w:hAnsi="Century Gothic"/>
          <w:b w:val="0"/>
          <w:noProof/>
          <w:color w:val="auto"/>
          <w:sz w:val="22"/>
          <w:szCs w:val="22"/>
          <w:lang w:val="es-ES"/>
        </w:rPr>
        <w:t>28</w:t>
      </w:r>
      <w:r w:rsidRPr="00CF2F3E">
        <w:rPr>
          <w:rFonts w:ascii="Century Gothic" w:hAnsi="Century Gothic"/>
          <w:b w:val="0"/>
          <w:color w:val="auto"/>
          <w:sz w:val="22"/>
          <w:szCs w:val="22"/>
          <w:lang w:val="es-ES"/>
        </w:rPr>
        <w:fldChar w:fldCharType="end"/>
      </w:r>
      <w:r w:rsidRPr="00CF2F3E">
        <w:rPr>
          <w:rFonts w:ascii="Century Gothic" w:hAnsi="Century Gothic"/>
          <w:b w:val="0"/>
          <w:color w:val="auto"/>
          <w:sz w:val="22"/>
          <w:szCs w:val="22"/>
          <w:lang w:val="es-ES"/>
        </w:rPr>
        <w:t>. Cuentas por pagar a 31 de diciembre de 2017 (millones de pesos)</w:t>
      </w:r>
      <w:bookmarkEnd w:id="55"/>
    </w:p>
    <w:tbl>
      <w:tblPr>
        <w:tblStyle w:val="Tabladecuadrcula5oscura-nfasis11"/>
        <w:tblW w:w="8090"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843"/>
        <w:gridCol w:w="1843"/>
        <w:gridCol w:w="997"/>
        <w:gridCol w:w="997"/>
      </w:tblGrid>
      <w:tr w:rsidR="003A2979" w:rsidRPr="00CF2F3E" w14:paraId="4C92B37B" w14:textId="699AFD88" w:rsidTr="003A2979">
        <w:trPr>
          <w:cnfStyle w:val="100000000000" w:firstRow="1" w:lastRow="0" w:firstColumn="0" w:lastColumn="0" w:oddVBand="0" w:evenVBand="0" w:oddHBand="0" w:evenHBand="0" w:firstRowFirstColumn="0" w:firstRowLastColumn="0" w:lastRowFirstColumn="0" w:lastRowLastColumn="0"/>
          <w:trHeight w:val="687"/>
          <w:jc w:val="center"/>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right w:val="none" w:sz="0" w:space="0" w:color="auto"/>
            </w:tcBorders>
            <w:shd w:val="clear" w:color="auto" w:fill="C2D69B" w:themeFill="accent3" w:themeFillTint="99"/>
            <w:vAlign w:val="center"/>
            <w:hideMark/>
          </w:tcPr>
          <w:p w14:paraId="4733A173" w14:textId="77777777" w:rsidR="003A2979" w:rsidRPr="00CF2F3E" w:rsidRDefault="003A2979" w:rsidP="00384866">
            <w:pPr>
              <w:jc w:val="center"/>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Nivel Central</w:t>
            </w:r>
          </w:p>
          <w:p w14:paraId="22C58E59" w14:textId="77777777" w:rsidR="003A2979" w:rsidRPr="00CF2F3E" w:rsidRDefault="003A2979" w:rsidP="00384866">
            <w:pPr>
              <w:jc w:val="center"/>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Secretaría de Transito</w:t>
            </w:r>
          </w:p>
          <w:p w14:paraId="0FF2B072" w14:textId="77777777" w:rsidR="003A2979" w:rsidRPr="00CF2F3E" w:rsidRDefault="003A2979" w:rsidP="00384866">
            <w:pPr>
              <w:jc w:val="center"/>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Secretaría de Salud</w:t>
            </w:r>
          </w:p>
        </w:tc>
        <w:tc>
          <w:tcPr>
            <w:tcW w:w="1843" w:type="dxa"/>
            <w:tcBorders>
              <w:top w:val="none" w:sz="0" w:space="0" w:color="auto"/>
              <w:left w:val="none" w:sz="0" w:space="0" w:color="auto"/>
              <w:right w:val="none" w:sz="0" w:space="0" w:color="auto"/>
            </w:tcBorders>
            <w:shd w:val="clear" w:color="auto" w:fill="C2D69B" w:themeFill="accent3" w:themeFillTint="99"/>
            <w:vAlign w:val="center"/>
            <w:hideMark/>
          </w:tcPr>
          <w:p w14:paraId="6C67BD29" w14:textId="77777777" w:rsidR="003A2979" w:rsidRPr="00CF2F3E" w:rsidRDefault="003A2979" w:rsidP="00384866">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Unidad Administrativa U.A.E. – AVANTE</w:t>
            </w:r>
          </w:p>
        </w:tc>
        <w:tc>
          <w:tcPr>
            <w:tcW w:w="1843" w:type="dxa"/>
            <w:tcBorders>
              <w:top w:val="none" w:sz="0" w:space="0" w:color="auto"/>
              <w:left w:val="none" w:sz="0" w:space="0" w:color="auto"/>
              <w:right w:val="none" w:sz="0" w:space="0" w:color="auto"/>
            </w:tcBorders>
            <w:shd w:val="clear" w:color="auto" w:fill="C2D69B" w:themeFill="accent3" w:themeFillTint="99"/>
            <w:vAlign w:val="center"/>
            <w:hideMark/>
          </w:tcPr>
          <w:p w14:paraId="62D0AD20" w14:textId="77777777" w:rsidR="003A2979" w:rsidRPr="00CF2F3E" w:rsidRDefault="003A2979" w:rsidP="00384866">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Servicio de Alumbrado Público – SEPAL</w:t>
            </w:r>
          </w:p>
        </w:tc>
        <w:tc>
          <w:tcPr>
            <w:tcW w:w="997" w:type="dxa"/>
            <w:tcBorders>
              <w:top w:val="none" w:sz="0" w:space="0" w:color="auto"/>
              <w:left w:val="none" w:sz="0" w:space="0" w:color="auto"/>
              <w:right w:val="none" w:sz="0" w:space="0" w:color="auto"/>
            </w:tcBorders>
            <w:shd w:val="clear" w:color="auto" w:fill="C2D69B" w:themeFill="accent3" w:themeFillTint="99"/>
            <w:vAlign w:val="center"/>
            <w:hideMark/>
          </w:tcPr>
          <w:p w14:paraId="7A8E9FBB" w14:textId="77777777" w:rsidR="003A2979" w:rsidRPr="00CF2F3E" w:rsidRDefault="003A2979" w:rsidP="00384866">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Pasto Deporte</w:t>
            </w:r>
          </w:p>
        </w:tc>
        <w:tc>
          <w:tcPr>
            <w:tcW w:w="997" w:type="dxa"/>
            <w:tcBorders>
              <w:top w:val="none" w:sz="0" w:space="0" w:color="auto"/>
              <w:left w:val="none" w:sz="0" w:space="0" w:color="auto"/>
              <w:right w:val="none" w:sz="0" w:space="0" w:color="auto"/>
            </w:tcBorders>
            <w:shd w:val="clear" w:color="auto" w:fill="C2D69B" w:themeFill="accent3" w:themeFillTint="99"/>
            <w:vAlign w:val="center"/>
          </w:tcPr>
          <w:p w14:paraId="5A28C85F" w14:textId="19B8C35D" w:rsidR="003A2979" w:rsidRPr="00CF2F3E" w:rsidRDefault="003A2979" w:rsidP="00384866">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Calibri"/>
                <w:color w:val="000000"/>
                <w:sz w:val="20"/>
                <w:szCs w:val="18"/>
                <w:lang w:val="es-ES"/>
              </w:rPr>
            </w:pPr>
            <w:r w:rsidRPr="00CF2F3E">
              <w:rPr>
                <w:rFonts w:ascii="Century Gothic" w:eastAsia="Times New Roman" w:hAnsi="Century Gothic" w:cs="Calibri"/>
                <w:color w:val="000000"/>
                <w:sz w:val="20"/>
                <w:szCs w:val="18"/>
                <w:lang w:val="es-ES"/>
              </w:rPr>
              <w:t>Total</w:t>
            </w:r>
          </w:p>
        </w:tc>
      </w:tr>
      <w:tr w:rsidR="003A2979" w:rsidRPr="00CF2F3E" w14:paraId="5A573006" w14:textId="051CE4B5" w:rsidTr="00BC682E">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2410" w:type="dxa"/>
            <w:tcBorders>
              <w:left w:val="none" w:sz="0" w:space="0" w:color="auto"/>
              <w:bottom w:val="none" w:sz="0" w:space="0" w:color="auto"/>
            </w:tcBorders>
            <w:shd w:val="clear" w:color="auto" w:fill="auto"/>
            <w:noWrap/>
            <w:vAlign w:val="center"/>
            <w:hideMark/>
          </w:tcPr>
          <w:p w14:paraId="1632C5F5" w14:textId="77777777" w:rsidR="003A2979" w:rsidRPr="00BC682E" w:rsidRDefault="003A2979" w:rsidP="00384866">
            <w:pPr>
              <w:jc w:val="right"/>
              <w:rPr>
                <w:rFonts w:ascii="Century Gothic" w:eastAsia="Times New Roman" w:hAnsi="Century Gothic" w:cs="Calibri"/>
                <w:b w:val="0"/>
                <w:color w:val="000000"/>
                <w:sz w:val="20"/>
                <w:szCs w:val="18"/>
                <w:lang w:val="es-ES"/>
              </w:rPr>
            </w:pPr>
            <w:r w:rsidRPr="00BC682E">
              <w:rPr>
                <w:rFonts w:ascii="Century Gothic" w:eastAsia="Times New Roman" w:hAnsi="Century Gothic" w:cs="Calibri"/>
                <w:b w:val="0"/>
                <w:color w:val="000000"/>
                <w:sz w:val="20"/>
                <w:szCs w:val="18"/>
                <w:lang w:val="es-ES"/>
              </w:rPr>
              <w:t>$12.883</w:t>
            </w:r>
          </w:p>
        </w:tc>
        <w:tc>
          <w:tcPr>
            <w:tcW w:w="1843" w:type="dxa"/>
            <w:shd w:val="clear" w:color="auto" w:fill="auto"/>
            <w:noWrap/>
            <w:vAlign w:val="center"/>
            <w:hideMark/>
          </w:tcPr>
          <w:p w14:paraId="34E0F6AF" w14:textId="77777777" w:rsidR="003A2979" w:rsidRPr="00BC682E" w:rsidRDefault="003A2979" w:rsidP="0038486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Calibri"/>
                <w:color w:val="000000"/>
                <w:sz w:val="20"/>
                <w:szCs w:val="18"/>
                <w:lang w:val="es-ES"/>
              </w:rPr>
            </w:pPr>
            <w:r w:rsidRPr="00BC682E">
              <w:rPr>
                <w:rFonts w:ascii="Century Gothic" w:eastAsia="Times New Roman" w:hAnsi="Century Gothic" w:cs="Calibri"/>
                <w:color w:val="000000"/>
                <w:sz w:val="20"/>
                <w:szCs w:val="18"/>
                <w:lang w:val="es-ES"/>
              </w:rPr>
              <w:t>$6.871</w:t>
            </w:r>
          </w:p>
        </w:tc>
        <w:tc>
          <w:tcPr>
            <w:tcW w:w="1843" w:type="dxa"/>
            <w:shd w:val="clear" w:color="auto" w:fill="auto"/>
            <w:noWrap/>
            <w:vAlign w:val="center"/>
            <w:hideMark/>
          </w:tcPr>
          <w:p w14:paraId="356477A2" w14:textId="77777777" w:rsidR="003A2979" w:rsidRPr="00BC682E" w:rsidRDefault="003A2979" w:rsidP="0038486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Calibri"/>
                <w:color w:val="000000"/>
                <w:sz w:val="20"/>
                <w:szCs w:val="18"/>
                <w:lang w:val="es-ES"/>
              </w:rPr>
            </w:pPr>
            <w:r w:rsidRPr="00BC682E">
              <w:rPr>
                <w:rFonts w:ascii="Century Gothic" w:eastAsia="Times New Roman" w:hAnsi="Century Gothic" w:cs="Calibri"/>
                <w:color w:val="000000"/>
                <w:sz w:val="20"/>
                <w:szCs w:val="18"/>
                <w:lang w:val="es-ES"/>
              </w:rPr>
              <w:t>$600</w:t>
            </w:r>
          </w:p>
        </w:tc>
        <w:tc>
          <w:tcPr>
            <w:tcW w:w="997" w:type="dxa"/>
            <w:shd w:val="clear" w:color="auto" w:fill="auto"/>
            <w:noWrap/>
            <w:vAlign w:val="center"/>
            <w:hideMark/>
          </w:tcPr>
          <w:p w14:paraId="6A4E5671" w14:textId="77777777" w:rsidR="003A2979" w:rsidRPr="00BC682E" w:rsidRDefault="003A2979" w:rsidP="0038486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Calibri"/>
                <w:color w:val="000000"/>
                <w:sz w:val="20"/>
                <w:szCs w:val="18"/>
                <w:lang w:val="es-ES"/>
              </w:rPr>
            </w:pPr>
            <w:r w:rsidRPr="00BC682E">
              <w:rPr>
                <w:rFonts w:ascii="Century Gothic" w:eastAsia="Times New Roman" w:hAnsi="Century Gothic" w:cs="Calibri"/>
                <w:color w:val="000000"/>
                <w:sz w:val="20"/>
                <w:szCs w:val="18"/>
                <w:lang w:val="es-ES"/>
              </w:rPr>
              <w:t>$16</w:t>
            </w:r>
          </w:p>
        </w:tc>
        <w:tc>
          <w:tcPr>
            <w:tcW w:w="997" w:type="dxa"/>
            <w:shd w:val="clear" w:color="auto" w:fill="auto"/>
          </w:tcPr>
          <w:p w14:paraId="1732D0C0" w14:textId="602B7AA2" w:rsidR="003A2979" w:rsidRPr="00BC682E" w:rsidRDefault="003A2979" w:rsidP="0038486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Calibri"/>
                <w:color w:val="000000"/>
                <w:sz w:val="20"/>
                <w:szCs w:val="18"/>
                <w:lang w:val="es-ES"/>
              </w:rPr>
            </w:pPr>
            <w:r w:rsidRPr="00BC682E">
              <w:rPr>
                <w:rFonts w:ascii="Century Gothic" w:eastAsia="Times New Roman" w:hAnsi="Century Gothic" w:cs="Calibri"/>
                <w:color w:val="000000"/>
                <w:sz w:val="20"/>
                <w:szCs w:val="18"/>
                <w:lang w:val="es-ES"/>
              </w:rPr>
              <w:t>$20.371</w:t>
            </w:r>
          </w:p>
        </w:tc>
      </w:tr>
    </w:tbl>
    <w:p w14:paraId="5DDA4380" w14:textId="77777777" w:rsidR="00384866" w:rsidRPr="00CF2F3E" w:rsidRDefault="00384866" w:rsidP="00384866">
      <w:pPr>
        <w:spacing w:after="240"/>
        <w:jc w:val="center"/>
        <w:rPr>
          <w:rFonts w:ascii="Century Gothic" w:hAnsi="Century Gothic"/>
          <w:sz w:val="20"/>
          <w:lang w:val="es-ES"/>
        </w:rPr>
      </w:pPr>
      <w:r w:rsidRPr="00CF2F3E">
        <w:rPr>
          <w:rFonts w:ascii="Century Gothic" w:hAnsi="Century Gothic"/>
          <w:sz w:val="20"/>
          <w:lang w:val="es-ES"/>
        </w:rPr>
        <w:t>Fuente: Secretaria de Hacienda, 2018</w:t>
      </w:r>
    </w:p>
    <w:p w14:paraId="6FA1CE84" w14:textId="165A9F44" w:rsidR="00E86A11" w:rsidRPr="00CF2F3E" w:rsidRDefault="00E86A11" w:rsidP="00046092">
      <w:pPr>
        <w:pStyle w:val="Ttulo3"/>
        <w:spacing w:after="240"/>
        <w:rPr>
          <w:rFonts w:eastAsia="Century Gothic"/>
          <w:lang w:val="es-ES"/>
        </w:rPr>
      </w:pPr>
      <w:bookmarkStart w:id="56" w:name="_Toc532565934"/>
      <w:r w:rsidRPr="00CF2F3E">
        <w:rPr>
          <w:rFonts w:eastAsia="Century Gothic"/>
          <w:lang w:val="es-ES"/>
        </w:rPr>
        <w:t>Pasivos</w:t>
      </w:r>
      <w:r w:rsidR="00ED2F09" w:rsidRPr="00CF2F3E">
        <w:rPr>
          <w:rFonts w:eastAsia="Century Gothic"/>
          <w:lang w:val="es-ES"/>
        </w:rPr>
        <w:t xml:space="preserve"> </w:t>
      </w:r>
      <w:r w:rsidRPr="00CF2F3E">
        <w:rPr>
          <w:rFonts w:eastAsia="Century Gothic"/>
          <w:lang w:val="es-ES"/>
        </w:rPr>
        <w:t>contingentes</w:t>
      </w:r>
      <w:bookmarkEnd w:id="56"/>
    </w:p>
    <w:p w14:paraId="1F0A3BBF" w14:textId="0418D4EA" w:rsidR="00680417" w:rsidRPr="008A15B6" w:rsidRDefault="00680417" w:rsidP="00CF2F3E">
      <w:pPr>
        <w:pStyle w:val="Ttulo11"/>
        <w:numPr>
          <w:ilvl w:val="0"/>
          <w:numId w:val="46"/>
        </w:numPr>
        <w:spacing w:after="240" w:line="276" w:lineRule="auto"/>
        <w:rPr>
          <w:b/>
          <w:sz w:val="22"/>
          <w:szCs w:val="22"/>
          <w:lang w:val="es-ES"/>
        </w:rPr>
      </w:pPr>
      <w:bookmarkStart w:id="57" w:name="_Toc532565935"/>
      <w:r w:rsidRPr="008A15B6">
        <w:rPr>
          <w:b/>
          <w:sz w:val="22"/>
          <w:szCs w:val="22"/>
          <w:lang w:val="es-ES"/>
        </w:rPr>
        <w:t>Marco Normativo de Pasivos Contingentes</w:t>
      </w:r>
      <w:bookmarkEnd w:id="57"/>
    </w:p>
    <w:p w14:paraId="1FEAA283" w14:textId="22D7EDED" w:rsidR="00680417" w:rsidRPr="008A15B6" w:rsidRDefault="003A2979" w:rsidP="00680417">
      <w:pPr>
        <w:autoSpaceDE w:val="0"/>
        <w:autoSpaceDN w:val="0"/>
        <w:adjustRightInd w:val="0"/>
        <w:jc w:val="both"/>
        <w:rPr>
          <w:rFonts w:ascii="Century Gothic" w:eastAsia="ArialMT" w:hAnsi="Century Gothic" w:cs="ArialMT"/>
          <w:lang w:val="es-ES"/>
        </w:rPr>
      </w:pPr>
      <w:r w:rsidRPr="008A15B6">
        <w:rPr>
          <w:rFonts w:ascii="Century Gothic" w:eastAsia="ArialMT" w:hAnsi="Century Gothic" w:cs="ArialMT"/>
          <w:lang w:val="es-ES"/>
        </w:rPr>
        <w:t xml:space="preserve">Son </w:t>
      </w:r>
      <w:r w:rsidR="00680417" w:rsidRPr="008A15B6">
        <w:rPr>
          <w:rFonts w:ascii="Century Gothic" w:eastAsia="ArialMT" w:hAnsi="Century Gothic" w:cs="ArialMT"/>
          <w:lang w:val="es-ES"/>
        </w:rPr>
        <w:t xml:space="preserve">la actividad litigiosa del municipio de Pasto, que se convierte en </w:t>
      </w:r>
      <w:r w:rsidR="00CF2F3E" w:rsidRPr="008A15B6">
        <w:rPr>
          <w:rFonts w:ascii="Century Gothic" w:hAnsi="Century Gothic"/>
          <w:lang w:val="es-ES"/>
        </w:rPr>
        <w:t xml:space="preserve">obligación potencial </w:t>
      </w:r>
      <w:r w:rsidRPr="008A15B6">
        <w:rPr>
          <w:rFonts w:ascii="Century Gothic" w:hAnsi="Century Gothic"/>
          <w:lang w:val="es-ES"/>
        </w:rPr>
        <w:t>que no se ha</w:t>
      </w:r>
      <w:r w:rsidR="00680417" w:rsidRPr="008A15B6">
        <w:rPr>
          <w:rFonts w:ascii="Century Gothic" w:hAnsi="Century Gothic"/>
          <w:lang w:val="es-ES"/>
        </w:rPr>
        <w:t xml:space="preserve"> materializado todavía</w:t>
      </w:r>
      <w:r w:rsidR="00680417" w:rsidRPr="008A15B6">
        <w:rPr>
          <w:rFonts w:ascii="Century Gothic" w:eastAsia="ArialMT" w:hAnsi="Century Gothic" w:cs="ArialMT"/>
          <w:lang w:val="es-ES"/>
        </w:rPr>
        <w:t xml:space="preserve">, </w:t>
      </w:r>
      <w:r w:rsidR="00CF2F3E" w:rsidRPr="008A15B6">
        <w:rPr>
          <w:rFonts w:ascii="Century Gothic" w:hAnsi="Century Gothic"/>
          <w:lang w:val="es-ES"/>
        </w:rPr>
        <w:t xml:space="preserve">pero podría </w:t>
      </w:r>
      <w:r w:rsidR="00680417" w:rsidRPr="008A15B6">
        <w:rPr>
          <w:rFonts w:ascii="Century Gothic" w:hAnsi="Century Gothic"/>
          <w:lang w:val="es-ES"/>
        </w:rPr>
        <w:t xml:space="preserve">convertirse en </w:t>
      </w:r>
      <w:r w:rsidR="00CF2F3E" w:rsidRPr="008A15B6">
        <w:rPr>
          <w:rFonts w:ascii="Century Gothic" w:hAnsi="Century Gothic"/>
          <w:lang w:val="es-ES"/>
        </w:rPr>
        <w:t xml:space="preserve">obligación financiera directa </w:t>
      </w:r>
      <w:r w:rsidR="00680417" w:rsidRPr="008A15B6">
        <w:rPr>
          <w:rFonts w:ascii="Century Gothic" w:hAnsi="Century Gothic"/>
          <w:lang w:val="es-ES"/>
        </w:rPr>
        <w:t>o generar un pasivo, bajo ciertas circunstancias</w:t>
      </w:r>
      <w:r w:rsidR="00680417" w:rsidRPr="008A15B6">
        <w:rPr>
          <w:rFonts w:ascii="Century Gothic" w:eastAsia="ArialMT" w:hAnsi="Century Gothic" w:cs="ArialMT"/>
          <w:lang w:val="es-ES"/>
        </w:rPr>
        <w:t>, es decir, los posibles fallos desfavorables para el municipio dentro de procesos judiciales.</w:t>
      </w:r>
    </w:p>
    <w:p w14:paraId="429985CB" w14:textId="55A52C02" w:rsidR="00680417" w:rsidRPr="008A15B6" w:rsidRDefault="00680417" w:rsidP="00680417">
      <w:pPr>
        <w:autoSpaceDE w:val="0"/>
        <w:autoSpaceDN w:val="0"/>
        <w:adjustRightInd w:val="0"/>
        <w:jc w:val="both"/>
        <w:rPr>
          <w:rFonts w:ascii="Century Gothic" w:eastAsia="ArialMT" w:hAnsi="Century Gothic" w:cs="ArialMT"/>
          <w:lang w:val="es-ES"/>
        </w:rPr>
      </w:pPr>
      <w:r w:rsidRPr="008A15B6">
        <w:rPr>
          <w:rFonts w:ascii="Century Gothic" w:hAnsi="Century Gothic" w:cs="Arial"/>
          <w:lang w:val="es-ES"/>
        </w:rPr>
        <w:t>La Ley 488 de 1998 i</w:t>
      </w:r>
      <w:r w:rsidRPr="008A15B6">
        <w:rPr>
          <w:rFonts w:ascii="Century Gothic" w:eastAsia="ArialMT" w:hAnsi="Century Gothic" w:cs="ArialMT"/>
          <w:lang w:val="es-ES"/>
        </w:rPr>
        <w:t>ndica en su artículo primero que</w:t>
      </w:r>
      <w:r w:rsidR="00CF2F3E" w:rsidRPr="008A15B6">
        <w:rPr>
          <w:rFonts w:ascii="Century Gothic" w:eastAsia="ArialMT" w:hAnsi="Century Gothic" w:cs="ArialMT"/>
          <w:lang w:val="es-ES"/>
        </w:rPr>
        <w:t xml:space="preserve">: </w:t>
      </w:r>
      <w:r w:rsidRPr="008A15B6">
        <w:rPr>
          <w:rFonts w:ascii="Century Gothic" w:eastAsia="ArialMT" w:hAnsi="Century Gothic" w:cs="ArialMT"/>
          <w:lang w:val="es-ES"/>
        </w:rPr>
        <w:t xml:space="preserve">“(…) De conformidad con las </w:t>
      </w:r>
      <w:r w:rsidRPr="008A15B6">
        <w:rPr>
          <w:rFonts w:ascii="Century Gothic" w:hAnsi="Century Gothic" w:cs="Arial"/>
          <w:lang w:val="es-ES"/>
        </w:rPr>
        <w:t xml:space="preserve">disposiciones de la Ley Orgánica del Presupuesto, la Nación, las </w:t>
      </w:r>
      <w:r w:rsidR="00CF2F3E" w:rsidRPr="008A15B6">
        <w:rPr>
          <w:rFonts w:ascii="Century Gothic" w:hAnsi="Century Gothic" w:cs="Arial"/>
          <w:lang w:val="es-ES"/>
        </w:rPr>
        <w:t xml:space="preserve">entidades territoriales y las entidades descentralizadas </w:t>
      </w:r>
      <w:r w:rsidRPr="008A15B6">
        <w:rPr>
          <w:rFonts w:ascii="Century Gothic" w:hAnsi="Century Gothic" w:cs="Arial"/>
          <w:lang w:val="es-ES"/>
        </w:rPr>
        <w:t xml:space="preserve">de cualquier orden deberán incluir en sus presupuestos de servicio de deuda, las apropiaciones necesarias para cubrir las posibles pérdidas de </w:t>
      </w:r>
      <w:r w:rsidRPr="008A15B6">
        <w:rPr>
          <w:rFonts w:ascii="Century Gothic" w:eastAsia="ArialMT" w:hAnsi="Century Gothic" w:cs="ArialMT"/>
          <w:lang w:val="es-ES"/>
        </w:rPr>
        <w:t>las obligaciones contingentes a su cargo (…)” y constituye un sistema que por virtud del Decreto 423 de 2001 reglamentario de esta norma indica que</w:t>
      </w:r>
      <w:r w:rsidR="00CF2F3E" w:rsidRPr="008A15B6">
        <w:rPr>
          <w:rFonts w:ascii="Century Gothic" w:eastAsia="ArialMT" w:hAnsi="Century Gothic" w:cs="ArialMT"/>
          <w:lang w:val="es-ES"/>
        </w:rPr>
        <w:t>:</w:t>
      </w:r>
      <w:r w:rsidRPr="008A15B6">
        <w:rPr>
          <w:rFonts w:ascii="Century Gothic" w:eastAsia="ArialMT" w:hAnsi="Century Gothic" w:cs="ArialMT"/>
          <w:lang w:val="es-ES"/>
        </w:rPr>
        <w:t xml:space="preserve"> “(…) El régimen de </w:t>
      </w:r>
      <w:r w:rsidRPr="008A15B6">
        <w:rPr>
          <w:rFonts w:ascii="Century Gothic" w:hAnsi="Century Gothic" w:cs="Arial"/>
          <w:lang w:val="es-ES"/>
        </w:rPr>
        <w:t xml:space="preserve">obligaciones contingentes de las </w:t>
      </w:r>
      <w:r w:rsidRPr="008A15B6">
        <w:rPr>
          <w:rFonts w:ascii="Century Gothic" w:hAnsi="Century Gothic" w:cs="Arial"/>
          <w:lang w:val="es-ES"/>
        </w:rPr>
        <w:lastRenderedPageBreak/>
        <w:t xml:space="preserve">entidades estatales tiene por objeto la implantación de </w:t>
      </w:r>
      <w:r w:rsidRPr="008A15B6">
        <w:rPr>
          <w:rFonts w:ascii="Century Gothic" w:eastAsia="ArialMT" w:hAnsi="Century Gothic" w:cs="ArialMT"/>
          <w:lang w:val="es-ES"/>
        </w:rPr>
        <w:t>un sistema para su manejo basado en un criterio preventivo de disciplina fiscal (…)”.</w:t>
      </w:r>
    </w:p>
    <w:p w14:paraId="316D3B42" w14:textId="57A82424" w:rsidR="00680417" w:rsidRPr="008A15B6" w:rsidRDefault="00CF2F3E" w:rsidP="00680417">
      <w:pPr>
        <w:autoSpaceDE w:val="0"/>
        <w:autoSpaceDN w:val="0"/>
        <w:adjustRightInd w:val="0"/>
        <w:jc w:val="both"/>
        <w:rPr>
          <w:rFonts w:ascii="Century Gothic" w:eastAsia="ArialMT" w:hAnsi="Century Gothic" w:cs="ArialMT"/>
          <w:lang w:val="es-ES"/>
        </w:rPr>
      </w:pPr>
      <w:r w:rsidRPr="008A15B6">
        <w:rPr>
          <w:rFonts w:ascii="Century Gothic" w:hAnsi="Century Gothic" w:cs="Arial"/>
          <w:lang w:val="es-ES"/>
        </w:rPr>
        <w:t>Por su parte, e</w:t>
      </w:r>
      <w:r w:rsidR="00680417" w:rsidRPr="008A15B6">
        <w:rPr>
          <w:rFonts w:ascii="Century Gothic" w:hAnsi="Century Gothic" w:cs="Arial"/>
          <w:lang w:val="es-ES"/>
        </w:rPr>
        <w:t xml:space="preserve">l Decreto 3800 de 2005 que reglamente parcialmente la Ley 488 de 1998, en lo relativo a los pasivos contingentes provenientes de operaciones de crédito público y </w:t>
      </w:r>
      <w:r w:rsidR="00680417" w:rsidRPr="008A15B6">
        <w:rPr>
          <w:rFonts w:ascii="Century Gothic" w:eastAsia="ArialMT" w:hAnsi="Century Gothic" w:cs="ArialMT"/>
          <w:lang w:val="es-ES"/>
        </w:rPr>
        <w:t>al efecto indica que</w:t>
      </w:r>
      <w:r w:rsidRPr="008A15B6">
        <w:rPr>
          <w:rFonts w:ascii="Century Gothic" w:eastAsia="ArialMT" w:hAnsi="Century Gothic" w:cs="ArialMT"/>
          <w:lang w:val="es-ES"/>
        </w:rPr>
        <w:t>:</w:t>
      </w:r>
      <w:r w:rsidR="00680417" w:rsidRPr="008A15B6">
        <w:rPr>
          <w:rFonts w:ascii="Century Gothic" w:eastAsia="ArialMT" w:hAnsi="Century Gothic" w:cs="ArialMT"/>
          <w:lang w:val="es-ES"/>
        </w:rPr>
        <w:t xml:space="preserve"> “(…) Se entiende por pasivos contingentes provenientes de las </w:t>
      </w:r>
      <w:r w:rsidR="00680417" w:rsidRPr="008A15B6">
        <w:rPr>
          <w:rFonts w:ascii="Century Gothic" w:hAnsi="Century Gothic" w:cs="Arial"/>
          <w:lang w:val="es-ES"/>
        </w:rPr>
        <w:t>operaciones de crédito público las obligaciones pecuniarias sometidas a condición (</w:t>
      </w:r>
      <w:r w:rsidRPr="008A15B6">
        <w:rPr>
          <w:rFonts w:ascii="Century Gothic" w:hAnsi="Century Gothic" w:cs="Arial"/>
          <w:lang w:val="es-ES"/>
        </w:rPr>
        <w:t>o</w:t>
      </w:r>
      <w:r w:rsidR="00680417" w:rsidRPr="008A15B6">
        <w:rPr>
          <w:rFonts w:ascii="Century Gothic" w:hAnsi="Century Gothic" w:cs="Arial"/>
          <w:lang w:val="es-ES"/>
        </w:rPr>
        <w:t xml:space="preserve">currencia de un hecho futuro e incierto), que surgen a cargo de las entidades descritas en el artículo siguiente, cuanto éstas actúen como garantes de obligaciones </w:t>
      </w:r>
      <w:r w:rsidR="00680417" w:rsidRPr="008A15B6">
        <w:rPr>
          <w:rFonts w:ascii="Century Gothic" w:eastAsia="ArialMT" w:hAnsi="Century Gothic" w:cs="ArialMT"/>
          <w:lang w:val="es-ES"/>
        </w:rPr>
        <w:t>de pago de terceros (…)”.</w:t>
      </w:r>
    </w:p>
    <w:p w14:paraId="30602D51" w14:textId="77777777" w:rsidR="00E86A11" w:rsidRPr="008A15B6" w:rsidRDefault="003F3CCD" w:rsidP="00CF2F3E">
      <w:pPr>
        <w:pStyle w:val="Ttulo4"/>
        <w:spacing w:after="240" w:line="276" w:lineRule="auto"/>
        <w:jc w:val="both"/>
        <w:rPr>
          <w:color w:val="000000" w:themeColor="text1"/>
          <w:lang w:val="es-ES"/>
        </w:rPr>
      </w:pPr>
      <w:r w:rsidRPr="008A15B6">
        <w:rPr>
          <w:rFonts w:cs="Arial"/>
          <w:lang w:val="es-ES"/>
        </w:rPr>
        <w:t xml:space="preserve">Estado de las contingencias, demandas y procesos judiciales del </w:t>
      </w:r>
      <w:r w:rsidR="003E3226" w:rsidRPr="008A15B6">
        <w:rPr>
          <w:lang w:val="es-ES"/>
        </w:rPr>
        <w:t xml:space="preserve">nivel </w:t>
      </w:r>
      <w:r w:rsidR="003E3226" w:rsidRPr="008A15B6">
        <w:rPr>
          <w:color w:val="000000" w:themeColor="text1"/>
          <w:lang w:val="es-ES"/>
        </w:rPr>
        <w:t>central</w:t>
      </w:r>
    </w:p>
    <w:p w14:paraId="74B75882" w14:textId="77777777" w:rsidR="00124249" w:rsidRPr="008A15B6" w:rsidRDefault="003E3226" w:rsidP="00046092">
      <w:pPr>
        <w:widowControl w:val="0"/>
        <w:tabs>
          <w:tab w:val="left" w:pos="1528"/>
        </w:tabs>
        <w:spacing w:after="240"/>
        <w:jc w:val="both"/>
        <w:rPr>
          <w:rFonts w:ascii="Century Gothic" w:eastAsia="Century Gothic" w:hAnsi="Century Gothic" w:cs="Century Gothic"/>
          <w:color w:val="000000" w:themeColor="text1"/>
          <w:lang w:val="es-ES"/>
        </w:rPr>
      </w:pPr>
      <w:r w:rsidRPr="008A15B6">
        <w:rPr>
          <w:rFonts w:ascii="Century Gothic" w:eastAsia="Century Gothic" w:hAnsi="Century Gothic" w:cs="Century Gothic"/>
          <w:color w:val="000000" w:themeColor="text1"/>
          <w:lang w:val="es-ES"/>
        </w:rPr>
        <w:t xml:space="preserve">Corresponde aquellos pasivos bajo la incidencia y responsabilidad del municipio de Pasto. </w:t>
      </w:r>
    </w:p>
    <w:p w14:paraId="38CB7C7F" w14:textId="77777777" w:rsidR="00E86A11" w:rsidRPr="008A15B6" w:rsidRDefault="00E86A11" w:rsidP="0071587C">
      <w:pPr>
        <w:pStyle w:val="Ttulo5"/>
        <w:numPr>
          <w:ilvl w:val="0"/>
          <w:numId w:val="0"/>
        </w:numPr>
        <w:spacing w:after="240" w:line="276" w:lineRule="auto"/>
        <w:ind w:left="1008" w:hanging="1008"/>
        <w:rPr>
          <w:color w:val="000000" w:themeColor="text1"/>
          <w:lang w:val="es-ES"/>
        </w:rPr>
      </w:pPr>
      <w:r w:rsidRPr="008A15B6">
        <w:rPr>
          <w:color w:val="000000" w:themeColor="text1"/>
          <w:lang w:val="es-ES"/>
        </w:rPr>
        <w:t xml:space="preserve">Procesos </w:t>
      </w:r>
      <w:r w:rsidR="003E3226" w:rsidRPr="008A15B6">
        <w:rPr>
          <w:color w:val="000000" w:themeColor="text1"/>
          <w:lang w:val="es-ES"/>
        </w:rPr>
        <w:t>judiciales</w:t>
      </w:r>
    </w:p>
    <w:p w14:paraId="2536A765" w14:textId="7D54A0D2" w:rsidR="00BC682E" w:rsidRDefault="00A241EF" w:rsidP="0071587C">
      <w:pPr>
        <w:pStyle w:val="Default"/>
        <w:spacing w:after="240" w:line="276" w:lineRule="auto"/>
        <w:jc w:val="both"/>
        <w:rPr>
          <w:rFonts w:ascii="Century Gothic" w:hAnsi="Century Gothic"/>
          <w:sz w:val="22"/>
          <w:szCs w:val="22"/>
          <w:lang w:val="es-ES"/>
        </w:rPr>
      </w:pPr>
      <w:r w:rsidRPr="008A15B6">
        <w:rPr>
          <w:rFonts w:ascii="Century Gothic" w:hAnsi="Century Gothic"/>
          <w:color w:val="000000" w:themeColor="text1"/>
          <w:sz w:val="22"/>
          <w:szCs w:val="22"/>
          <w:lang w:val="es-ES"/>
        </w:rPr>
        <w:t xml:space="preserve">A diciembre </w:t>
      </w:r>
      <w:r w:rsidRPr="008A15B6">
        <w:rPr>
          <w:rFonts w:ascii="Century Gothic" w:hAnsi="Century Gothic"/>
          <w:sz w:val="22"/>
          <w:szCs w:val="22"/>
          <w:lang w:val="es-ES"/>
        </w:rPr>
        <w:t>del año 2017, se encontraban vigentes 212</w:t>
      </w:r>
      <w:r w:rsidR="00CF2F3E" w:rsidRPr="008A15B6">
        <w:rPr>
          <w:rFonts w:ascii="Century Gothic" w:hAnsi="Century Gothic"/>
          <w:sz w:val="22"/>
          <w:szCs w:val="22"/>
          <w:lang w:val="es-ES"/>
        </w:rPr>
        <w:t xml:space="preserve"> procesos judiciales, lo</w:t>
      </w:r>
      <w:r w:rsidRPr="008A15B6">
        <w:rPr>
          <w:rFonts w:ascii="Century Gothic" w:hAnsi="Century Gothic"/>
          <w:sz w:val="22"/>
          <w:szCs w:val="22"/>
          <w:lang w:val="es-ES"/>
        </w:rPr>
        <w:t>s cuales se encuentran divididas en</w:t>
      </w:r>
      <w:r w:rsidR="00AD3E93" w:rsidRPr="008A15B6">
        <w:rPr>
          <w:rFonts w:ascii="Century Gothic" w:hAnsi="Century Gothic"/>
          <w:sz w:val="22"/>
          <w:szCs w:val="22"/>
          <w:lang w:val="es-ES"/>
        </w:rPr>
        <w:t>:</w:t>
      </w:r>
      <w:r w:rsidRPr="008A15B6">
        <w:rPr>
          <w:rFonts w:ascii="Century Gothic" w:hAnsi="Century Gothic"/>
          <w:sz w:val="22"/>
          <w:szCs w:val="22"/>
          <w:lang w:val="es-ES"/>
        </w:rPr>
        <w:t xml:space="preserve"> 28 </w:t>
      </w:r>
      <w:r w:rsidR="00AD3E93" w:rsidRPr="008A15B6">
        <w:rPr>
          <w:rFonts w:ascii="Century Gothic" w:hAnsi="Century Gothic"/>
          <w:sz w:val="22"/>
          <w:szCs w:val="22"/>
          <w:lang w:val="es-ES"/>
        </w:rPr>
        <w:t>a</w:t>
      </w:r>
      <w:r w:rsidRPr="008A15B6">
        <w:rPr>
          <w:rFonts w:ascii="Century Gothic" w:hAnsi="Century Gothic"/>
          <w:sz w:val="22"/>
          <w:szCs w:val="22"/>
          <w:lang w:val="es-ES"/>
        </w:rPr>
        <w:t>cciones constitucionales (</w:t>
      </w:r>
      <w:r w:rsidR="00AD3E93" w:rsidRPr="008A15B6">
        <w:rPr>
          <w:rFonts w:ascii="Century Gothic" w:hAnsi="Century Gothic"/>
          <w:sz w:val="22"/>
          <w:szCs w:val="22"/>
          <w:lang w:val="es-ES"/>
        </w:rPr>
        <w:t>a</w:t>
      </w:r>
      <w:r w:rsidRPr="008A15B6">
        <w:rPr>
          <w:rFonts w:ascii="Century Gothic" w:hAnsi="Century Gothic"/>
          <w:sz w:val="22"/>
          <w:szCs w:val="22"/>
          <w:lang w:val="es-ES"/>
        </w:rPr>
        <w:t xml:space="preserve">cción de grupo, acción popular, acción de cumplimiento) </w:t>
      </w:r>
      <w:r w:rsidR="003A2979" w:rsidRPr="008A15B6">
        <w:rPr>
          <w:rFonts w:ascii="Century Gothic" w:hAnsi="Century Gothic"/>
          <w:sz w:val="22"/>
          <w:szCs w:val="22"/>
          <w:lang w:val="es-ES"/>
        </w:rPr>
        <w:t>que representa</w:t>
      </w:r>
      <w:r w:rsidRPr="008A15B6">
        <w:rPr>
          <w:rFonts w:ascii="Century Gothic" w:hAnsi="Century Gothic"/>
          <w:sz w:val="22"/>
          <w:szCs w:val="22"/>
          <w:lang w:val="es-ES"/>
        </w:rPr>
        <w:t xml:space="preserve"> </w:t>
      </w:r>
      <w:r w:rsidR="003A2979" w:rsidRPr="008A15B6">
        <w:rPr>
          <w:rFonts w:ascii="Century Gothic" w:hAnsi="Century Gothic"/>
          <w:sz w:val="22"/>
          <w:szCs w:val="22"/>
          <w:lang w:val="es-ES"/>
        </w:rPr>
        <w:t xml:space="preserve">el </w:t>
      </w:r>
      <w:r w:rsidRPr="008A15B6">
        <w:rPr>
          <w:rFonts w:ascii="Century Gothic" w:hAnsi="Century Gothic"/>
          <w:sz w:val="22"/>
          <w:szCs w:val="22"/>
          <w:lang w:val="es-ES"/>
        </w:rPr>
        <w:t>13,2</w:t>
      </w:r>
      <w:r w:rsidR="004F5BDD" w:rsidRPr="008A15B6">
        <w:rPr>
          <w:rFonts w:ascii="Century Gothic" w:hAnsi="Century Gothic"/>
          <w:sz w:val="22"/>
          <w:szCs w:val="22"/>
          <w:lang w:val="es-ES"/>
        </w:rPr>
        <w:t xml:space="preserve"> por ciento</w:t>
      </w:r>
      <w:r w:rsidR="00AD3E93" w:rsidRPr="008A15B6">
        <w:rPr>
          <w:rFonts w:ascii="Century Gothic" w:hAnsi="Century Gothic"/>
          <w:sz w:val="22"/>
          <w:szCs w:val="22"/>
          <w:lang w:val="es-ES"/>
        </w:rPr>
        <w:t>;</w:t>
      </w:r>
      <w:r w:rsidRPr="008A15B6">
        <w:rPr>
          <w:rFonts w:ascii="Century Gothic" w:hAnsi="Century Gothic"/>
          <w:sz w:val="22"/>
          <w:szCs w:val="22"/>
          <w:lang w:val="es-ES"/>
        </w:rPr>
        <w:t xml:space="preserve"> 177 demandas administrativas (reparación directa, nulidad y restablecimiento del derecho, nulidad simple, nulidad electoral, nulidad por inconstitucionalidad, acción contractual) </w:t>
      </w:r>
      <w:r w:rsidR="003A2979" w:rsidRPr="008A15B6">
        <w:rPr>
          <w:rFonts w:ascii="Century Gothic" w:hAnsi="Century Gothic"/>
          <w:sz w:val="22"/>
          <w:szCs w:val="22"/>
          <w:lang w:val="es-ES"/>
        </w:rPr>
        <w:t xml:space="preserve">que </w:t>
      </w:r>
      <w:r w:rsidR="00037AA6" w:rsidRPr="008A15B6">
        <w:rPr>
          <w:rFonts w:ascii="Century Gothic" w:hAnsi="Century Gothic"/>
          <w:sz w:val="22"/>
          <w:szCs w:val="22"/>
          <w:lang w:val="es-ES"/>
        </w:rPr>
        <w:t xml:space="preserve">participa con </w:t>
      </w:r>
      <w:r w:rsidR="003A2979" w:rsidRPr="008A15B6">
        <w:rPr>
          <w:rFonts w:ascii="Century Gothic" w:hAnsi="Century Gothic"/>
          <w:sz w:val="22"/>
          <w:szCs w:val="22"/>
          <w:lang w:val="es-ES"/>
        </w:rPr>
        <w:t xml:space="preserve">el </w:t>
      </w:r>
      <w:r w:rsidRPr="008A15B6">
        <w:rPr>
          <w:rFonts w:ascii="Century Gothic" w:hAnsi="Century Gothic"/>
          <w:sz w:val="22"/>
          <w:szCs w:val="22"/>
          <w:lang w:val="es-ES"/>
        </w:rPr>
        <w:t>83,5</w:t>
      </w:r>
      <w:r w:rsidR="004F5BDD" w:rsidRPr="008A15B6">
        <w:rPr>
          <w:rFonts w:ascii="Century Gothic" w:hAnsi="Century Gothic"/>
          <w:sz w:val="22"/>
          <w:szCs w:val="22"/>
          <w:lang w:val="es-ES"/>
        </w:rPr>
        <w:t xml:space="preserve"> por ciento</w:t>
      </w:r>
      <w:r w:rsidR="00AD3E93" w:rsidRPr="008A15B6">
        <w:rPr>
          <w:rFonts w:ascii="Century Gothic" w:hAnsi="Century Gothic"/>
          <w:sz w:val="22"/>
          <w:szCs w:val="22"/>
          <w:lang w:val="es-ES"/>
        </w:rPr>
        <w:t>; 5 demandas laborales</w:t>
      </w:r>
      <w:r w:rsidRPr="008A15B6">
        <w:rPr>
          <w:rFonts w:ascii="Century Gothic" w:hAnsi="Century Gothic"/>
          <w:sz w:val="22"/>
          <w:szCs w:val="22"/>
          <w:lang w:val="es-ES"/>
        </w:rPr>
        <w:t xml:space="preserve">, </w:t>
      </w:r>
      <w:r w:rsidR="003A2979" w:rsidRPr="008A15B6">
        <w:rPr>
          <w:rFonts w:ascii="Century Gothic" w:hAnsi="Century Gothic"/>
          <w:sz w:val="22"/>
          <w:szCs w:val="22"/>
          <w:lang w:val="es-ES"/>
        </w:rPr>
        <w:t xml:space="preserve">que </w:t>
      </w:r>
      <w:r w:rsidR="00037AA6" w:rsidRPr="008A15B6">
        <w:rPr>
          <w:rFonts w:ascii="Century Gothic" w:hAnsi="Century Gothic"/>
          <w:sz w:val="22"/>
          <w:szCs w:val="22"/>
          <w:lang w:val="es-ES"/>
        </w:rPr>
        <w:t>equivale a</w:t>
      </w:r>
      <w:r w:rsidR="003A2979" w:rsidRPr="008A15B6">
        <w:rPr>
          <w:rFonts w:ascii="Century Gothic" w:hAnsi="Century Gothic"/>
          <w:sz w:val="22"/>
          <w:szCs w:val="22"/>
          <w:lang w:val="es-ES"/>
        </w:rPr>
        <w:t xml:space="preserve">l </w:t>
      </w:r>
      <w:r w:rsidRPr="008A15B6">
        <w:rPr>
          <w:rFonts w:ascii="Century Gothic" w:hAnsi="Century Gothic"/>
          <w:sz w:val="22"/>
          <w:szCs w:val="22"/>
          <w:lang w:val="es-ES"/>
        </w:rPr>
        <w:t>2,4</w:t>
      </w:r>
      <w:r w:rsidR="004F5BDD" w:rsidRPr="008A15B6">
        <w:rPr>
          <w:rFonts w:ascii="Century Gothic" w:hAnsi="Century Gothic"/>
          <w:sz w:val="22"/>
          <w:szCs w:val="22"/>
          <w:lang w:val="es-ES"/>
        </w:rPr>
        <w:t xml:space="preserve"> por ciento</w:t>
      </w:r>
      <w:r w:rsidR="00AD3E93" w:rsidRPr="008A15B6">
        <w:rPr>
          <w:rFonts w:ascii="Century Gothic" w:hAnsi="Century Gothic"/>
          <w:sz w:val="22"/>
          <w:szCs w:val="22"/>
          <w:lang w:val="es-ES"/>
        </w:rPr>
        <w:t>;</w:t>
      </w:r>
      <w:r w:rsidRPr="008A15B6">
        <w:rPr>
          <w:rFonts w:ascii="Century Gothic" w:hAnsi="Century Gothic"/>
          <w:sz w:val="22"/>
          <w:szCs w:val="22"/>
          <w:lang w:val="es-ES"/>
        </w:rPr>
        <w:t xml:space="preserve"> y </w:t>
      </w:r>
      <w:r w:rsidR="00AD3E93" w:rsidRPr="008A15B6">
        <w:rPr>
          <w:rFonts w:ascii="Century Gothic" w:hAnsi="Century Gothic"/>
          <w:sz w:val="22"/>
          <w:szCs w:val="22"/>
          <w:lang w:val="es-ES"/>
        </w:rPr>
        <w:t xml:space="preserve">2 catalogadas como </w:t>
      </w:r>
      <w:r w:rsidRPr="008A15B6">
        <w:rPr>
          <w:rFonts w:ascii="Century Gothic" w:hAnsi="Century Gothic"/>
          <w:sz w:val="22"/>
          <w:szCs w:val="22"/>
          <w:lang w:val="es-ES"/>
        </w:rPr>
        <w:t>otro</w:t>
      </w:r>
      <w:r w:rsidR="00AD3E93" w:rsidRPr="008A15B6">
        <w:rPr>
          <w:rFonts w:ascii="Century Gothic" w:hAnsi="Century Gothic"/>
          <w:sz w:val="22"/>
          <w:szCs w:val="22"/>
          <w:lang w:val="es-ES"/>
        </w:rPr>
        <w:t xml:space="preserve"> tipo de demandas</w:t>
      </w:r>
      <w:r w:rsidRPr="008A15B6">
        <w:rPr>
          <w:rFonts w:ascii="Century Gothic" w:hAnsi="Century Gothic"/>
          <w:sz w:val="22"/>
          <w:szCs w:val="22"/>
          <w:lang w:val="es-ES"/>
        </w:rPr>
        <w:t>,</w:t>
      </w:r>
      <w:r w:rsidR="003A2979" w:rsidRPr="008A15B6">
        <w:rPr>
          <w:rFonts w:ascii="Century Gothic" w:hAnsi="Century Gothic"/>
          <w:sz w:val="22"/>
          <w:szCs w:val="22"/>
          <w:lang w:val="es-ES"/>
        </w:rPr>
        <w:t xml:space="preserve"> que representa </w:t>
      </w:r>
      <w:r w:rsidRPr="008A15B6">
        <w:rPr>
          <w:rFonts w:ascii="Century Gothic" w:hAnsi="Century Gothic"/>
          <w:sz w:val="22"/>
          <w:szCs w:val="22"/>
          <w:lang w:val="es-ES"/>
        </w:rPr>
        <w:t>e</w:t>
      </w:r>
      <w:r w:rsidR="003A2979" w:rsidRPr="008A15B6">
        <w:rPr>
          <w:rFonts w:ascii="Century Gothic" w:hAnsi="Century Gothic"/>
          <w:sz w:val="22"/>
          <w:szCs w:val="22"/>
          <w:lang w:val="es-ES"/>
        </w:rPr>
        <w:t>l</w:t>
      </w:r>
      <w:r w:rsidRPr="008A15B6">
        <w:rPr>
          <w:rFonts w:ascii="Century Gothic" w:hAnsi="Century Gothic"/>
          <w:sz w:val="22"/>
          <w:szCs w:val="22"/>
          <w:lang w:val="es-ES"/>
        </w:rPr>
        <w:t xml:space="preserve"> 0,9</w:t>
      </w:r>
      <w:r w:rsidR="004F5BDD" w:rsidRPr="008A15B6">
        <w:rPr>
          <w:rFonts w:ascii="Century Gothic" w:hAnsi="Century Gothic"/>
          <w:sz w:val="22"/>
          <w:szCs w:val="22"/>
          <w:lang w:val="es-ES"/>
        </w:rPr>
        <w:t xml:space="preserve"> por ciento</w:t>
      </w:r>
      <w:r w:rsidRPr="008A15B6">
        <w:rPr>
          <w:rFonts w:ascii="Century Gothic" w:hAnsi="Century Gothic"/>
          <w:sz w:val="22"/>
          <w:szCs w:val="22"/>
          <w:lang w:val="es-ES"/>
        </w:rPr>
        <w:t>.</w:t>
      </w:r>
    </w:p>
    <w:p w14:paraId="3CC09B3E" w14:textId="5BB1AF5E" w:rsidR="0071587C" w:rsidRPr="008A15B6" w:rsidRDefault="0071587C" w:rsidP="0071587C">
      <w:pPr>
        <w:pStyle w:val="Epgrafe"/>
        <w:spacing w:after="0"/>
        <w:jc w:val="center"/>
        <w:rPr>
          <w:rFonts w:ascii="Century Gothic" w:hAnsi="Century Gothic"/>
          <w:b w:val="0"/>
          <w:color w:val="auto"/>
          <w:sz w:val="28"/>
          <w:szCs w:val="22"/>
          <w:lang w:val="es-ES"/>
        </w:rPr>
      </w:pPr>
      <w:bookmarkStart w:id="58" w:name="_Toc532566061"/>
      <w:r w:rsidRPr="008A15B6">
        <w:rPr>
          <w:rFonts w:ascii="Century Gothic" w:hAnsi="Century Gothic"/>
          <w:b w:val="0"/>
          <w:color w:val="auto"/>
          <w:sz w:val="22"/>
          <w:lang w:val="es-ES"/>
        </w:rPr>
        <w:t xml:space="preserve">Gráfica </w:t>
      </w:r>
      <w:r w:rsidRPr="008A15B6">
        <w:rPr>
          <w:rFonts w:ascii="Century Gothic" w:hAnsi="Century Gothic"/>
          <w:b w:val="0"/>
          <w:color w:val="auto"/>
          <w:sz w:val="22"/>
          <w:lang w:val="es-ES"/>
        </w:rPr>
        <w:fldChar w:fldCharType="begin"/>
      </w:r>
      <w:r w:rsidRPr="008A15B6">
        <w:rPr>
          <w:rFonts w:ascii="Century Gothic" w:hAnsi="Century Gothic"/>
          <w:b w:val="0"/>
          <w:color w:val="auto"/>
          <w:sz w:val="22"/>
          <w:lang w:val="es-ES"/>
        </w:rPr>
        <w:instrText xml:space="preserve"> SEQ Gráfica \* ARABIC </w:instrText>
      </w:r>
      <w:r w:rsidRPr="008A15B6">
        <w:rPr>
          <w:rFonts w:ascii="Century Gothic" w:hAnsi="Century Gothic"/>
          <w:b w:val="0"/>
          <w:color w:val="auto"/>
          <w:sz w:val="22"/>
          <w:lang w:val="es-ES"/>
        </w:rPr>
        <w:fldChar w:fldCharType="separate"/>
      </w:r>
      <w:r w:rsidR="00AD3E93" w:rsidRPr="008A15B6">
        <w:rPr>
          <w:rFonts w:ascii="Century Gothic" w:hAnsi="Century Gothic"/>
          <w:b w:val="0"/>
          <w:noProof/>
          <w:color w:val="auto"/>
          <w:sz w:val="22"/>
          <w:lang w:val="es-ES"/>
        </w:rPr>
        <w:t>8</w:t>
      </w:r>
      <w:r w:rsidRPr="008A15B6">
        <w:rPr>
          <w:rFonts w:ascii="Century Gothic" w:hAnsi="Century Gothic"/>
          <w:b w:val="0"/>
          <w:color w:val="auto"/>
          <w:sz w:val="22"/>
          <w:lang w:val="es-ES"/>
        </w:rPr>
        <w:fldChar w:fldCharType="end"/>
      </w:r>
      <w:r w:rsidRPr="008A15B6">
        <w:rPr>
          <w:rFonts w:ascii="Century Gothic" w:hAnsi="Century Gothic"/>
          <w:b w:val="0"/>
          <w:color w:val="auto"/>
          <w:sz w:val="22"/>
          <w:lang w:val="es-ES"/>
        </w:rPr>
        <w:t>. Acciones constitucionales y judiciales 2017</w:t>
      </w:r>
      <w:bookmarkEnd w:id="58"/>
    </w:p>
    <w:p w14:paraId="4410734A" w14:textId="69B0FE2B" w:rsidR="0071587C" w:rsidRPr="008A15B6" w:rsidRDefault="00A241EF" w:rsidP="00A241EF">
      <w:pPr>
        <w:pStyle w:val="Default"/>
        <w:spacing w:line="276" w:lineRule="auto"/>
        <w:jc w:val="center"/>
        <w:rPr>
          <w:rFonts w:ascii="Century Gothic" w:hAnsi="Century Gothic"/>
          <w:sz w:val="22"/>
          <w:szCs w:val="22"/>
          <w:lang w:val="es-ES"/>
        </w:rPr>
      </w:pPr>
      <w:r w:rsidRPr="008A15B6">
        <w:rPr>
          <w:rFonts w:ascii="Century Gothic" w:hAnsi="Century Gothic"/>
          <w:noProof/>
          <w:lang w:val="es-ES" w:eastAsia="es-ES"/>
        </w:rPr>
        <w:drawing>
          <wp:inline distT="0" distB="0" distL="0" distR="0" wp14:anchorId="4613A817" wp14:editId="7F11E59A">
            <wp:extent cx="4756150" cy="2152650"/>
            <wp:effectExtent l="0" t="0" r="6350" b="0"/>
            <wp:docPr id="1" name="Gráfico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F477E1-86FB-4F66-9868-ACE95B273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623A896" w14:textId="35509AD4" w:rsidR="0071587C" w:rsidRPr="008A15B6" w:rsidRDefault="0071587C" w:rsidP="0071587C">
      <w:pPr>
        <w:jc w:val="center"/>
        <w:rPr>
          <w:rFonts w:ascii="Century Gothic" w:hAnsi="Century Gothic"/>
          <w:sz w:val="20"/>
          <w:lang w:val="es-ES"/>
        </w:rPr>
      </w:pPr>
      <w:r w:rsidRPr="008A15B6">
        <w:rPr>
          <w:rFonts w:ascii="Century Gothic" w:hAnsi="Century Gothic"/>
          <w:sz w:val="20"/>
          <w:lang w:val="es-ES"/>
        </w:rPr>
        <w:t>Fuente: Oficina Asesora Jurídica, 2018</w:t>
      </w:r>
    </w:p>
    <w:p w14:paraId="1BAC1142" w14:textId="5CEF81E6" w:rsidR="0071587C" w:rsidRPr="008A15B6" w:rsidRDefault="00A241EF" w:rsidP="0071587C">
      <w:pPr>
        <w:pStyle w:val="Default"/>
        <w:spacing w:after="200" w:line="276" w:lineRule="auto"/>
        <w:jc w:val="both"/>
        <w:rPr>
          <w:rFonts w:ascii="Century Gothic" w:hAnsi="Century Gothic"/>
          <w:sz w:val="22"/>
          <w:szCs w:val="22"/>
          <w:lang w:val="es-ES"/>
        </w:rPr>
      </w:pPr>
      <w:r w:rsidRPr="008A15B6">
        <w:rPr>
          <w:rFonts w:ascii="Century Gothic" w:hAnsi="Century Gothic"/>
          <w:sz w:val="22"/>
          <w:szCs w:val="22"/>
          <w:lang w:val="es-ES"/>
        </w:rPr>
        <w:lastRenderedPageBreak/>
        <w:t>En el primer semestre del año 2018 se encontraban vigentes 182 procesos judiciales, los cuales se dividían en: 19 acciones constitucionales (</w:t>
      </w:r>
      <w:r w:rsidR="00AD3E93" w:rsidRPr="008A15B6">
        <w:rPr>
          <w:rFonts w:ascii="Century Gothic" w:hAnsi="Century Gothic"/>
          <w:sz w:val="22"/>
          <w:szCs w:val="22"/>
          <w:lang w:val="es-ES"/>
        </w:rPr>
        <w:t>a</w:t>
      </w:r>
      <w:r w:rsidRPr="008A15B6">
        <w:rPr>
          <w:rFonts w:ascii="Century Gothic" w:hAnsi="Century Gothic"/>
          <w:sz w:val="22"/>
          <w:szCs w:val="22"/>
          <w:lang w:val="es-ES"/>
        </w:rPr>
        <w:t xml:space="preserve">cción de grupo, acción popular, acción de cumplimiento), </w:t>
      </w:r>
      <w:r w:rsidR="003A2979" w:rsidRPr="008A15B6">
        <w:rPr>
          <w:rFonts w:ascii="Century Gothic" w:hAnsi="Century Gothic"/>
          <w:sz w:val="22"/>
          <w:szCs w:val="22"/>
          <w:lang w:val="es-ES"/>
        </w:rPr>
        <w:t xml:space="preserve">que equivale </w:t>
      </w:r>
      <w:r w:rsidR="00037AA6" w:rsidRPr="008A15B6">
        <w:rPr>
          <w:rFonts w:ascii="Century Gothic" w:hAnsi="Century Gothic"/>
          <w:sz w:val="22"/>
          <w:szCs w:val="22"/>
          <w:lang w:val="es-ES"/>
        </w:rPr>
        <w:t>a</w:t>
      </w:r>
      <w:r w:rsidR="003A2979" w:rsidRPr="008A15B6">
        <w:rPr>
          <w:rFonts w:ascii="Century Gothic" w:hAnsi="Century Gothic"/>
          <w:sz w:val="22"/>
          <w:szCs w:val="22"/>
          <w:lang w:val="es-ES"/>
        </w:rPr>
        <w:t>l</w:t>
      </w:r>
      <w:r w:rsidRPr="008A15B6">
        <w:rPr>
          <w:rFonts w:ascii="Century Gothic" w:hAnsi="Century Gothic"/>
          <w:sz w:val="22"/>
          <w:szCs w:val="22"/>
          <w:lang w:val="es-ES"/>
        </w:rPr>
        <w:t xml:space="preserve"> 10,4</w:t>
      </w:r>
      <w:r w:rsidR="004F5BDD" w:rsidRPr="008A15B6">
        <w:rPr>
          <w:rFonts w:ascii="Century Gothic" w:hAnsi="Century Gothic"/>
          <w:sz w:val="22"/>
          <w:szCs w:val="22"/>
          <w:lang w:val="es-ES"/>
        </w:rPr>
        <w:t xml:space="preserve"> por ciento</w:t>
      </w:r>
      <w:r w:rsidRPr="008A15B6">
        <w:rPr>
          <w:rFonts w:ascii="Century Gothic" w:hAnsi="Century Gothic"/>
          <w:sz w:val="22"/>
          <w:szCs w:val="22"/>
          <w:lang w:val="es-ES"/>
        </w:rPr>
        <w:t xml:space="preserve">, 155 demandas administrativas (reparación directa, nulidad y restablecimiento del derecho, nulidad simple, nulidad electoral, nulidad por inconstitucionalidad, acción contractual), </w:t>
      </w:r>
      <w:r w:rsidR="003A2979" w:rsidRPr="008A15B6">
        <w:rPr>
          <w:rFonts w:ascii="Century Gothic" w:hAnsi="Century Gothic"/>
          <w:sz w:val="22"/>
          <w:szCs w:val="22"/>
          <w:lang w:val="es-ES"/>
        </w:rPr>
        <w:t xml:space="preserve">que participa con </w:t>
      </w:r>
      <w:r w:rsidRPr="008A15B6">
        <w:rPr>
          <w:rFonts w:ascii="Century Gothic" w:hAnsi="Century Gothic"/>
          <w:sz w:val="22"/>
          <w:szCs w:val="22"/>
          <w:lang w:val="es-ES"/>
        </w:rPr>
        <w:t>e</w:t>
      </w:r>
      <w:r w:rsidR="003A2979" w:rsidRPr="008A15B6">
        <w:rPr>
          <w:rFonts w:ascii="Century Gothic" w:hAnsi="Century Gothic"/>
          <w:sz w:val="22"/>
          <w:szCs w:val="22"/>
          <w:lang w:val="es-ES"/>
        </w:rPr>
        <w:t>l</w:t>
      </w:r>
      <w:r w:rsidRPr="008A15B6">
        <w:rPr>
          <w:rFonts w:ascii="Century Gothic" w:hAnsi="Century Gothic"/>
          <w:sz w:val="22"/>
          <w:szCs w:val="22"/>
          <w:lang w:val="es-ES"/>
        </w:rPr>
        <w:t xml:space="preserve"> 85,4</w:t>
      </w:r>
      <w:r w:rsidR="004F5BDD" w:rsidRPr="008A15B6">
        <w:rPr>
          <w:rFonts w:ascii="Century Gothic" w:hAnsi="Century Gothic"/>
          <w:sz w:val="22"/>
          <w:szCs w:val="22"/>
          <w:lang w:val="es-ES"/>
        </w:rPr>
        <w:t xml:space="preserve"> por ciento</w:t>
      </w:r>
      <w:r w:rsidRPr="008A15B6">
        <w:rPr>
          <w:rFonts w:ascii="Century Gothic" w:hAnsi="Century Gothic"/>
          <w:sz w:val="22"/>
          <w:szCs w:val="22"/>
          <w:lang w:val="es-ES"/>
        </w:rPr>
        <w:t xml:space="preserve">, 8 demandas laborales, </w:t>
      </w:r>
      <w:r w:rsidR="003A2979" w:rsidRPr="008A15B6">
        <w:rPr>
          <w:rFonts w:ascii="Century Gothic" w:hAnsi="Century Gothic"/>
          <w:sz w:val="22"/>
          <w:szCs w:val="22"/>
          <w:lang w:val="es-ES"/>
        </w:rPr>
        <w:t xml:space="preserve">que </w:t>
      </w:r>
      <w:r w:rsidRPr="008A15B6">
        <w:rPr>
          <w:rFonts w:ascii="Century Gothic" w:hAnsi="Century Gothic"/>
          <w:sz w:val="22"/>
          <w:szCs w:val="22"/>
          <w:lang w:val="es-ES"/>
        </w:rPr>
        <w:t>representa</w:t>
      </w:r>
      <w:r w:rsidR="003A2979" w:rsidRPr="008A15B6">
        <w:rPr>
          <w:rFonts w:ascii="Century Gothic" w:hAnsi="Century Gothic"/>
          <w:sz w:val="22"/>
          <w:szCs w:val="22"/>
          <w:lang w:val="es-ES"/>
        </w:rPr>
        <w:t xml:space="preserve">n </w:t>
      </w:r>
      <w:r w:rsidRPr="008A15B6">
        <w:rPr>
          <w:rFonts w:ascii="Century Gothic" w:hAnsi="Century Gothic"/>
          <w:sz w:val="22"/>
          <w:szCs w:val="22"/>
          <w:lang w:val="es-ES"/>
        </w:rPr>
        <w:t>e</w:t>
      </w:r>
      <w:r w:rsidR="003A2979" w:rsidRPr="008A15B6">
        <w:rPr>
          <w:rFonts w:ascii="Century Gothic" w:hAnsi="Century Gothic"/>
          <w:sz w:val="22"/>
          <w:szCs w:val="22"/>
          <w:lang w:val="es-ES"/>
        </w:rPr>
        <w:t>l</w:t>
      </w:r>
      <w:r w:rsidRPr="008A15B6">
        <w:rPr>
          <w:rFonts w:ascii="Century Gothic" w:hAnsi="Century Gothic"/>
          <w:sz w:val="22"/>
          <w:szCs w:val="22"/>
          <w:lang w:val="es-ES"/>
        </w:rPr>
        <w:t xml:space="preserve"> 4,4</w:t>
      </w:r>
      <w:r w:rsidR="004F5BDD" w:rsidRPr="008A15B6">
        <w:rPr>
          <w:rFonts w:ascii="Century Gothic" w:hAnsi="Century Gothic"/>
          <w:sz w:val="22"/>
          <w:szCs w:val="22"/>
          <w:lang w:val="es-ES"/>
        </w:rPr>
        <w:t xml:space="preserve"> por ciento</w:t>
      </w:r>
      <w:r w:rsidRPr="008A15B6">
        <w:rPr>
          <w:rFonts w:ascii="Century Gothic" w:hAnsi="Century Gothic"/>
          <w:sz w:val="22"/>
          <w:szCs w:val="22"/>
          <w:lang w:val="es-ES"/>
        </w:rPr>
        <w:t xml:space="preserve"> y no se presentaron otro tipo de demanda</w:t>
      </w:r>
      <w:r w:rsidR="003A2979" w:rsidRPr="008A15B6">
        <w:rPr>
          <w:rFonts w:ascii="Century Gothic" w:hAnsi="Century Gothic"/>
          <w:sz w:val="22"/>
          <w:szCs w:val="22"/>
          <w:lang w:val="es-ES"/>
        </w:rPr>
        <w:t>s</w:t>
      </w:r>
      <w:r w:rsidRPr="008A15B6">
        <w:rPr>
          <w:rFonts w:ascii="Century Gothic" w:hAnsi="Century Gothic"/>
          <w:sz w:val="22"/>
          <w:szCs w:val="22"/>
          <w:lang w:val="es-ES"/>
        </w:rPr>
        <w:t>.</w:t>
      </w:r>
    </w:p>
    <w:p w14:paraId="55CDF503" w14:textId="23924AB7" w:rsidR="00BD606D" w:rsidRPr="008A15B6" w:rsidRDefault="00BD606D" w:rsidP="00BD606D">
      <w:pPr>
        <w:pStyle w:val="Default"/>
        <w:spacing w:line="276" w:lineRule="auto"/>
        <w:jc w:val="center"/>
        <w:rPr>
          <w:rFonts w:ascii="Century Gothic" w:hAnsi="Century Gothic"/>
          <w:sz w:val="22"/>
          <w:szCs w:val="22"/>
          <w:lang w:val="es-ES"/>
        </w:rPr>
      </w:pPr>
      <w:bookmarkStart w:id="59" w:name="_Toc532566062"/>
      <w:r w:rsidRPr="008A15B6">
        <w:rPr>
          <w:rFonts w:ascii="Century Gothic" w:hAnsi="Century Gothic"/>
          <w:color w:val="auto"/>
          <w:sz w:val="22"/>
          <w:lang w:val="es-ES"/>
        </w:rPr>
        <w:t xml:space="preserve">Gráfica </w:t>
      </w:r>
      <w:r w:rsidRPr="008A15B6">
        <w:rPr>
          <w:rFonts w:ascii="Century Gothic" w:hAnsi="Century Gothic"/>
          <w:color w:val="auto"/>
          <w:sz w:val="22"/>
          <w:lang w:val="es-ES"/>
        </w:rPr>
        <w:fldChar w:fldCharType="begin"/>
      </w:r>
      <w:r w:rsidRPr="008A15B6">
        <w:rPr>
          <w:rFonts w:ascii="Century Gothic" w:hAnsi="Century Gothic"/>
          <w:color w:val="auto"/>
          <w:sz w:val="22"/>
          <w:lang w:val="es-ES"/>
        </w:rPr>
        <w:instrText xml:space="preserve"> SEQ Gráfica \* ARABIC </w:instrText>
      </w:r>
      <w:r w:rsidRPr="008A15B6">
        <w:rPr>
          <w:rFonts w:ascii="Century Gothic" w:hAnsi="Century Gothic"/>
          <w:color w:val="auto"/>
          <w:sz w:val="22"/>
          <w:lang w:val="es-ES"/>
        </w:rPr>
        <w:fldChar w:fldCharType="separate"/>
      </w:r>
      <w:r w:rsidR="004A2E30" w:rsidRPr="008A15B6">
        <w:rPr>
          <w:rFonts w:ascii="Century Gothic" w:hAnsi="Century Gothic"/>
          <w:noProof/>
          <w:color w:val="auto"/>
          <w:sz w:val="22"/>
          <w:lang w:val="es-ES"/>
        </w:rPr>
        <w:t>9</w:t>
      </w:r>
      <w:r w:rsidRPr="008A15B6">
        <w:rPr>
          <w:rFonts w:ascii="Century Gothic" w:hAnsi="Century Gothic"/>
          <w:color w:val="auto"/>
          <w:sz w:val="22"/>
          <w:lang w:val="es-ES"/>
        </w:rPr>
        <w:fldChar w:fldCharType="end"/>
      </w:r>
      <w:r w:rsidRPr="008A15B6">
        <w:rPr>
          <w:rFonts w:ascii="Century Gothic" w:hAnsi="Century Gothic"/>
          <w:color w:val="auto"/>
          <w:sz w:val="22"/>
          <w:lang w:val="es-ES"/>
        </w:rPr>
        <w:t>. Acciones constitucionales y judiciales junio 2018</w:t>
      </w:r>
      <w:bookmarkEnd w:id="59"/>
      <w:r w:rsidRPr="008A15B6">
        <w:rPr>
          <w:rFonts w:ascii="Century Gothic" w:hAnsi="Century Gothic"/>
          <w:color w:val="auto"/>
          <w:sz w:val="22"/>
          <w:lang w:val="es-ES"/>
        </w:rPr>
        <w:t xml:space="preserve"> </w:t>
      </w:r>
    </w:p>
    <w:p w14:paraId="331ECB32" w14:textId="1786879D" w:rsidR="0071587C" w:rsidRPr="008A15B6" w:rsidRDefault="00A241EF" w:rsidP="00BD606D">
      <w:pPr>
        <w:pStyle w:val="Default"/>
        <w:spacing w:line="276" w:lineRule="auto"/>
        <w:jc w:val="center"/>
        <w:rPr>
          <w:rFonts w:ascii="Century Gothic" w:hAnsi="Century Gothic"/>
          <w:sz w:val="22"/>
          <w:szCs w:val="22"/>
          <w:lang w:val="es-ES"/>
        </w:rPr>
      </w:pPr>
      <w:r w:rsidRPr="008A15B6">
        <w:rPr>
          <w:rFonts w:ascii="Century Gothic" w:hAnsi="Century Gothic"/>
          <w:noProof/>
          <w:lang w:val="es-ES" w:eastAsia="es-ES"/>
        </w:rPr>
        <w:drawing>
          <wp:inline distT="0" distB="0" distL="0" distR="0" wp14:anchorId="1F0D5BFE" wp14:editId="245054EF">
            <wp:extent cx="4724400" cy="2189018"/>
            <wp:effectExtent l="0" t="0" r="0" b="1905"/>
            <wp:docPr id="21" name="Gráfico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0FB26E9-E188-438C-9A54-C66F4E5AAC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FC8771D" w14:textId="77777777" w:rsidR="00BD606D" w:rsidRPr="008A15B6" w:rsidRDefault="00BD606D" w:rsidP="00BD606D">
      <w:pPr>
        <w:jc w:val="center"/>
        <w:rPr>
          <w:rFonts w:ascii="Century Gothic" w:hAnsi="Century Gothic"/>
          <w:sz w:val="20"/>
          <w:lang w:val="es-ES"/>
        </w:rPr>
      </w:pPr>
      <w:r w:rsidRPr="008A15B6">
        <w:rPr>
          <w:rFonts w:ascii="Century Gothic" w:hAnsi="Century Gothic"/>
          <w:sz w:val="20"/>
          <w:lang w:val="es-ES"/>
        </w:rPr>
        <w:t>Fuente: Oficina Asesora Jurídica, 2018</w:t>
      </w:r>
    </w:p>
    <w:p w14:paraId="286E54DE" w14:textId="35C4BAD1" w:rsidR="00BD606D" w:rsidRPr="008A15B6" w:rsidRDefault="00BD606D" w:rsidP="003A2979">
      <w:pPr>
        <w:pStyle w:val="Ttulo5"/>
        <w:numPr>
          <w:ilvl w:val="0"/>
          <w:numId w:val="0"/>
        </w:numPr>
        <w:spacing w:after="240" w:line="276" w:lineRule="auto"/>
        <w:rPr>
          <w:lang w:val="es-ES"/>
        </w:rPr>
      </w:pPr>
      <w:r w:rsidRPr="008A15B6">
        <w:rPr>
          <w:lang w:val="es-ES"/>
        </w:rPr>
        <w:t xml:space="preserve">Valoración de riesgo </w:t>
      </w:r>
    </w:p>
    <w:p w14:paraId="056C1601" w14:textId="315380F3" w:rsidR="00BD606D" w:rsidRPr="008A15B6" w:rsidRDefault="00BD7F1F" w:rsidP="00EA22A6">
      <w:pPr>
        <w:jc w:val="both"/>
        <w:rPr>
          <w:rFonts w:ascii="Century Gothic" w:hAnsi="Century Gothic"/>
          <w:lang w:val="es-ES"/>
        </w:rPr>
      </w:pPr>
      <w:r w:rsidRPr="008A15B6">
        <w:rPr>
          <w:rFonts w:ascii="Century Gothic" w:hAnsi="Century Gothic"/>
          <w:lang w:val="es-ES"/>
        </w:rPr>
        <w:t xml:space="preserve">El municipio de Pasto valora los </w:t>
      </w:r>
      <w:r w:rsidR="00BD606D" w:rsidRPr="008A15B6">
        <w:rPr>
          <w:rFonts w:ascii="Century Gothic" w:hAnsi="Century Gothic"/>
          <w:lang w:val="es-ES"/>
        </w:rPr>
        <w:t>nivel</w:t>
      </w:r>
      <w:r w:rsidRPr="008A15B6">
        <w:rPr>
          <w:rFonts w:ascii="Century Gothic" w:hAnsi="Century Gothic"/>
          <w:lang w:val="es-ES"/>
        </w:rPr>
        <w:t>es</w:t>
      </w:r>
      <w:r w:rsidR="00BD606D" w:rsidRPr="008A15B6">
        <w:rPr>
          <w:rFonts w:ascii="Century Gothic" w:hAnsi="Century Gothic"/>
          <w:lang w:val="es-ES"/>
        </w:rPr>
        <w:t xml:space="preserve"> de riesgo de pérdida de una demanda,</w:t>
      </w:r>
      <w:r w:rsidRPr="008A15B6">
        <w:rPr>
          <w:rFonts w:ascii="Century Gothic" w:hAnsi="Century Gothic"/>
          <w:lang w:val="es-ES"/>
        </w:rPr>
        <w:t xml:space="preserve"> de acuerdo a unos criterios que permiten identificar el</w:t>
      </w:r>
      <w:r w:rsidR="00BD606D" w:rsidRPr="008A15B6">
        <w:rPr>
          <w:rFonts w:ascii="Century Gothic" w:hAnsi="Century Gothic"/>
          <w:lang w:val="es-ES"/>
        </w:rPr>
        <w:t xml:space="preserve"> nivel</w:t>
      </w:r>
      <w:r w:rsidRPr="008A15B6">
        <w:rPr>
          <w:rFonts w:ascii="Century Gothic" w:hAnsi="Century Gothic"/>
          <w:lang w:val="es-ES"/>
        </w:rPr>
        <w:t xml:space="preserve"> de </w:t>
      </w:r>
      <w:r w:rsidR="00BD606D" w:rsidRPr="008A15B6">
        <w:rPr>
          <w:rFonts w:ascii="Century Gothic" w:hAnsi="Century Gothic"/>
          <w:lang w:val="es-ES"/>
        </w:rPr>
        <w:t>medición de</w:t>
      </w:r>
      <w:r w:rsidRPr="008A15B6">
        <w:rPr>
          <w:rFonts w:ascii="Century Gothic" w:hAnsi="Century Gothic"/>
          <w:lang w:val="es-ES"/>
        </w:rPr>
        <w:t xml:space="preserve"> </w:t>
      </w:r>
      <w:r w:rsidR="00BD606D" w:rsidRPr="008A15B6">
        <w:rPr>
          <w:rFonts w:ascii="Century Gothic" w:hAnsi="Century Gothic"/>
          <w:lang w:val="es-ES"/>
        </w:rPr>
        <w:t>l</w:t>
      </w:r>
      <w:r w:rsidRPr="008A15B6">
        <w:rPr>
          <w:rFonts w:ascii="Century Gothic" w:hAnsi="Century Gothic"/>
          <w:lang w:val="es-ES"/>
        </w:rPr>
        <w:t>os mismos</w:t>
      </w:r>
      <w:r w:rsidR="00BD606D" w:rsidRPr="008A15B6">
        <w:rPr>
          <w:rFonts w:ascii="Century Gothic" w:hAnsi="Century Gothic"/>
          <w:lang w:val="es-ES"/>
        </w:rPr>
        <w:t>:</w:t>
      </w:r>
    </w:p>
    <w:p w14:paraId="27ECE1BC" w14:textId="52CDD619" w:rsidR="00FE52AA" w:rsidRPr="008A15B6" w:rsidRDefault="00FE52AA" w:rsidP="00BD606D">
      <w:pPr>
        <w:pStyle w:val="Epgrafe"/>
        <w:spacing w:after="0" w:line="276" w:lineRule="auto"/>
        <w:jc w:val="center"/>
        <w:rPr>
          <w:rFonts w:ascii="Century Gothic" w:eastAsia="Century Gothic" w:hAnsi="Century Gothic" w:cs="Century Gothic"/>
          <w:b w:val="0"/>
          <w:color w:val="auto"/>
          <w:sz w:val="22"/>
          <w:szCs w:val="22"/>
          <w:lang w:val="es-ES"/>
        </w:rPr>
      </w:pPr>
      <w:bookmarkStart w:id="60" w:name="_Toc532570520"/>
      <w:r w:rsidRPr="008A15B6">
        <w:rPr>
          <w:rFonts w:ascii="Century Gothic" w:hAnsi="Century Gothic"/>
          <w:b w:val="0"/>
          <w:color w:val="auto"/>
          <w:sz w:val="22"/>
          <w:szCs w:val="22"/>
          <w:lang w:val="es-ES"/>
        </w:rPr>
        <w:t xml:space="preserve">Tabla </w:t>
      </w:r>
      <w:r w:rsidRPr="008A15B6">
        <w:rPr>
          <w:rFonts w:ascii="Century Gothic" w:hAnsi="Century Gothic"/>
          <w:b w:val="0"/>
          <w:color w:val="auto"/>
          <w:sz w:val="22"/>
          <w:szCs w:val="22"/>
          <w:lang w:val="es-ES"/>
        </w:rPr>
        <w:fldChar w:fldCharType="begin"/>
      </w:r>
      <w:r w:rsidRPr="008A15B6">
        <w:rPr>
          <w:rFonts w:ascii="Century Gothic" w:hAnsi="Century Gothic"/>
          <w:b w:val="0"/>
          <w:color w:val="auto"/>
          <w:sz w:val="22"/>
          <w:szCs w:val="22"/>
          <w:lang w:val="es-ES"/>
        </w:rPr>
        <w:instrText xml:space="preserve"> SEQ Tabla \* ARABIC </w:instrText>
      </w:r>
      <w:r w:rsidRPr="008A15B6">
        <w:rPr>
          <w:rFonts w:ascii="Century Gothic" w:hAnsi="Century Gothic"/>
          <w:b w:val="0"/>
          <w:color w:val="auto"/>
          <w:sz w:val="22"/>
          <w:szCs w:val="22"/>
          <w:lang w:val="es-ES"/>
        </w:rPr>
        <w:fldChar w:fldCharType="separate"/>
      </w:r>
      <w:r w:rsidR="00735A58">
        <w:rPr>
          <w:rFonts w:ascii="Century Gothic" w:hAnsi="Century Gothic"/>
          <w:b w:val="0"/>
          <w:noProof/>
          <w:color w:val="auto"/>
          <w:sz w:val="22"/>
          <w:szCs w:val="22"/>
          <w:lang w:val="es-ES"/>
        </w:rPr>
        <w:t>29</w:t>
      </w:r>
      <w:r w:rsidRPr="008A15B6">
        <w:rPr>
          <w:rFonts w:ascii="Century Gothic" w:hAnsi="Century Gothic"/>
          <w:b w:val="0"/>
          <w:color w:val="auto"/>
          <w:sz w:val="22"/>
          <w:szCs w:val="22"/>
          <w:lang w:val="es-ES"/>
        </w:rPr>
        <w:fldChar w:fldCharType="end"/>
      </w:r>
      <w:r w:rsidRPr="008A15B6">
        <w:rPr>
          <w:rFonts w:ascii="Century Gothic" w:hAnsi="Century Gothic"/>
          <w:b w:val="0"/>
          <w:color w:val="auto"/>
          <w:sz w:val="22"/>
          <w:szCs w:val="22"/>
          <w:lang w:val="es-ES"/>
        </w:rPr>
        <w:t>. Valoración del riesgo</w:t>
      </w:r>
      <w:bookmarkEnd w:id="60"/>
    </w:p>
    <w:tbl>
      <w:tblPr>
        <w:tblStyle w:val="Tablaconcuadrcula4-nfasis11"/>
        <w:tblW w:w="0" w:type="auto"/>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783"/>
      </w:tblGrid>
      <w:tr w:rsidR="00BD606D" w:rsidRPr="008A15B6" w14:paraId="6F0EF1BA" w14:textId="77777777" w:rsidTr="00EA22A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right w:val="none" w:sz="0" w:space="0" w:color="auto"/>
            </w:tcBorders>
            <w:shd w:val="clear" w:color="auto" w:fill="C2D69B" w:themeFill="accent3" w:themeFillTint="99"/>
            <w:hideMark/>
          </w:tcPr>
          <w:p w14:paraId="55351CF9" w14:textId="77777777" w:rsidR="00BD606D" w:rsidRPr="008A15B6" w:rsidRDefault="00BD606D" w:rsidP="00BD606D">
            <w:pPr>
              <w:spacing w:line="276" w:lineRule="auto"/>
              <w:jc w:val="center"/>
              <w:rPr>
                <w:rFonts w:ascii="Century Gothic" w:hAnsi="Century Gothic"/>
                <w:b w:val="0"/>
                <w:color w:val="auto"/>
                <w:sz w:val="20"/>
                <w:szCs w:val="20"/>
                <w:lang w:val="es-ES"/>
              </w:rPr>
            </w:pPr>
            <w:r w:rsidRPr="008A15B6">
              <w:rPr>
                <w:rFonts w:ascii="Century Gothic" w:hAnsi="Century Gothic"/>
                <w:color w:val="auto"/>
                <w:sz w:val="20"/>
                <w:szCs w:val="20"/>
                <w:lang w:val="es-ES"/>
              </w:rPr>
              <w:t>Riesgo</w:t>
            </w:r>
          </w:p>
        </w:tc>
        <w:tc>
          <w:tcPr>
            <w:tcW w:w="2783" w:type="dxa"/>
            <w:tcBorders>
              <w:top w:val="none" w:sz="0" w:space="0" w:color="auto"/>
              <w:left w:val="none" w:sz="0" w:space="0" w:color="auto"/>
              <w:bottom w:val="none" w:sz="0" w:space="0" w:color="auto"/>
              <w:right w:val="none" w:sz="0" w:space="0" w:color="auto"/>
            </w:tcBorders>
            <w:shd w:val="clear" w:color="auto" w:fill="C2D69B" w:themeFill="accent3" w:themeFillTint="99"/>
            <w:hideMark/>
          </w:tcPr>
          <w:p w14:paraId="71A55731" w14:textId="77777777" w:rsidR="00BD606D" w:rsidRPr="008A15B6" w:rsidRDefault="00BD606D" w:rsidP="00BD606D">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auto"/>
                <w:sz w:val="20"/>
                <w:szCs w:val="20"/>
                <w:lang w:val="es-ES"/>
              </w:rPr>
            </w:pPr>
            <w:r w:rsidRPr="008A15B6">
              <w:rPr>
                <w:rFonts w:ascii="Century Gothic" w:hAnsi="Century Gothic"/>
                <w:color w:val="auto"/>
                <w:sz w:val="20"/>
                <w:szCs w:val="20"/>
                <w:lang w:val="es-ES"/>
              </w:rPr>
              <w:t>Probabilidad de perdida</w:t>
            </w:r>
          </w:p>
        </w:tc>
      </w:tr>
      <w:tr w:rsidR="00BD606D" w:rsidRPr="008A15B6" w14:paraId="4D154F0B" w14:textId="77777777" w:rsidTr="00EA22A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C2D69B" w:themeFill="accent3" w:themeFillTint="99"/>
            <w:hideMark/>
          </w:tcPr>
          <w:p w14:paraId="2B5C613C" w14:textId="77777777" w:rsidR="00BD606D" w:rsidRPr="008A15B6" w:rsidRDefault="00BD606D" w:rsidP="00BD606D">
            <w:pPr>
              <w:spacing w:line="276" w:lineRule="auto"/>
              <w:jc w:val="center"/>
              <w:rPr>
                <w:rFonts w:ascii="Century Gothic" w:hAnsi="Century Gothic"/>
                <w:sz w:val="20"/>
                <w:szCs w:val="20"/>
                <w:lang w:val="es-ES"/>
              </w:rPr>
            </w:pPr>
            <w:r w:rsidRPr="008A15B6">
              <w:rPr>
                <w:rFonts w:ascii="Century Gothic" w:hAnsi="Century Gothic"/>
                <w:sz w:val="20"/>
                <w:szCs w:val="20"/>
                <w:lang w:val="es-ES"/>
              </w:rPr>
              <w:t>Alto</w:t>
            </w:r>
          </w:p>
        </w:tc>
        <w:tc>
          <w:tcPr>
            <w:tcW w:w="2783" w:type="dxa"/>
            <w:shd w:val="clear" w:color="auto" w:fill="auto"/>
            <w:hideMark/>
          </w:tcPr>
          <w:p w14:paraId="120B0D99" w14:textId="77777777" w:rsidR="00BD606D" w:rsidRPr="008A15B6" w:rsidRDefault="00BD606D" w:rsidP="00BD60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Mayor a 60%</w:t>
            </w:r>
          </w:p>
        </w:tc>
      </w:tr>
      <w:tr w:rsidR="00BD606D" w:rsidRPr="008A15B6" w14:paraId="0F7EA817" w14:textId="77777777" w:rsidTr="00EA22A6">
        <w:trPr>
          <w:trHeight w:val="27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C2D69B" w:themeFill="accent3" w:themeFillTint="99"/>
            <w:hideMark/>
          </w:tcPr>
          <w:p w14:paraId="45863622" w14:textId="77777777" w:rsidR="00BD606D" w:rsidRPr="008A15B6" w:rsidRDefault="00BD606D" w:rsidP="00BD606D">
            <w:pPr>
              <w:spacing w:line="276" w:lineRule="auto"/>
              <w:jc w:val="center"/>
              <w:rPr>
                <w:rFonts w:ascii="Century Gothic" w:hAnsi="Century Gothic"/>
                <w:sz w:val="20"/>
                <w:szCs w:val="20"/>
                <w:lang w:val="es-ES"/>
              </w:rPr>
            </w:pPr>
            <w:r w:rsidRPr="008A15B6">
              <w:rPr>
                <w:rFonts w:ascii="Century Gothic" w:hAnsi="Century Gothic"/>
                <w:sz w:val="20"/>
                <w:szCs w:val="20"/>
                <w:lang w:val="es-ES"/>
              </w:rPr>
              <w:t>Medio</w:t>
            </w:r>
          </w:p>
        </w:tc>
        <w:tc>
          <w:tcPr>
            <w:tcW w:w="2783" w:type="dxa"/>
            <w:shd w:val="clear" w:color="auto" w:fill="auto"/>
            <w:hideMark/>
          </w:tcPr>
          <w:p w14:paraId="48D787B9" w14:textId="77777777" w:rsidR="00BD606D" w:rsidRPr="008A15B6" w:rsidRDefault="00BD606D" w:rsidP="00BD606D">
            <w:pPr>
              <w:spacing w:line="276"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Entre 59% y 30%</w:t>
            </w:r>
          </w:p>
        </w:tc>
      </w:tr>
      <w:tr w:rsidR="00BD606D" w:rsidRPr="008A15B6" w14:paraId="1CF5AD02" w14:textId="77777777" w:rsidTr="00EA22A6">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C2D69B" w:themeFill="accent3" w:themeFillTint="99"/>
            <w:hideMark/>
          </w:tcPr>
          <w:p w14:paraId="090332B5" w14:textId="77777777" w:rsidR="00BD606D" w:rsidRPr="008A15B6" w:rsidRDefault="00BD606D" w:rsidP="00BD606D">
            <w:pPr>
              <w:spacing w:line="276" w:lineRule="auto"/>
              <w:jc w:val="center"/>
              <w:rPr>
                <w:rFonts w:ascii="Century Gothic" w:hAnsi="Century Gothic"/>
                <w:sz w:val="20"/>
                <w:szCs w:val="20"/>
                <w:lang w:val="es-ES"/>
              </w:rPr>
            </w:pPr>
            <w:r w:rsidRPr="008A15B6">
              <w:rPr>
                <w:rFonts w:ascii="Century Gothic" w:hAnsi="Century Gothic"/>
                <w:sz w:val="20"/>
                <w:szCs w:val="20"/>
                <w:lang w:val="es-ES"/>
              </w:rPr>
              <w:t>Bajo</w:t>
            </w:r>
          </w:p>
        </w:tc>
        <w:tc>
          <w:tcPr>
            <w:tcW w:w="2783" w:type="dxa"/>
            <w:shd w:val="clear" w:color="auto" w:fill="auto"/>
            <w:hideMark/>
          </w:tcPr>
          <w:p w14:paraId="5ABCEDA5" w14:textId="77777777" w:rsidR="00BD606D" w:rsidRPr="008A15B6" w:rsidRDefault="00BD606D" w:rsidP="00BD60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Menor a 29%</w:t>
            </w:r>
          </w:p>
        </w:tc>
      </w:tr>
    </w:tbl>
    <w:p w14:paraId="07B22E9B" w14:textId="69CF8057" w:rsidR="003F3CCD" w:rsidRPr="008A15B6" w:rsidRDefault="00046092" w:rsidP="00046092">
      <w:pPr>
        <w:spacing w:after="240"/>
        <w:jc w:val="center"/>
        <w:rPr>
          <w:rFonts w:ascii="Century Gothic" w:hAnsi="Century Gothic"/>
          <w:sz w:val="20"/>
          <w:lang w:val="es-ES"/>
        </w:rPr>
      </w:pPr>
      <w:r w:rsidRPr="008A15B6">
        <w:rPr>
          <w:rFonts w:ascii="Century Gothic" w:hAnsi="Century Gothic"/>
          <w:sz w:val="20"/>
          <w:lang w:val="es-ES"/>
        </w:rPr>
        <w:t>Fuente:</w:t>
      </w:r>
      <w:r w:rsidR="0023391B" w:rsidRPr="008A15B6">
        <w:rPr>
          <w:rFonts w:ascii="Century Gothic" w:hAnsi="Century Gothic"/>
          <w:sz w:val="20"/>
          <w:lang w:val="es-ES"/>
        </w:rPr>
        <w:t xml:space="preserve"> Oficina Asesora Jurídica, 201</w:t>
      </w:r>
      <w:r w:rsidR="00BD606D" w:rsidRPr="008A15B6">
        <w:rPr>
          <w:rFonts w:ascii="Century Gothic" w:hAnsi="Century Gothic"/>
          <w:sz w:val="20"/>
          <w:lang w:val="es-ES"/>
        </w:rPr>
        <w:t>8</w:t>
      </w:r>
      <w:r w:rsidR="0023391B" w:rsidRPr="008A15B6">
        <w:rPr>
          <w:rFonts w:ascii="Century Gothic" w:hAnsi="Century Gothic"/>
          <w:sz w:val="20"/>
          <w:lang w:val="es-ES"/>
        </w:rPr>
        <w:t xml:space="preserve"> </w:t>
      </w:r>
    </w:p>
    <w:p w14:paraId="390DACCD" w14:textId="56C1B599" w:rsidR="00A241EF" w:rsidRPr="008A15B6" w:rsidRDefault="00A241EF" w:rsidP="00A241EF">
      <w:pPr>
        <w:spacing w:after="0"/>
        <w:jc w:val="both"/>
        <w:rPr>
          <w:rFonts w:ascii="Century Gothic" w:hAnsi="Century Gothic"/>
          <w:lang w:val="es-ES"/>
        </w:rPr>
      </w:pPr>
      <w:r w:rsidRPr="008A15B6">
        <w:rPr>
          <w:rFonts w:ascii="Century Gothic" w:hAnsi="Century Gothic"/>
          <w:lang w:val="es-ES"/>
        </w:rPr>
        <w:t xml:space="preserve">Una vez admitida y notificada la demanda se procede a realizar </w:t>
      </w:r>
      <w:r w:rsidRPr="008A15B6">
        <w:rPr>
          <w:rFonts w:ascii="Century Gothic" w:hAnsi="Century Gothic" w:cs="Arial"/>
          <w:lang w:val="es-ES"/>
        </w:rPr>
        <w:t>un estudio y evaluación</w:t>
      </w:r>
      <w:r w:rsidRPr="008A15B6">
        <w:rPr>
          <w:rFonts w:ascii="Century Gothic" w:hAnsi="Century Gothic"/>
          <w:lang w:val="es-ES"/>
        </w:rPr>
        <w:t xml:space="preserve"> inicial por parte del </w:t>
      </w:r>
      <w:r w:rsidR="00BD7F1F" w:rsidRPr="008A15B6">
        <w:rPr>
          <w:rFonts w:ascii="Century Gothic" w:hAnsi="Century Gothic"/>
          <w:lang w:val="es-ES"/>
        </w:rPr>
        <w:t>jurídico</w:t>
      </w:r>
      <w:r w:rsidRPr="008A15B6">
        <w:rPr>
          <w:rFonts w:ascii="Century Gothic" w:hAnsi="Century Gothic"/>
          <w:lang w:val="es-ES"/>
        </w:rPr>
        <w:t>,</w:t>
      </w:r>
      <w:r w:rsidR="00BD7F1F" w:rsidRPr="008A15B6">
        <w:rPr>
          <w:rFonts w:ascii="Century Gothic" w:hAnsi="Century Gothic"/>
          <w:lang w:val="es-ES"/>
        </w:rPr>
        <w:t xml:space="preserve"> quien emite </w:t>
      </w:r>
      <w:r w:rsidR="00EA22A6" w:rsidRPr="008A15B6">
        <w:rPr>
          <w:rFonts w:ascii="Century Gothic" w:hAnsi="Century Gothic"/>
          <w:lang w:val="es-ES"/>
        </w:rPr>
        <w:t>el respectivo</w:t>
      </w:r>
      <w:r w:rsidRPr="008A15B6">
        <w:rPr>
          <w:rFonts w:ascii="Century Gothic" w:hAnsi="Century Gothic"/>
          <w:lang w:val="es-ES"/>
        </w:rPr>
        <w:t xml:space="preserve"> dictamen t</w:t>
      </w:r>
      <w:r w:rsidR="00BD7F1F" w:rsidRPr="008A15B6">
        <w:rPr>
          <w:rFonts w:ascii="Century Gothic" w:hAnsi="Century Gothic"/>
          <w:lang w:val="es-ES"/>
        </w:rPr>
        <w:t>e</w:t>
      </w:r>
      <w:r w:rsidR="00EA22A6" w:rsidRPr="008A15B6">
        <w:rPr>
          <w:rFonts w:ascii="Century Gothic" w:hAnsi="Century Gothic"/>
          <w:lang w:val="es-ES"/>
        </w:rPr>
        <w:t>n</w:t>
      </w:r>
      <w:r w:rsidR="00BD7F1F" w:rsidRPr="008A15B6">
        <w:rPr>
          <w:rFonts w:ascii="Century Gothic" w:hAnsi="Century Gothic"/>
          <w:lang w:val="es-ES"/>
        </w:rPr>
        <w:t>i</w:t>
      </w:r>
      <w:r w:rsidR="00EA22A6" w:rsidRPr="008A15B6">
        <w:rPr>
          <w:rFonts w:ascii="Century Gothic" w:hAnsi="Century Gothic"/>
          <w:lang w:val="es-ES"/>
        </w:rPr>
        <w:t>e</w:t>
      </w:r>
      <w:r w:rsidR="00BD7F1F" w:rsidRPr="008A15B6">
        <w:rPr>
          <w:rFonts w:ascii="Century Gothic" w:hAnsi="Century Gothic"/>
          <w:lang w:val="es-ES"/>
        </w:rPr>
        <w:t>ndo</w:t>
      </w:r>
      <w:r w:rsidR="00EA22A6" w:rsidRPr="008A15B6">
        <w:rPr>
          <w:rFonts w:ascii="Century Gothic" w:hAnsi="Century Gothic"/>
          <w:lang w:val="es-ES"/>
        </w:rPr>
        <w:t xml:space="preserve"> </w:t>
      </w:r>
      <w:r w:rsidRPr="008A15B6">
        <w:rPr>
          <w:rFonts w:ascii="Century Gothic" w:hAnsi="Century Gothic"/>
          <w:lang w:val="es-ES"/>
        </w:rPr>
        <w:t>en cuenta:</w:t>
      </w:r>
    </w:p>
    <w:p w14:paraId="5CAB1906" w14:textId="77777777" w:rsidR="00A241EF" w:rsidRPr="008A15B6" w:rsidRDefault="00A241EF" w:rsidP="00A241EF">
      <w:pPr>
        <w:spacing w:after="0"/>
        <w:jc w:val="both"/>
        <w:rPr>
          <w:rFonts w:ascii="Century Gothic" w:hAnsi="Century Gothic"/>
          <w:lang w:val="es-ES"/>
        </w:rPr>
      </w:pPr>
    </w:p>
    <w:p w14:paraId="2AEBF23E" w14:textId="28BD5267" w:rsidR="00A241EF" w:rsidRPr="008A15B6" w:rsidRDefault="00E32B5D" w:rsidP="000C2358">
      <w:pPr>
        <w:numPr>
          <w:ilvl w:val="0"/>
          <w:numId w:val="47"/>
        </w:numPr>
        <w:spacing w:after="0" w:line="256" w:lineRule="auto"/>
        <w:jc w:val="both"/>
        <w:rPr>
          <w:rFonts w:ascii="Century Gothic" w:hAnsi="Century Gothic" w:cs="Arial"/>
          <w:lang w:val="es-ES"/>
        </w:rPr>
      </w:pPr>
      <w:r w:rsidRPr="008A15B6">
        <w:rPr>
          <w:rFonts w:ascii="Century Gothic" w:hAnsi="Century Gothic" w:cs="Arial"/>
          <w:lang w:val="es-ES"/>
        </w:rPr>
        <w:t>Antecedentes de la demanda</w:t>
      </w:r>
    </w:p>
    <w:p w14:paraId="38B9000D" w14:textId="1EEA42E5" w:rsidR="00A241EF" w:rsidRPr="008A15B6" w:rsidRDefault="00E32B5D" w:rsidP="000C2358">
      <w:pPr>
        <w:numPr>
          <w:ilvl w:val="0"/>
          <w:numId w:val="47"/>
        </w:numPr>
        <w:spacing w:after="0" w:line="256" w:lineRule="auto"/>
        <w:jc w:val="both"/>
        <w:rPr>
          <w:rFonts w:ascii="Century Gothic" w:hAnsi="Century Gothic" w:cs="Arial"/>
          <w:lang w:val="es-ES"/>
        </w:rPr>
      </w:pPr>
      <w:r w:rsidRPr="008A15B6">
        <w:rPr>
          <w:rFonts w:ascii="Century Gothic" w:hAnsi="Century Gothic" w:cs="Arial"/>
          <w:lang w:val="es-ES"/>
        </w:rPr>
        <w:t>Material probatorio</w:t>
      </w:r>
    </w:p>
    <w:p w14:paraId="2C43D029" w14:textId="5200661A" w:rsidR="00A241EF" w:rsidRPr="008A15B6" w:rsidRDefault="00A241EF" w:rsidP="000C2358">
      <w:pPr>
        <w:numPr>
          <w:ilvl w:val="0"/>
          <w:numId w:val="47"/>
        </w:numPr>
        <w:spacing w:after="0" w:line="256" w:lineRule="auto"/>
        <w:jc w:val="both"/>
        <w:rPr>
          <w:rFonts w:ascii="Century Gothic" w:hAnsi="Century Gothic" w:cs="Arial"/>
          <w:lang w:val="es-ES"/>
        </w:rPr>
      </w:pPr>
      <w:r w:rsidRPr="008A15B6">
        <w:rPr>
          <w:rFonts w:ascii="Century Gothic" w:hAnsi="Century Gothic" w:cs="Arial"/>
          <w:lang w:val="es-ES"/>
        </w:rPr>
        <w:lastRenderedPageBreak/>
        <w:t>Grado de</w:t>
      </w:r>
      <w:r w:rsidR="00E32B5D" w:rsidRPr="008A15B6">
        <w:rPr>
          <w:rFonts w:ascii="Century Gothic" w:hAnsi="Century Gothic" w:cs="Arial"/>
          <w:lang w:val="es-ES"/>
        </w:rPr>
        <w:t xml:space="preserve"> responsabilidad del municipio</w:t>
      </w:r>
    </w:p>
    <w:p w14:paraId="2D4BB9E7" w14:textId="77777777" w:rsidR="000C2358" w:rsidRDefault="000C2358" w:rsidP="000C2358">
      <w:pPr>
        <w:spacing w:after="0"/>
        <w:jc w:val="both"/>
        <w:rPr>
          <w:rFonts w:ascii="Century Gothic" w:hAnsi="Century Gothic" w:cs="Arial"/>
          <w:lang w:val="es-ES"/>
        </w:rPr>
      </w:pPr>
    </w:p>
    <w:p w14:paraId="40957BC7" w14:textId="7FC09B13" w:rsidR="00A241EF" w:rsidRPr="008A15B6" w:rsidRDefault="00B371D2" w:rsidP="00B371D2">
      <w:pPr>
        <w:jc w:val="both"/>
        <w:rPr>
          <w:rFonts w:ascii="Century Gothic" w:hAnsi="Century Gothic" w:cs="Arial"/>
          <w:lang w:val="es-ES"/>
        </w:rPr>
      </w:pPr>
      <w:r w:rsidRPr="008A15B6">
        <w:rPr>
          <w:rFonts w:ascii="Century Gothic" w:hAnsi="Century Gothic" w:cs="Arial"/>
          <w:lang w:val="es-ES"/>
        </w:rPr>
        <w:t>Posteriormente, s</w:t>
      </w:r>
      <w:r w:rsidR="00A241EF" w:rsidRPr="008A15B6">
        <w:rPr>
          <w:rFonts w:ascii="Century Gothic" w:hAnsi="Century Gothic" w:cs="Arial"/>
          <w:lang w:val="es-ES"/>
        </w:rPr>
        <w:t>e realiza un análisis de pro</w:t>
      </w:r>
      <w:r w:rsidRPr="008A15B6">
        <w:rPr>
          <w:rFonts w:ascii="Century Gothic" w:hAnsi="Century Gothic" w:cs="Arial"/>
          <w:lang w:val="es-ES"/>
        </w:rPr>
        <w:t xml:space="preserve">visiones o pasivos contingentes, </w:t>
      </w:r>
      <w:r w:rsidR="00A241EF" w:rsidRPr="008A15B6">
        <w:rPr>
          <w:rFonts w:ascii="Century Gothic" w:hAnsi="Century Gothic" w:cs="Arial"/>
          <w:lang w:val="es-ES"/>
        </w:rPr>
        <w:t>dentro de las etapas procesales como los son:</w:t>
      </w:r>
    </w:p>
    <w:p w14:paraId="41BA54B0" w14:textId="7D6C7892" w:rsidR="00A241EF" w:rsidRPr="008A15B6" w:rsidRDefault="00B371D2" w:rsidP="000C2358">
      <w:pPr>
        <w:numPr>
          <w:ilvl w:val="0"/>
          <w:numId w:val="48"/>
        </w:numPr>
        <w:spacing w:after="0" w:line="256" w:lineRule="auto"/>
        <w:jc w:val="both"/>
        <w:rPr>
          <w:rFonts w:ascii="Century Gothic" w:hAnsi="Century Gothic" w:cs="Arial"/>
          <w:lang w:val="es-ES"/>
        </w:rPr>
      </w:pPr>
      <w:r w:rsidRPr="008A15B6">
        <w:rPr>
          <w:rFonts w:ascii="Century Gothic" w:hAnsi="Century Gothic" w:cs="Arial"/>
          <w:lang w:val="es-ES"/>
        </w:rPr>
        <w:t>A</w:t>
      </w:r>
      <w:r w:rsidR="00A241EF" w:rsidRPr="008A15B6">
        <w:rPr>
          <w:rFonts w:ascii="Century Gothic" w:hAnsi="Century Gothic" w:cs="Arial"/>
          <w:lang w:val="es-ES"/>
        </w:rPr>
        <w:t xml:space="preserve">udiencia inicial donde puede ser desvinculado del proceso, </w:t>
      </w:r>
    </w:p>
    <w:p w14:paraId="244FC426" w14:textId="77777777" w:rsidR="00A241EF" w:rsidRPr="008A15B6" w:rsidRDefault="00A241EF" w:rsidP="000C2358">
      <w:pPr>
        <w:numPr>
          <w:ilvl w:val="0"/>
          <w:numId w:val="48"/>
        </w:numPr>
        <w:spacing w:after="0" w:line="256" w:lineRule="auto"/>
        <w:jc w:val="both"/>
        <w:rPr>
          <w:rFonts w:ascii="Century Gothic" w:hAnsi="Century Gothic"/>
          <w:lang w:val="es-ES"/>
        </w:rPr>
      </w:pPr>
      <w:r w:rsidRPr="008A15B6">
        <w:rPr>
          <w:rFonts w:ascii="Century Gothic" w:hAnsi="Century Gothic" w:cs="Arial"/>
          <w:lang w:val="es-ES"/>
        </w:rPr>
        <w:t>Audiencia de pruebas</w:t>
      </w:r>
    </w:p>
    <w:p w14:paraId="2324A1F9" w14:textId="3F72D5E0" w:rsidR="00A241EF" w:rsidRPr="008A15B6" w:rsidRDefault="00B371D2" w:rsidP="00B371D2">
      <w:pPr>
        <w:numPr>
          <w:ilvl w:val="0"/>
          <w:numId w:val="48"/>
        </w:numPr>
        <w:spacing w:line="256" w:lineRule="auto"/>
        <w:jc w:val="both"/>
        <w:rPr>
          <w:rFonts w:ascii="Century Gothic" w:hAnsi="Century Gothic"/>
          <w:lang w:val="es-ES"/>
        </w:rPr>
      </w:pPr>
      <w:r w:rsidRPr="008A15B6">
        <w:rPr>
          <w:rFonts w:ascii="Century Gothic" w:hAnsi="Century Gothic" w:cs="Arial"/>
          <w:lang w:val="es-ES"/>
        </w:rPr>
        <w:t>S</w:t>
      </w:r>
      <w:r w:rsidR="00A241EF" w:rsidRPr="008A15B6">
        <w:rPr>
          <w:rFonts w:ascii="Century Gothic" w:hAnsi="Century Gothic" w:cs="Arial"/>
          <w:lang w:val="es-ES"/>
        </w:rPr>
        <w:t xml:space="preserve">entencia de primera instancia </w:t>
      </w:r>
    </w:p>
    <w:p w14:paraId="1EBF9232" w14:textId="7D6551BC" w:rsidR="00BD7F1F" w:rsidRPr="008A15B6" w:rsidRDefault="00A241EF" w:rsidP="00B371D2">
      <w:pPr>
        <w:jc w:val="both"/>
        <w:rPr>
          <w:rFonts w:ascii="Century Gothic" w:hAnsi="Century Gothic"/>
          <w:lang w:val="es-ES"/>
        </w:rPr>
      </w:pPr>
      <w:r w:rsidRPr="008A15B6">
        <w:rPr>
          <w:rFonts w:ascii="Century Gothic" w:hAnsi="Century Gothic"/>
          <w:lang w:val="es-ES"/>
        </w:rPr>
        <w:t xml:space="preserve">Para el año 2017, </w:t>
      </w:r>
      <w:r w:rsidR="00BD7F1F" w:rsidRPr="008A15B6">
        <w:rPr>
          <w:rFonts w:ascii="Century Gothic" w:hAnsi="Century Gothic"/>
          <w:lang w:val="es-ES"/>
        </w:rPr>
        <w:t xml:space="preserve">se identificaron </w:t>
      </w:r>
      <w:r w:rsidRPr="008A15B6">
        <w:rPr>
          <w:rFonts w:ascii="Century Gothic" w:hAnsi="Century Gothic"/>
          <w:lang w:val="es-ES"/>
        </w:rPr>
        <w:t xml:space="preserve">17 demandas </w:t>
      </w:r>
      <w:r w:rsidR="00BD7F1F" w:rsidRPr="008A15B6">
        <w:rPr>
          <w:rFonts w:ascii="Century Gothic" w:hAnsi="Century Gothic"/>
          <w:lang w:val="es-ES"/>
        </w:rPr>
        <w:t xml:space="preserve">que </w:t>
      </w:r>
      <w:r w:rsidRPr="008A15B6">
        <w:rPr>
          <w:rFonts w:ascii="Century Gothic" w:hAnsi="Century Gothic"/>
          <w:lang w:val="es-ES"/>
        </w:rPr>
        <w:t>se encontraba</w:t>
      </w:r>
      <w:r w:rsidR="00BD7F1F" w:rsidRPr="008A15B6">
        <w:rPr>
          <w:rFonts w:ascii="Century Gothic" w:hAnsi="Century Gothic"/>
          <w:lang w:val="es-ES"/>
        </w:rPr>
        <w:t xml:space="preserve">n con </w:t>
      </w:r>
      <w:r w:rsidR="00B371D2" w:rsidRPr="008A15B6">
        <w:rPr>
          <w:rFonts w:ascii="Century Gothic" w:hAnsi="Century Gothic"/>
          <w:lang w:val="es-ES"/>
        </w:rPr>
        <w:t xml:space="preserve">alto </w:t>
      </w:r>
      <w:r w:rsidR="00BD7F1F" w:rsidRPr="008A15B6">
        <w:rPr>
          <w:rFonts w:ascii="Century Gothic" w:hAnsi="Century Gothic"/>
          <w:lang w:val="es-ES"/>
        </w:rPr>
        <w:t xml:space="preserve">nivel </w:t>
      </w:r>
      <w:r w:rsidR="00B371D2" w:rsidRPr="008A15B6">
        <w:rPr>
          <w:rFonts w:ascii="Century Gothic" w:hAnsi="Century Gothic"/>
          <w:lang w:val="es-ES"/>
        </w:rPr>
        <w:t>de riesgo de pérdida</w:t>
      </w:r>
      <w:r w:rsidRPr="008A15B6">
        <w:rPr>
          <w:rFonts w:ascii="Century Gothic" w:hAnsi="Century Gothic"/>
          <w:lang w:val="es-ES"/>
        </w:rPr>
        <w:t xml:space="preserve">, </w:t>
      </w:r>
      <w:r w:rsidR="00BD7F1F" w:rsidRPr="008A15B6">
        <w:rPr>
          <w:rFonts w:ascii="Century Gothic" w:hAnsi="Century Gothic"/>
          <w:lang w:val="es-ES"/>
        </w:rPr>
        <w:t xml:space="preserve">las cuales representan </w:t>
      </w:r>
      <w:r w:rsidRPr="008A15B6">
        <w:rPr>
          <w:rFonts w:ascii="Century Gothic" w:hAnsi="Century Gothic"/>
          <w:lang w:val="es-ES"/>
        </w:rPr>
        <w:t>un 8</w:t>
      </w:r>
      <w:r w:rsidR="00AA639F" w:rsidRPr="008A15B6">
        <w:rPr>
          <w:rFonts w:ascii="Century Gothic" w:hAnsi="Century Gothic"/>
          <w:lang w:val="es-ES"/>
        </w:rPr>
        <w:t xml:space="preserve"> por ciento</w:t>
      </w:r>
      <w:r w:rsidRPr="008A15B6">
        <w:rPr>
          <w:rFonts w:ascii="Century Gothic" w:hAnsi="Century Gothic"/>
          <w:lang w:val="es-ES"/>
        </w:rPr>
        <w:t xml:space="preserve">, </w:t>
      </w:r>
      <w:r w:rsidR="00B371D2" w:rsidRPr="008A15B6">
        <w:rPr>
          <w:rFonts w:ascii="Century Gothic" w:hAnsi="Century Gothic"/>
          <w:lang w:val="es-ES"/>
        </w:rPr>
        <w:t xml:space="preserve">120 </w:t>
      </w:r>
      <w:r w:rsidRPr="008A15B6">
        <w:rPr>
          <w:rFonts w:ascii="Century Gothic" w:hAnsi="Century Gothic"/>
          <w:lang w:val="es-ES"/>
        </w:rPr>
        <w:t xml:space="preserve">en riesgo medio, </w:t>
      </w:r>
      <w:r w:rsidR="00BD7F1F" w:rsidRPr="008A15B6">
        <w:rPr>
          <w:rFonts w:ascii="Century Gothic" w:hAnsi="Century Gothic"/>
          <w:lang w:val="es-ES"/>
        </w:rPr>
        <w:t xml:space="preserve">con una participación del </w:t>
      </w:r>
      <w:r w:rsidRPr="008A15B6">
        <w:rPr>
          <w:rFonts w:ascii="Century Gothic" w:hAnsi="Century Gothic"/>
          <w:lang w:val="es-ES"/>
        </w:rPr>
        <w:t>56,6</w:t>
      </w:r>
      <w:r w:rsidR="00AA639F" w:rsidRPr="008A15B6">
        <w:rPr>
          <w:rFonts w:ascii="Century Gothic" w:hAnsi="Century Gothic"/>
          <w:lang w:val="es-ES"/>
        </w:rPr>
        <w:t xml:space="preserve"> por ciento</w:t>
      </w:r>
      <w:r w:rsidRPr="008A15B6">
        <w:rPr>
          <w:rFonts w:ascii="Century Gothic" w:hAnsi="Century Gothic"/>
          <w:lang w:val="es-ES"/>
        </w:rPr>
        <w:t xml:space="preserve"> y 75 en nivel bajo, </w:t>
      </w:r>
      <w:r w:rsidR="00BD7F1F" w:rsidRPr="008A15B6">
        <w:rPr>
          <w:rFonts w:ascii="Century Gothic" w:hAnsi="Century Gothic"/>
          <w:lang w:val="es-ES"/>
        </w:rPr>
        <w:t>que equivalen al</w:t>
      </w:r>
      <w:r w:rsidRPr="008A15B6">
        <w:rPr>
          <w:rFonts w:ascii="Century Gothic" w:hAnsi="Century Gothic"/>
          <w:lang w:val="es-ES"/>
        </w:rPr>
        <w:t xml:space="preserve"> 35,4</w:t>
      </w:r>
      <w:r w:rsidR="00AA639F" w:rsidRPr="008A15B6">
        <w:rPr>
          <w:rFonts w:ascii="Century Gothic" w:hAnsi="Century Gothic"/>
          <w:lang w:val="es-ES"/>
        </w:rPr>
        <w:t xml:space="preserve"> por ciento.</w:t>
      </w:r>
    </w:p>
    <w:p w14:paraId="15DB74BE" w14:textId="36585365" w:rsidR="003F3CCD" w:rsidRPr="008A15B6" w:rsidRDefault="003F3CCD" w:rsidP="00A241EF">
      <w:pPr>
        <w:spacing w:after="0"/>
        <w:jc w:val="center"/>
        <w:rPr>
          <w:rFonts w:ascii="Century Gothic" w:hAnsi="Century Gothic"/>
          <w:lang w:val="es-ES"/>
        </w:rPr>
      </w:pPr>
      <w:bookmarkStart w:id="61" w:name="_Toc532566063"/>
      <w:r w:rsidRPr="008A15B6">
        <w:rPr>
          <w:rFonts w:ascii="Century Gothic" w:hAnsi="Century Gothic"/>
          <w:lang w:val="es-ES"/>
        </w:rPr>
        <w:t xml:space="preserve">Gráfica </w:t>
      </w:r>
      <w:r w:rsidRPr="008A15B6">
        <w:rPr>
          <w:rFonts w:ascii="Century Gothic" w:hAnsi="Century Gothic"/>
          <w:lang w:val="es-ES"/>
        </w:rPr>
        <w:fldChar w:fldCharType="begin"/>
      </w:r>
      <w:r w:rsidRPr="008A15B6">
        <w:rPr>
          <w:rFonts w:ascii="Century Gothic" w:hAnsi="Century Gothic"/>
          <w:lang w:val="es-ES"/>
        </w:rPr>
        <w:instrText xml:space="preserve"> SEQ Gráfica \* ARABIC </w:instrText>
      </w:r>
      <w:r w:rsidRPr="008A15B6">
        <w:rPr>
          <w:rFonts w:ascii="Century Gothic" w:hAnsi="Century Gothic"/>
          <w:lang w:val="es-ES"/>
        </w:rPr>
        <w:fldChar w:fldCharType="separate"/>
      </w:r>
      <w:r w:rsidR="004A2E30" w:rsidRPr="008A15B6">
        <w:rPr>
          <w:rFonts w:ascii="Century Gothic" w:hAnsi="Century Gothic"/>
          <w:noProof/>
          <w:lang w:val="es-ES"/>
        </w:rPr>
        <w:t>10</w:t>
      </w:r>
      <w:r w:rsidRPr="008A15B6">
        <w:rPr>
          <w:rFonts w:ascii="Century Gothic" w:hAnsi="Century Gothic"/>
          <w:lang w:val="es-ES"/>
        </w:rPr>
        <w:fldChar w:fldCharType="end"/>
      </w:r>
      <w:r w:rsidRPr="008A15B6">
        <w:rPr>
          <w:rFonts w:ascii="Century Gothic" w:hAnsi="Century Gothic"/>
          <w:lang w:val="es-ES"/>
        </w:rPr>
        <w:t xml:space="preserve">. </w:t>
      </w:r>
      <w:r w:rsidR="00BD606D" w:rsidRPr="008A15B6">
        <w:rPr>
          <w:rFonts w:ascii="Century Gothic" w:hAnsi="Century Gothic"/>
          <w:lang w:val="es-ES"/>
        </w:rPr>
        <w:t xml:space="preserve">Nivel </w:t>
      </w:r>
      <w:r w:rsidRPr="008A15B6">
        <w:rPr>
          <w:rFonts w:ascii="Century Gothic" w:hAnsi="Century Gothic"/>
          <w:lang w:val="es-ES"/>
        </w:rPr>
        <w:t xml:space="preserve">de </w:t>
      </w:r>
      <w:r w:rsidR="00BD606D" w:rsidRPr="008A15B6">
        <w:rPr>
          <w:rFonts w:ascii="Century Gothic" w:hAnsi="Century Gothic"/>
          <w:lang w:val="es-ES"/>
        </w:rPr>
        <w:t xml:space="preserve">riesgo </w:t>
      </w:r>
      <w:r w:rsidR="009E0099" w:rsidRPr="008A15B6">
        <w:rPr>
          <w:rFonts w:ascii="Century Gothic" w:hAnsi="Century Gothic"/>
          <w:lang w:val="es-ES"/>
        </w:rPr>
        <w:t xml:space="preserve">año </w:t>
      </w:r>
      <w:r w:rsidR="00BD606D" w:rsidRPr="008A15B6">
        <w:rPr>
          <w:rFonts w:ascii="Century Gothic" w:hAnsi="Century Gothic"/>
          <w:lang w:val="es-ES"/>
        </w:rPr>
        <w:t>2017</w:t>
      </w:r>
      <w:bookmarkEnd w:id="61"/>
    </w:p>
    <w:p w14:paraId="1F1A5BE4" w14:textId="34BCE099" w:rsidR="003F3CCD" w:rsidRPr="008A15B6" w:rsidRDefault="00A241EF" w:rsidP="00BD606D">
      <w:pPr>
        <w:spacing w:after="0"/>
        <w:jc w:val="center"/>
        <w:rPr>
          <w:rFonts w:ascii="Century Gothic" w:hAnsi="Century Gothic"/>
          <w:lang w:val="es-ES"/>
        </w:rPr>
      </w:pPr>
      <w:r w:rsidRPr="008A15B6">
        <w:rPr>
          <w:rFonts w:ascii="Century Gothic" w:hAnsi="Century Gothic"/>
          <w:noProof/>
          <w:lang w:val="es-ES" w:eastAsia="es-ES"/>
        </w:rPr>
        <w:drawing>
          <wp:inline distT="0" distB="0" distL="0" distR="0" wp14:anchorId="4D0120AD" wp14:editId="512DFCB6">
            <wp:extent cx="4168140" cy="1889760"/>
            <wp:effectExtent l="0" t="0" r="3810" b="0"/>
            <wp:docPr id="26" name="Gráfico 2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DF5525-75F1-4E3D-BDC4-B940B81694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DE01BE5" w14:textId="77777777" w:rsidR="00BD606D" w:rsidRPr="008A15B6" w:rsidRDefault="003F3CCD" w:rsidP="00BD606D">
      <w:pPr>
        <w:spacing w:after="240"/>
        <w:jc w:val="center"/>
        <w:rPr>
          <w:rFonts w:ascii="Century Gothic" w:hAnsi="Century Gothic"/>
          <w:sz w:val="20"/>
          <w:lang w:val="es-ES"/>
        </w:rPr>
      </w:pPr>
      <w:r w:rsidRPr="008A15B6">
        <w:rPr>
          <w:rFonts w:ascii="Century Gothic" w:hAnsi="Century Gothic"/>
          <w:sz w:val="20"/>
          <w:lang w:val="es-ES"/>
        </w:rPr>
        <w:t xml:space="preserve">Fuente: Oficina Asesora Jurídica, </w:t>
      </w:r>
      <w:r w:rsidR="00BD606D" w:rsidRPr="008A15B6">
        <w:rPr>
          <w:rFonts w:ascii="Century Gothic" w:hAnsi="Century Gothic"/>
          <w:sz w:val="20"/>
          <w:lang w:val="es-ES"/>
        </w:rPr>
        <w:t>2018</w:t>
      </w:r>
    </w:p>
    <w:p w14:paraId="38606420" w14:textId="372F642E" w:rsidR="00F9168A" w:rsidRDefault="00A241EF" w:rsidP="00BD7F1F">
      <w:pPr>
        <w:spacing w:after="240"/>
        <w:jc w:val="both"/>
        <w:rPr>
          <w:rFonts w:ascii="Century Gothic" w:hAnsi="Century Gothic"/>
          <w:lang w:val="es-ES"/>
        </w:rPr>
      </w:pPr>
      <w:r w:rsidRPr="008A15B6">
        <w:rPr>
          <w:rFonts w:ascii="Century Gothic" w:hAnsi="Century Gothic"/>
          <w:lang w:val="es-ES"/>
        </w:rPr>
        <w:t>Hasta e</w:t>
      </w:r>
      <w:r w:rsidR="00B371D2" w:rsidRPr="008A15B6">
        <w:rPr>
          <w:rFonts w:ascii="Century Gothic" w:hAnsi="Century Gothic"/>
          <w:lang w:val="es-ES"/>
        </w:rPr>
        <w:t>l mes de junio del 2018</w:t>
      </w:r>
      <w:r w:rsidRPr="008A15B6">
        <w:rPr>
          <w:rFonts w:ascii="Century Gothic" w:hAnsi="Century Gothic"/>
          <w:lang w:val="es-ES"/>
        </w:rPr>
        <w:t xml:space="preserve"> se presentaron 26 demanda</w:t>
      </w:r>
      <w:r w:rsidR="00BD7F1F" w:rsidRPr="008A15B6">
        <w:rPr>
          <w:rFonts w:ascii="Century Gothic" w:hAnsi="Century Gothic"/>
          <w:lang w:val="es-ES"/>
        </w:rPr>
        <w:t>s</w:t>
      </w:r>
      <w:r w:rsidRPr="008A15B6">
        <w:rPr>
          <w:rFonts w:ascii="Century Gothic" w:hAnsi="Century Gothic"/>
          <w:lang w:val="es-ES"/>
        </w:rPr>
        <w:t xml:space="preserve"> </w:t>
      </w:r>
      <w:r w:rsidR="00BD7F1F" w:rsidRPr="008A15B6">
        <w:rPr>
          <w:rFonts w:ascii="Century Gothic" w:hAnsi="Century Gothic"/>
          <w:lang w:val="es-ES"/>
        </w:rPr>
        <w:t>co</w:t>
      </w:r>
      <w:r w:rsidRPr="008A15B6">
        <w:rPr>
          <w:rFonts w:ascii="Century Gothic" w:hAnsi="Century Gothic"/>
          <w:lang w:val="es-ES"/>
        </w:rPr>
        <w:t xml:space="preserve">n alto </w:t>
      </w:r>
      <w:r w:rsidR="00BD7F1F" w:rsidRPr="008A15B6">
        <w:rPr>
          <w:rFonts w:ascii="Century Gothic" w:hAnsi="Century Gothic"/>
          <w:lang w:val="es-ES"/>
        </w:rPr>
        <w:t xml:space="preserve">nivel </w:t>
      </w:r>
      <w:r w:rsidRPr="008A15B6">
        <w:rPr>
          <w:rFonts w:ascii="Century Gothic" w:hAnsi="Century Gothic"/>
          <w:lang w:val="es-ES"/>
        </w:rPr>
        <w:t xml:space="preserve">de riesgo de pérdida, </w:t>
      </w:r>
      <w:r w:rsidR="00BD7F1F" w:rsidRPr="008A15B6">
        <w:rPr>
          <w:rFonts w:ascii="Century Gothic" w:hAnsi="Century Gothic"/>
          <w:lang w:val="es-ES"/>
        </w:rPr>
        <w:t>que representan el</w:t>
      </w:r>
      <w:r w:rsidRPr="008A15B6">
        <w:rPr>
          <w:rFonts w:ascii="Century Gothic" w:hAnsi="Century Gothic"/>
          <w:lang w:val="es-ES"/>
        </w:rPr>
        <w:t xml:space="preserve"> 14,3</w:t>
      </w:r>
      <w:r w:rsidR="00AA639F" w:rsidRPr="008A15B6">
        <w:rPr>
          <w:rFonts w:ascii="Century Gothic" w:hAnsi="Century Gothic"/>
          <w:lang w:val="es-ES"/>
        </w:rPr>
        <w:t xml:space="preserve"> por ciento</w:t>
      </w:r>
      <w:r w:rsidRPr="008A15B6">
        <w:rPr>
          <w:rFonts w:ascii="Century Gothic" w:hAnsi="Century Gothic"/>
          <w:lang w:val="es-ES"/>
        </w:rPr>
        <w:t xml:space="preserve">, 90 en nivel medio, </w:t>
      </w:r>
      <w:r w:rsidR="00BD7F1F" w:rsidRPr="008A15B6">
        <w:rPr>
          <w:rFonts w:ascii="Century Gothic" w:hAnsi="Century Gothic"/>
          <w:lang w:val="es-ES"/>
        </w:rPr>
        <w:t xml:space="preserve">con una participación del </w:t>
      </w:r>
      <w:r w:rsidRPr="008A15B6">
        <w:rPr>
          <w:rFonts w:ascii="Century Gothic" w:hAnsi="Century Gothic"/>
          <w:lang w:val="es-ES"/>
        </w:rPr>
        <w:t>49,5</w:t>
      </w:r>
      <w:r w:rsidR="00AA639F" w:rsidRPr="008A15B6">
        <w:rPr>
          <w:rFonts w:ascii="Century Gothic" w:hAnsi="Century Gothic"/>
          <w:lang w:val="es-ES"/>
        </w:rPr>
        <w:t xml:space="preserve"> por ciento</w:t>
      </w:r>
      <w:r w:rsidRPr="008A15B6">
        <w:rPr>
          <w:rFonts w:ascii="Century Gothic" w:hAnsi="Century Gothic"/>
          <w:lang w:val="es-ES"/>
        </w:rPr>
        <w:t xml:space="preserve"> y 66</w:t>
      </w:r>
      <w:r w:rsidR="00AA639F" w:rsidRPr="008A15B6">
        <w:rPr>
          <w:rFonts w:ascii="Century Gothic" w:hAnsi="Century Gothic"/>
          <w:lang w:val="es-ES"/>
        </w:rPr>
        <w:t xml:space="preserve"> </w:t>
      </w:r>
      <w:r w:rsidR="00B371D2" w:rsidRPr="008A15B6">
        <w:rPr>
          <w:rFonts w:ascii="Century Gothic" w:hAnsi="Century Gothic"/>
          <w:lang w:val="es-ES"/>
        </w:rPr>
        <w:t>en</w:t>
      </w:r>
      <w:r w:rsidRPr="008A15B6">
        <w:rPr>
          <w:rFonts w:ascii="Century Gothic" w:hAnsi="Century Gothic"/>
          <w:lang w:val="es-ES"/>
        </w:rPr>
        <w:t xml:space="preserve"> nivel bajo de perdida, </w:t>
      </w:r>
      <w:r w:rsidR="00BD7F1F" w:rsidRPr="008A15B6">
        <w:rPr>
          <w:rFonts w:ascii="Century Gothic" w:hAnsi="Century Gothic"/>
          <w:lang w:val="es-ES"/>
        </w:rPr>
        <w:t xml:space="preserve">que equivalen al </w:t>
      </w:r>
      <w:r w:rsidRPr="008A15B6">
        <w:rPr>
          <w:rFonts w:ascii="Century Gothic" w:hAnsi="Century Gothic"/>
          <w:lang w:val="es-ES"/>
        </w:rPr>
        <w:t>36,3</w:t>
      </w:r>
      <w:r w:rsidR="004F5BDD" w:rsidRPr="008A15B6">
        <w:rPr>
          <w:rFonts w:ascii="Century Gothic" w:hAnsi="Century Gothic"/>
          <w:lang w:val="es-ES"/>
        </w:rPr>
        <w:t xml:space="preserve"> por ciento</w:t>
      </w:r>
      <w:r w:rsidRPr="008A15B6">
        <w:rPr>
          <w:rFonts w:ascii="Century Gothic" w:hAnsi="Century Gothic"/>
          <w:lang w:val="es-ES"/>
        </w:rPr>
        <w:t xml:space="preserve">. </w:t>
      </w:r>
    </w:p>
    <w:p w14:paraId="30230B82" w14:textId="77777777" w:rsidR="00F9168A" w:rsidRDefault="00F9168A">
      <w:pPr>
        <w:rPr>
          <w:rFonts w:ascii="Century Gothic" w:hAnsi="Century Gothic"/>
          <w:lang w:val="es-ES"/>
        </w:rPr>
      </w:pPr>
      <w:r>
        <w:rPr>
          <w:rFonts w:ascii="Century Gothic" w:hAnsi="Century Gothic"/>
          <w:lang w:val="es-ES"/>
        </w:rPr>
        <w:br w:type="page"/>
      </w:r>
    </w:p>
    <w:p w14:paraId="41797532" w14:textId="68F75BD7" w:rsidR="009E0099" w:rsidRPr="008A15B6" w:rsidRDefault="009E0099" w:rsidP="009E0099">
      <w:pPr>
        <w:spacing w:after="0"/>
        <w:jc w:val="center"/>
        <w:rPr>
          <w:rFonts w:ascii="Century Gothic" w:hAnsi="Century Gothic"/>
          <w:lang w:val="es-ES"/>
        </w:rPr>
      </w:pPr>
      <w:bookmarkStart w:id="62" w:name="_Toc532566064"/>
      <w:r w:rsidRPr="008A15B6">
        <w:rPr>
          <w:rFonts w:ascii="Century Gothic" w:hAnsi="Century Gothic"/>
          <w:lang w:val="es-ES"/>
        </w:rPr>
        <w:lastRenderedPageBreak/>
        <w:t xml:space="preserve">Gráfica </w:t>
      </w:r>
      <w:r w:rsidRPr="008A15B6">
        <w:rPr>
          <w:rFonts w:ascii="Century Gothic" w:hAnsi="Century Gothic"/>
          <w:lang w:val="es-ES"/>
        </w:rPr>
        <w:fldChar w:fldCharType="begin"/>
      </w:r>
      <w:r w:rsidRPr="008A15B6">
        <w:rPr>
          <w:rFonts w:ascii="Century Gothic" w:hAnsi="Century Gothic"/>
          <w:lang w:val="es-ES"/>
        </w:rPr>
        <w:instrText xml:space="preserve"> SEQ Gráfica \* ARABIC </w:instrText>
      </w:r>
      <w:r w:rsidRPr="008A15B6">
        <w:rPr>
          <w:rFonts w:ascii="Century Gothic" w:hAnsi="Century Gothic"/>
          <w:lang w:val="es-ES"/>
        </w:rPr>
        <w:fldChar w:fldCharType="separate"/>
      </w:r>
      <w:r w:rsidR="004A2E30" w:rsidRPr="008A15B6">
        <w:rPr>
          <w:rFonts w:ascii="Century Gothic" w:hAnsi="Century Gothic"/>
          <w:noProof/>
          <w:lang w:val="es-ES"/>
        </w:rPr>
        <w:t>11</w:t>
      </w:r>
      <w:r w:rsidRPr="008A15B6">
        <w:rPr>
          <w:rFonts w:ascii="Century Gothic" w:hAnsi="Century Gothic"/>
          <w:lang w:val="es-ES"/>
        </w:rPr>
        <w:fldChar w:fldCharType="end"/>
      </w:r>
      <w:r w:rsidRPr="008A15B6">
        <w:rPr>
          <w:rFonts w:ascii="Century Gothic" w:hAnsi="Century Gothic"/>
          <w:lang w:val="es-ES"/>
        </w:rPr>
        <w:t xml:space="preserve">. Nivel de riesgo, </w:t>
      </w:r>
      <w:r w:rsidR="001143C3" w:rsidRPr="008A15B6">
        <w:rPr>
          <w:rFonts w:ascii="Century Gothic" w:hAnsi="Century Gothic"/>
          <w:lang w:val="es-ES"/>
        </w:rPr>
        <w:t>junio 2</w:t>
      </w:r>
      <w:r w:rsidRPr="008A15B6">
        <w:rPr>
          <w:rFonts w:ascii="Century Gothic" w:hAnsi="Century Gothic"/>
          <w:lang w:val="es-ES"/>
        </w:rPr>
        <w:t>01</w:t>
      </w:r>
      <w:r w:rsidR="001143C3" w:rsidRPr="008A15B6">
        <w:rPr>
          <w:rFonts w:ascii="Century Gothic" w:hAnsi="Century Gothic"/>
          <w:lang w:val="es-ES"/>
        </w:rPr>
        <w:t>8</w:t>
      </w:r>
      <w:bookmarkEnd w:id="62"/>
    </w:p>
    <w:p w14:paraId="4A5A2FA7" w14:textId="71B37AA5" w:rsidR="009E0099" w:rsidRPr="008A15B6" w:rsidRDefault="00A241EF" w:rsidP="001143C3">
      <w:pPr>
        <w:spacing w:after="0"/>
        <w:jc w:val="center"/>
        <w:rPr>
          <w:rFonts w:ascii="Century Gothic" w:hAnsi="Century Gothic"/>
          <w:lang w:val="es-ES"/>
        </w:rPr>
      </w:pPr>
      <w:r w:rsidRPr="008A15B6">
        <w:rPr>
          <w:rFonts w:ascii="Century Gothic" w:hAnsi="Century Gothic"/>
          <w:noProof/>
          <w:lang w:val="es-ES" w:eastAsia="es-ES"/>
        </w:rPr>
        <w:drawing>
          <wp:inline distT="0" distB="0" distL="0" distR="0" wp14:anchorId="0D74FD9C" wp14:editId="58DCB3EF">
            <wp:extent cx="4709160" cy="1630680"/>
            <wp:effectExtent l="0" t="0" r="0" b="7620"/>
            <wp:docPr id="27" name="Gráfico 2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C350359-03EC-476E-9AB3-0F620A36C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EB5CE0C" w14:textId="77777777" w:rsidR="001143C3" w:rsidRPr="008A15B6" w:rsidRDefault="001143C3" w:rsidP="001143C3">
      <w:pPr>
        <w:spacing w:after="240"/>
        <w:jc w:val="center"/>
        <w:rPr>
          <w:rFonts w:ascii="Century Gothic" w:hAnsi="Century Gothic"/>
          <w:sz w:val="20"/>
          <w:lang w:val="es-ES"/>
        </w:rPr>
      </w:pPr>
      <w:r w:rsidRPr="008A15B6">
        <w:rPr>
          <w:rFonts w:ascii="Century Gothic" w:hAnsi="Century Gothic"/>
          <w:sz w:val="20"/>
          <w:lang w:val="es-ES"/>
        </w:rPr>
        <w:t>Fuente: Oficina Asesora Jurídica, 2018</w:t>
      </w:r>
    </w:p>
    <w:p w14:paraId="669329BF" w14:textId="7D04FF42" w:rsidR="00EA7EF2" w:rsidRPr="008A15B6" w:rsidRDefault="00EA7EF2" w:rsidP="00EA7EF2">
      <w:pPr>
        <w:pStyle w:val="Ttulo5"/>
        <w:numPr>
          <w:ilvl w:val="0"/>
          <w:numId w:val="0"/>
        </w:numPr>
        <w:spacing w:after="240" w:line="276" w:lineRule="auto"/>
        <w:ind w:left="1008" w:hanging="1008"/>
        <w:rPr>
          <w:lang w:val="es-ES"/>
        </w:rPr>
      </w:pPr>
      <w:r w:rsidRPr="008A15B6">
        <w:rPr>
          <w:lang w:val="es-ES"/>
        </w:rPr>
        <w:t>Cuantía y ahorro</w:t>
      </w:r>
    </w:p>
    <w:p w14:paraId="648DAE2C" w14:textId="77777777" w:rsidR="00BD7F1F" w:rsidRPr="008A15B6" w:rsidRDefault="00A241EF" w:rsidP="00BD7F1F">
      <w:pPr>
        <w:spacing w:after="240"/>
        <w:jc w:val="both"/>
        <w:rPr>
          <w:rFonts w:ascii="Century Gothic" w:hAnsi="Century Gothic"/>
          <w:lang w:val="es-ES"/>
        </w:rPr>
      </w:pPr>
      <w:r w:rsidRPr="008A15B6">
        <w:rPr>
          <w:rFonts w:ascii="Century Gothic" w:hAnsi="Century Gothic"/>
          <w:lang w:val="es-ES"/>
        </w:rPr>
        <w:t>A diciembre de 2017 se presentó una cuantía total de procesos judiciales de $64.053</w:t>
      </w:r>
      <w:r w:rsidR="001A3BD2" w:rsidRPr="008A15B6">
        <w:rPr>
          <w:rFonts w:ascii="Century Gothic" w:hAnsi="Century Gothic"/>
          <w:lang w:val="es-ES"/>
        </w:rPr>
        <w:t xml:space="preserve"> millones</w:t>
      </w:r>
      <w:r w:rsidRPr="008A15B6">
        <w:rPr>
          <w:rFonts w:ascii="Century Gothic" w:hAnsi="Century Gothic"/>
          <w:lang w:val="es-ES"/>
        </w:rPr>
        <w:t>, de los cuales</w:t>
      </w:r>
      <w:r w:rsidR="001A3BD2" w:rsidRPr="008A15B6">
        <w:rPr>
          <w:rFonts w:ascii="Century Gothic" w:hAnsi="Century Gothic"/>
          <w:lang w:val="es-ES"/>
        </w:rPr>
        <w:t>,</w:t>
      </w:r>
      <w:r w:rsidRPr="008A15B6">
        <w:rPr>
          <w:rFonts w:ascii="Century Gothic" w:hAnsi="Century Gothic"/>
          <w:lang w:val="es-ES"/>
        </w:rPr>
        <w:t xml:space="preserve"> $2.465 </w:t>
      </w:r>
      <w:r w:rsidR="001A3BD2" w:rsidRPr="008A15B6">
        <w:rPr>
          <w:rFonts w:ascii="Century Gothic" w:hAnsi="Century Gothic"/>
          <w:lang w:val="es-ES"/>
        </w:rPr>
        <w:t xml:space="preserve">millones </w:t>
      </w:r>
      <w:r w:rsidRPr="008A15B6">
        <w:rPr>
          <w:rFonts w:ascii="Century Gothic" w:hAnsi="Century Gothic"/>
          <w:lang w:val="es-ES"/>
        </w:rPr>
        <w:t>se encontraban en n</w:t>
      </w:r>
      <w:r w:rsidR="00BD7F1F" w:rsidRPr="008A15B6">
        <w:rPr>
          <w:rFonts w:ascii="Century Gothic" w:hAnsi="Century Gothic"/>
          <w:lang w:val="es-ES"/>
        </w:rPr>
        <w:t>ivel alto de riesgo de pérdida (</w:t>
      </w:r>
      <w:r w:rsidRPr="008A15B6">
        <w:rPr>
          <w:rFonts w:ascii="Century Gothic" w:hAnsi="Century Gothic"/>
          <w:lang w:val="es-ES"/>
        </w:rPr>
        <w:t>3,8</w:t>
      </w:r>
      <w:r w:rsidR="00BD7F1F" w:rsidRPr="008A15B6">
        <w:rPr>
          <w:rFonts w:ascii="Century Gothic" w:hAnsi="Century Gothic"/>
          <w:lang w:val="es-ES"/>
        </w:rPr>
        <w:t>%)</w:t>
      </w:r>
      <w:r w:rsidRPr="008A15B6">
        <w:rPr>
          <w:rFonts w:ascii="Century Gothic" w:hAnsi="Century Gothic"/>
          <w:lang w:val="es-ES"/>
        </w:rPr>
        <w:t>, $55.899</w:t>
      </w:r>
      <w:r w:rsidR="001A3BD2" w:rsidRPr="008A15B6">
        <w:rPr>
          <w:rFonts w:ascii="Century Gothic" w:hAnsi="Century Gothic"/>
          <w:lang w:val="es-ES"/>
        </w:rPr>
        <w:t xml:space="preserve"> millones</w:t>
      </w:r>
      <w:r w:rsidR="00BD7F1F" w:rsidRPr="008A15B6">
        <w:rPr>
          <w:rFonts w:ascii="Century Gothic" w:hAnsi="Century Gothic"/>
          <w:lang w:val="es-ES"/>
        </w:rPr>
        <w:t xml:space="preserve"> en nivel medio de perdida</w:t>
      </w:r>
      <w:r w:rsidRPr="008A15B6">
        <w:rPr>
          <w:rFonts w:ascii="Century Gothic" w:hAnsi="Century Gothic"/>
          <w:lang w:val="es-ES"/>
        </w:rPr>
        <w:t xml:space="preserve"> </w:t>
      </w:r>
      <w:r w:rsidR="00BD7F1F" w:rsidRPr="008A15B6">
        <w:rPr>
          <w:rFonts w:ascii="Century Gothic" w:hAnsi="Century Gothic"/>
          <w:lang w:val="es-ES"/>
        </w:rPr>
        <w:t>(</w:t>
      </w:r>
      <w:r w:rsidRPr="008A15B6">
        <w:rPr>
          <w:rFonts w:ascii="Century Gothic" w:hAnsi="Century Gothic"/>
          <w:lang w:val="es-ES"/>
        </w:rPr>
        <w:t>87,3</w:t>
      </w:r>
      <w:r w:rsidR="00BD7F1F" w:rsidRPr="008A15B6">
        <w:rPr>
          <w:rFonts w:ascii="Century Gothic" w:hAnsi="Century Gothic"/>
          <w:lang w:val="es-ES"/>
        </w:rPr>
        <w:t>%)</w:t>
      </w:r>
      <w:r w:rsidR="001A3BD2" w:rsidRPr="008A15B6">
        <w:rPr>
          <w:rFonts w:ascii="Century Gothic" w:hAnsi="Century Gothic"/>
          <w:lang w:val="es-ES"/>
        </w:rPr>
        <w:t xml:space="preserve"> y $5.687</w:t>
      </w:r>
      <w:r w:rsidRPr="008A15B6">
        <w:rPr>
          <w:rFonts w:ascii="Century Gothic" w:hAnsi="Century Gothic"/>
          <w:lang w:val="es-ES"/>
        </w:rPr>
        <w:t xml:space="preserve"> </w:t>
      </w:r>
      <w:r w:rsidR="001A3BD2" w:rsidRPr="008A15B6">
        <w:rPr>
          <w:rFonts w:ascii="Century Gothic" w:hAnsi="Century Gothic"/>
          <w:lang w:val="es-ES"/>
        </w:rPr>
        <w:t xml:space="preserve">millones </w:t>
      </w:r>
      <w:r w:rsidR="00BD7F1F" w:rsidRPr="008A15B6">
        <w:rPr>
          <w:rFonts w:ascii="Century Gothic" w:hAnsi="Century Gothic"/>
          <w:lang w:val="es-ES"/>
        </w:rPr>
        <w:t>en nivel bajo de perdida (</w:t>
      </w:r>
      <w:r w:rsidRPr="008A15B6">
        <w:rPr>
          <w:rFonts w:ascii="Century Gothic" w:hAnsi="Century Gothic"/>
          <w:lang w:val="es-ES"/>
        </w:rPr>
        <w:t>8,9</w:t>
      </w:r>
      <w:r w:rsidR="00BD7F1F" w:rsidRPr="008A15B6">
        <w:rPr>
          <w:rFonts w:ascii="Century Gothic" w:hAnsi="Century Gothic"/>
          <w:lang w:val="es-ES"/>
        </w:rPr>
        <w:t>%)</w:t>
      </w:r>
      <w:r w:rsidRPr="008A15B6">
        <w:rPr>
          <w:rFonts w:ascii="Century Gothic" w:hAnsi="Century Gothic"/>
          <w:lang w:val="es-ES"/>
        </w:rPr>
        <w:t>.</w:t>
      </w:r>
    </w:p>
    <w:p w14:paraId="4F646CEC" w14:textId="2A5FB72F" w:rsidR="00FE52AA" w:rsidRPr="008A15B6" w:rsidRDefault="00FE52AA" w:rsidP="00CA56B0">
      <w:pPr>
        <w:spacing w:after="0"/>
        <w:jc w:val="center"/>
        <w:rPr>
          <w:rFonts w:ascii="Century Gothic" w:hAnsi="Century Gothic"/>
          <w:lang w:val="es-ES"/>
        </w:rPr>
      </w:pPr>
      <w:bookmarkStart w:id="63" w:name="_Toc532566065"/>
      <w:r w:rsidRPr="008A15B6">
        <w:rPr>
          <w:rFonts w:ascii="Century Gothic" w:hAnsi="Century Gothic"/>
          <w:lang w:val="es-ES"/>
        </w:rPr>
        <w:t xml:space="preserve">Gráfica </w:t>
      </w:r>
      <w:r w:rsidRPr="008A15B6">
        <w:rPr>
          <w:rFonts w:ascii="Century Gothic" w:hAnsi="Century Gothic"/>
          <w:lang w:val="es-ES"/>
        </w:rPr>
        <w:fldChar w:fldCharType="begin"/>
      </w:r>
      <w:r w:rsidRPr="008A15B6">
        <w:rPr>
          <w:rFonts w:ascii="Century Gothic" w:hAnsi="Century Gothic"/>
          <w:lang w:val="es-ES"/>
        </w:rPr>
        <w:instrText xml:space="preserve"> SEQ Gráfica \* ARABIC </w:instrText>
      </w:r>
      <w:r w:rsidRPr="008A15B6">
        <w:rPr>
          <w:rFonts w:ascii="Century Gothic" w:hAnsi="Century Gothic"/>
          <w:lang w:val="es-ES"/>
        </w:rPr>
        <w:fldChar w:fldCharType="separate"/>
      </w:r>
      <w:r w:rsidR="004A2E30" w:rsidRPr="008A15B6">
        <w:rPr>
          <w:rFonts w:ascii="Century Gothic" w:hAnsi="Century Gothic"/>
          <w:noProof/>
          <w:lang w:val="es-ES"/>
        </w:rPr>
        <w:t>12</w:t>
      </w:r>
      <w:r w:rsidRPr="008A15B6">
        <w:rPr>
          <w:rFonts w:ascii="Century Gothic" w:hAnsi="Century Gothic"/>
          <w:lang w:val="es-ES"/>
        </w:rPr>
        <w:fldChar w:fldCharType="end"/>
      </w:r>
      <w:r w:rsidRPr="008A15B6">
        <w:rPr>
          <w:rFonts w:ascii="Century Gothic" w:hAnsi="Century Gothic"/>
          <w:lang w:val="es-ES"/>
        </w:rPr>
        <w:t xml:space="preserve">. </w:t>
      </w:r>
      <w:r w:rsidR="005C2AF3" w:rsidRPr="008A15B6">
        <w:rPr>
          <w:rFonts w:ascii="Century Gothic" w:hAnsi="Century Gothic"/>
          <w:lang w:val="es-ES"/>
        </w:rPr>
        <w:t>Riesgo</w:t>
      </w:r>
      <w:r w:rsidR="00A241EF" w:rsidRPr="008A15B6">
        <w:rPr>
          <w:rFonts w:ascii="Century Gothic" w:hAnsi="Century Gothic"/>
          <w:lang w:val="es-ES"/>
        </w:rPr>
        <w:t xml:space="preserve"> – Cuantía</w:t>
      </w:r>
      <w:r w:rsidR="005C2AF3" w:rsidRPr="008A15B6">
        <w:rPr>
          <w:rFonts w:ascii="Century Gothic" w:hAnsi="Century Gothic"/>
          <w:lang w:val="es-ES"/>
        </w:rPr>
        <w:t>, año</w:t>
      </w:r>
      <w:r w:rsidRPr="008A15B6">
        <w:rPr>
          <w:rFonts w:ascii="Century Gothic" w:hAnsi="Century Gothic"/>
          <w:lang w:val="es-ES"/>
        </w:rPr>
        <w:t xml:space="preserve"> </w:t>
      </w:r>
      <w:r w:rsidR="00EA7EF2" w:rsidRPr="008A15B6">
        <w:rPr>
          <w:rFonts w:ascii="Century Gothic" w:hAnsi="Century Gothic"/>
          <w:lang w:val="es-ES"/>
        </w:rPr>
        <w:t>2017</w:t>
      </w:r>
      <w:bookmarkEnd w:id="63"/>
    </w:p>
    <w:p w14:paraId="5AB36749" w14:textId="1FE713EA" w:rsidR="003F3CCD" w:rsidRPr="008A15B6" w:rsidRDefault="00A241EF" w:rsidP="00EA7EF2">
      <w:pPr>
        <w:spacing w:after="0"/>
        <w:jc w:val="center"/>
        <w:rPr>
          <w:rFonts w:ascii="Century Gothic" w:hAnsi="Century Gothic"/>
          <w:lang w:val="es-ES"/>
        </w:rPr>
      </w:pPr>
      <w:r w:rsidRPr="008A15B6">
        <w:rPr>
          <w:rFonts w:ascii="Century Gothic" w:hAnsi="Century Gothic"/>
          <w:noProof/>
          <w:lang w:val="es-ES" w:eastAsia="es-ES"/>
        </w:rPr>
        <w:drawing>
          <wp:inline distT="0" distB="0" distL="0" distR="0" wp14:anchorId="7EF3C6FB" wp14:editId="372DE397">
            <wp:extent cx="4221480" cy="1531620"/>
            <wp:effectExtent l="0" t="0" r="7620" b="0"/>
            <wp:docPr id="37" name="Gráfico 3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67E5AEC-4944-4DAC-8847-C7F1A43C30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098B39" w14:textId="77777777" w:rsidR="00EA7EF2" w:rsidRPr="008A15B6" w:rsidRDefault="003F3CCD" w:rsidP="00EA7EF2">
      <w:pPr>
        <w:spacing w:after="240"/>
        <w:jc w:val="center"/>
        <w:rPr>
          <w:rFonts w:ascii="Century Gothic" w:hAnsi="Century Gothic"/>
          <w:lang w:val="es-ES"/>
        </w:rPr>
      </w:pPr>
      <w:r w:rsidRPr="008A15B6">
        <w:rPr>
          <w:rFonts w:ascii="Century Gothic" w:hAnsi="Century Gothic"/>
          <w:lang w:val="es-ES"/>
        </w:rPr>
        <w:t>F</w:t>
      </w:r>
      <w:r w:rsidR="00CF1058" w:rsidRPr="008A15B6">
        <w:rPr>
          <w:rFonts w:ascii="Century Gothic" w:hAnsi="Century Gothic"/>
          <w:lang w:val="es-ES"/>
        </w:rPr>
        <w:t xml:space="preserve">uente: Oficina Asesora Jurídica, </w:t>
      </w:r>
      <w:r w:rsidR="00EA7EF2" w:rsidRPr="008A15B6">
        <w:rPr>
          <w:rFonts w:ascii="Century Gothic" w:hAnsi="Century Gothic"/>
          <w:lang w:val="es-ES"/>
        </w:rPr>
        <w:t>2017</w:t>
      </w:r>
    </w:p>
    <w:p w14:paraId="265A75F2" w14:textId="77777777" w:rsidR="00872A25" w:rsidRPr="008A15B6" w:rsidRDefault="00872A25" w:rsidP="00872A25">
      <w:pPr>
        <w:pStyle w:val="Epgrafe"/>
        <w:spacing w:after="0" w:line="276" w:lineRule="auto"/>
        <w:jc w:val="center"/>
        <w:rPr>
          <w:rFonts w:ascii="Century Gothic" w:eastAsia="Century Gothic" w:hAnsi="Century Gothic" w:cs="Century Gothic"/>
          <w:b w:val="0"/>
          <w:color w:val="auto"/>
          <w:sz w:val="22"/>
          <w:szCs w:val="22"/>
          <w:lang w:val="es-ES"/>
        </w:rPr>
      </w:pPr>
      <w:bookmarkStart w:id="64" w:name="_Toc532570521"/>
      <w:r w:rsidRPr="008A15B6">
        <w:rPr>
          <w:rFonts w:ascii="Century Gothic" w:hAnsi="Century Gothic"/>
          <w:b w:val="0"/>
          <w:color w:val="auto"/>
          <w:sz w:val="22"/>
          <w:szCs w:val="22"/>
          <w:lang w:val="es-ES"/>
        </w:rPr>
        <w:t xml:space="preserve">Tabla </w:t>
      </w:r>
      <w:r w:rsidRPr="008A15B6">
        <w:rPr>
          <w:rFonts w:ascii="Century Gothic" w:hAnsi="Century Gothic"/>
          <w:b w:val="0"/>
          <w:color w:val="auto"/>
          <w:sz w:val="22"/>
          <w:szCs w:val="22"/>
          <w:lang w:val="es-ES"/>
        </w:rPr>
        <w:fldChar w:fldCharType="begin"/>
      </w:r>
      <w:r w:rsidRPr="008A15B6">
        <w:rPr>
          <w:rFonts w:ascii="Century Gothic" w:hAnsi="Century Gothic"/>
          <w:b w:val="0"/>
          <w:color w:val="auto"/>
          <w:sz w:val="22"/>
          <w:szCs w:val="22"/>
          <w:lang w:val="es-ES"/>
        </w:rPr>
        <w:instrText xml:space="preserve"> SEQ Tabla \* ARABIC </w:instrText>
      </w:r>
      <w:r w:rsidRPr="008A15B6">
        <w:rPr>
          <w:rFonts w:ascii="Century Gothic" w:hAnsi="Century Gothic"/>
          <w:b w:val="0"/>
          <w:color w:val="auto"/>
          <w:sz w:val="22"/>
          <w:szCs w:val="22"/>
          <w:lang w:val="es-ES"/>
        </w:rPr>
        <w:fldChar w:fldCharType="separate"/>
      </w:r>
      <w:r w:rsidR="00735A58">
        <w:rPr>
          <w:rFonts w:ascii="Century Gothic" w:hAnsi="Century Gothic"/>
          <w:b w:val="0"/>
          <w:noProof/>
          <w:color w:val="auto"/>
          <w:sz w:val="22"/>
          <w:szCs w:val="22"/>
          <w:lang w:val="es-ES"/>
        </w:rPr>
        <w:t>30</w:t>
      </w:r>
      <w:r w:rsidRPr="008A15B6">
        <w:rPr>
          <w:rFonts w:ascii="Century Gothic" w:hAnsi="Century Gothic"/>
          <w:b w:val="0"/>
          <w:color w:val="auto"/>
          <w:sz w:val="22"/>
          <w:szCs w:val="22"/>
          <w:lang w:val="es-ES"/>
        </w:rPr>
        <w:fldChar w:fldCharType="end"/>
      </w:r>
      <w:r w:rsidRPr="008A15B6">
        <w:rPr>
          <w:rFonts w:ascii="Century Gothic" w:hAnsi="Century Gothic"/>
          <w:b w:val="0"/>
          <w:color w:val="auto"/>
          <w:sz w:val="22"/>
          <w:szCs w:val="22"/>
          <w:lang w:val="es-ES"/>
        </w:rPr>
        <w:t>. Procesos judiciales del nivel central, año 2017 (millones de pesos)</w:t>
      </w:r>
      <w:bookmarkEnd w:id="64"/>
    </w:p>
    <w:tbl>
      <w:tblPr>
        <w:tblStyle w:val="Tabladecuadrcula5oscura-nfasis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365"/>
        <w:gridCol w:w="735"/>
        <w:gridCol w:w="853"/>
        <w:gridCol w:w="737"/>
        <w:gridCol w:w="1134"/>
        <w:gridCol w:w="2847"/>
      </w:tblGrid>
      <w:tr w:rsidR="00872A25" w:rsidRPr="008A15B6" w14:paraId="74EA3879" w14:textId="77777777" w:rsidTr="002408EA">
        <w:trPr>
          <w:cnfStyle w:val="100000000000" w:firstRow="1" w:lastRow="0" w:firstColumn="0" w:lastColumn="0" w:oddVBand="0" w:evenVBand="0" w:oddHBand="0" w:evenHBand="0" w:firstRowFirstColumn="0" w:firstRowLastColumn="0" w:lastRowFirstColumn="0" w:lastRowLastColumn="0"/>
          <w:trHeight w:val="54"/>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one" w:sz="0" w:space="0" w:color="auto"/>
              <w:left w:val="none" w:sz="0" w:space="0" w:color="auto"/>
              <w:right w:val="none" w:sz="0" w:space="0" w:color="auto"/>
            </w:tcBorders>
            <w:shd w:val="clear" w:color="auto" w:fill="C2D69B" w:themeFill="accent3" w:themeFillTint="99"/>
            <w:vAlign w:val="center"/>
            <w:hideMark/>
          </w:tcPr>
          <w:p w14:paraId="776B92C3" w14:textId="77777777" w:rsidR="00872A25" w:rsidRPr="008A15B6" w:rsidRDefault="00872A25" w:rsidP="002408EA">
            <w:pPr>
              <w:jc w:val="center"/>
              <w:rPr>
                <w:rFonts w:ascii="Century Gothic" w:hAnsi="Century Gothic"/>
                <w:b w:val="0"/>
                <w:bCs w:val="0"/>
                <w:color w:val="auto"/>
                <w:sz w:val="20"/>
                <w:szCs w:val="20"/>
                <w:lang w:val="es-ES"/>
              </w:rPr>
            </w:pPr>
            <w:r w:rsidRPr="008A15B6">
              <w:rPr>
                <w:rFonts w:ascii="Century Gothic" w:hAnsi="Century Gothic"/>
                <w:color w:val="auto"/>
                <w:sz w:val="20"/>
                <w:szCs w:val="20"/>
                <w:lang w:val="es-ES"/>
              </w:rPr>
              <w:t>Riesgo</w:t>
            </w:r>
          </w:p>
        </w:tc>
      </w:tr>
      <w:tr w:rsidR="00872A25" w:rsidRPr="008A15B6" w14:paraId="51AD6501" w14:textId="77777777" w:rsidTr="000C2358">
        <w:trPr>
          <w:cnfStyle w:val="100000000000" w:firstRow="1" w:lastRow="0" w:firstColumn="0" w:lastColumn="0" w:oddVBand="0" w:evenVBand="0" w:oddHBand="0" w:evenHBand="0" w:firstRowFirstColumn="0" w:firstRowLastColumn="0" w:lastRowFirstColumn="0" w:lastRowLastColumn="0"/>
          <w:cantSplit/>
          <w:trHeight w:val="1258"/>
          <w:tblHeader/>
          <w:jc w:val="center"/>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left w:val="none" w:sz="0" w:space="0" w:color="auto"/>
              <w:right w:val="none" w:sz="0" w:space="0" w:color="auto"/>
            </w:tcBorders>
            <w:shd w:val="clear" w:color="auto" w:fill="C2D69B" w:themeFill="accent3" w:themeFillTint="99"/>
            <w:vAlign w:val="center"/>
            <w:hideMark/>
          </w:tcPr>
          <w:p w14:paraId="588580E7" w14:textId="77777777" w:rsidR="00872A25" w:rsidRPr="008A15B6" w:rsidRDefault="00872A25" w:rsidP="002408EA">
            <w:pPr>
              <w:jc w:val="center"/>
              <w:rPr>
                <w:rFonts w:ascii="Century Gothic" w:hAnsi="Century Gothic"/>
                <w:b w:val="0"/>
                <w:bCs w:val="0"/>
                <w:color w:val="auto"/>
                <w:sz w:val="20"/>
                <w:szCs w:val="20"/>
                <w:lang w:val="es-ES"/>
              </w:rPr>
            </w:pPr>
            <w:r w:rsidRPr="008A15B6">
              <w:rPr>
                <w:rFonts w:ascii="Century Gothic" w:hAnsi="Century Gothic"/>
                <w:color w:val="auto"/>
                <w:sz w:val="20"/>
                <w:szCs w:val="20"/>
                <w:lang w:val="es-ES"/>
              </w:rPr>
              <w:t>Medio de Control</w:t>
            </w:r>
          </w:p>
        </w:tc>
        <w:tc>
          <w:tcPr>
            <w:tcW w:w="754" w:type="pct"/>
            <w:tcBorders>
              <w:top w:val="none" w:sz="0" w:space="0" w:color="auto"/>
              <w:left w:val="none" w:sz="0" w:space="0" w:color="auto"/>
              <w:right w:val="none" w:sz="0" w:space="0" w:color="auto"/>
            </w:tcBorders>
            <w:shd w:val="clear" w:color="auto" w:fill="D6E3BC" w:themeFill="accent3" w:themeFillTint="66"/>
            <w:vAlign w:val="center"/>
            <w:hideMark/>
          </w:tcPr>
          <w:p w14:paraId="14AEFD01" w14:textId="77777777" w:rsidR="00872A25" w:rsidRPr="008A15B6" w:rsidRDefault="00872A25" w:rsidP="002408E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auto"/>
                <w:sz w:val="20"/>
                <w:szCs w:val="20"/>
                <w:lang w:val="es-ES"/>
              </w:rPr>
            </w:pPr>
            <w:r w:rsidRPr="008A15B6">
              <w:rPr>
                <w:rFonts w:ascii="Century Gothic" w:hAnsi="Century Gothic"/>
                <w:bCs w:val="0"/>
                <w:color w:val="auto"/>
                <w:sz w:val="20"/>
                <w:szCs w:val="20"/>
                <w:lang w:val="es-ES"/>
              </w:rPr>
              <w:t>No. Total de demandas</w:t>
            </w:r>
          </w:p>
        </w:tc>
        <w:tc>
          <w:tcPr>
            <w:tcW w:w="406" w:type="pct"/>
            <w:tcBorders>
              <w:top w:val="none" w:sz="0" w:space="0" w:color="auto"/>
              <w:left w:val="none" w:sz="0" w:space="0" w:color="auto"/>
              <w:right w:val="none" w:sz="0" w:space="0" w:color="auto"/>
            </w:tcBorders>
            <w:shd w:val="clear" w:color="auto" w:fill="D6E3BC" w:themeFill="accent3" w:themeFillTint="66"/>
            <w:vAlign w:val="center"/>
            <w:hideMark/>
          </w:tcPr>
          <w:p w14:paraId="182CD619" w14:textId="77777777" w:rsidR="00872A25" w:rsidRPr="008A15B6" w:rsidRDefault="00872A25" w:rsidP="002408E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auto"/>
                <w:sz w:val="20"/>
                <w:szCs w:val="20"/>
                <w:lang w:val="es-ES"/>
              </w:rPr>
            </w:pPr>
            <w:r w:rsidRPr="008A15B6">
              <w:rPr>
                <w:rFonts w:ascii="Century Gothic" w:hAnsi="Century Gothic"/>
                <w:bCs w:val="0"/>
                <w:color w:val="auto"/>
                <w:sz w:val="20"/>
                <w:szCs w:val="20"/>
                <w:lang w:val="es-ES"/>
              </w:rPr>
              <w:t>Alto</w:t>
            </w:r>
          </w:p>
        </w:tc>
        <w:tc>
          <w:tcPr>
            <w:tcW w:w="471" w:type="pct"/>
            <w:tcBorders>
              <w:top w:val="none" w:sz="0" w:space="0" w:color="auto"/>
              <w:left w:val="none" w:sz="0" w:space="0" w:color="auto"/>
              <w:right w:val="none" w:sz="0" w:space="0" w:color="auto"/>
            </w:tcBorders>
            <w:shd w:val="clear" w:color="auto" w:fill="D6E3BC" w:themeFill="accent3" w:themeFillTint="66"/>
            <w:vAlign w:val="center"/>
            <w:hideMark/>
          </w:tcPr>
          <w:p w14:paraId="0B1E428B" w14:textId="77777777" w:rsidR="00872A25" w:rsidRPr="008A15B6" w:rsidRDefault="00872A25" w:rsidP="002408E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auto"/>
                <w:sz w:val="20"/>
                <w:szCs w:val="20"/>
                <w:lang w:val="es-ES"/>
              </w:rPr>
            </w:pPr>
            <w:r w:rsidRPr="008A15B6">
              <w:rPr>
                <w:rFonts w:ascii="Century Gothic" w:hAnsi="Century Gothic"/>
                <w:bCs w:val="0"/>
                <w:color w:val="auto"/>
                <w:sz w:val="20"/>
                <w:szCs w:val="20"/>
                <w:lang w:val="es-ES"/>
              </w:rPr>
              <w:t>Medio</w:t>
            </w:r>
          </w:p>
        </w:tc>
        <w:tc>
          <w:tcPr>
            <w:tcW w:w="407" w:type="pct"/>
            <w:tcBorders>
              <w:top w:val="none" w:sz="0" w:space="0" w:color="auto"/>
              <w:left w:val="none" w:sz="0" w:space="0" w:color="auto"/>
              <w:right w:val="none" w:sz="0" w:space="0" w:color="auto"/>
            </w:tcBorders>
            <w:shd w:val="clear" w:color="auto" w:fill="D6E3BC" w:themeFill="accent3" w:themeFillTint="66"/>
            <w:vAlign w:val="center"/>
            <w:hideMark/>
          </w:tcPr>
          <w:p w14:paraId="22EB9096" w14:textId="77777777" w:rsidR="00872A25" w:rsidRPr="008A15B6" w:rsidRDefault="00872A25" w:rsidP="002408E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auto"/>
                <w:sz w:val="20"/>
                <w:szCs w:val="20"/>
                <w:lang w:val="es-ES"/>
              </w:rPr>
            </w:pPr>
            <w:r w:rsidRPr="008A15B6">
              <w:rPr>
                <w:rFonts w:ascii="Century Gothic" w:hAnsi="Century Gothic"/>
                <w:bCs w:val="0"/>
                <w:color w:val="auto"/>
                <w:sz w:val="20"/>
                <w:szCs w:val="20"/>
                <w:lang w:val="es-ES"/>
              </w:rPr>
              <w:t>Bajo</w:t>
            </w:r>
          </w:p>
        </w:tc>
        <w:tc>
          <w:tcPr>
            <w:tcW w:w="626" w:type="pct"/>
            <w:tcBorders>
              <w:top w:val="none" w:sz="0" w:space="0" w:color="auto"/>
              <w:left w:val="none" w:sz="0" w:space="0" w:color="auto"/>
              <w:right w:val="none" w:sz="0" w:space="0" w:color="auto"/>
            </w:tcBorders>
            <w:shd w:val="clear" w:color="auto" w:fill="D6E3BC" w:themeFill="accent3" w:themeFillTint="66"/>
            <w:textDirection w:val="btLr"/>
            <w:vAlign w:val="center"/>
            <w:hideMark/>
          </w:tcPr>
          <w:p w14:paraId="421685E9" w14:textId="77777777" w:rsidR="00872A25" w:rsidRPr="008A15B6" w:rsidRDefault="00872A25" w:rsidP="002408EA">
            <w:pPr>
              <w:ind w:left="113" w:right="113"/>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auto"/>
                <w:sz w:val="20"/>
                <w:szCs w:val="20"/>
                <w:lang w:val="es-ES"/>
              </w:rPr>
            </w:pPr>
            <w:r w:rsidRPr="008A15B6">
              <w:rPr>
                <w:rFonts w:ascii="Century Gothic" w:hAnsi="Century Gothic"/>
                <w:bCs w:val="0"/>
                <w:color w:val="auto"/>
                <w:sz w:val="20"/>
                <w:szCs w:val="20"/>
                <w:lang w:val="es-ES"/>
              </w:rPr>
              <w:t>Cuantía total por medio de control</w:t>
            </w:r>
          </w:p>
        </w:tc>
        <w:tc>
          <w:tcPr>
            <w:tcW w:w="1567" w:type="pct"/>
            <w:tcBorders>
              <w:top w:val="none" w:sz="0" w:space="0" w:color="auto"/>
              <w:left w:val="none" w:sz="0" w:space="0" w:color="auto"/>
              <w:right w:val="none" w:sz="0" w:space="0" w:color="auto"/>
            </w:tcBorders>
            <w:shd w:val="clear" w:color="auto" w:fill="D6E3BC" w:themeFill="accent3" w:themeFillTint="66"/>
            <w:vAlign w:val="center"/>
            <w:hideMark/>
          </w:tcPr>
          <w:p w14:paraId="751C170E" w14:textId="77777777" w:rsidR="00872A25" w:rsidRPr="008A15B6" w:rsidRDefault="00872A25" w:rsidP="002408E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auto"/>
                <w:sz w:val="20"/>
                <w:szCs w:val="20"/>
                <w:lang w:val="es-ES"/>
              </w:rPr>
            </w:pPr>
            <w:r w:rsidRPr="008A15B6">
              <w:rPr>
                <w:rFonts w:ascii="Century Gothic" w:hAnsi="Century Gothic"/>
                <w:bCs w:val="0"/>
                <w:color w:val="auto"/>
                <w:sz w:val="20"/>
                <w:szCs w:val="20"/>
                <w:lang w:val="es-ES"/>
              </w:rPr>
              <w:t>Pretensiones</w:t>
            </w:r>
          </w:p>
        </w:tc>
      </w:tr>
      <w:tr w:rsidR="00872A25" w:rsidRPr="008A15B6" w14:paraId="59484F05" w14:textId="77777777" w:rsidTr="002408EA">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764" w:type="pct"/>
            <w:vMerge w:val="restart"/>
            <w:tcBorders>
              <w:left w:val="none" w:sz="0" w:space="0" w:color="auto"/>
            </w:tcBorders>
            <w:shd w:val="clear" w:color="auto" w:fill="C2D69B" w:themeFill="accent3" w:themeFillTint="99"/>
            <w:vAlign w:val="center"/>
            <w:hideMark/>
          </w:tcPr>
          <w:p w14:paraId="0408A704" w14:textId="77777777" w:rsidR="00872A25" w:rsidRPr="008A15B6" w:rsidRDefault="00872A25" w:rsidP="002408EA">
            <w:pPr>
              <w:rPr>
                <w:rFonts w:ascii="Century Gothic" w:hAnsi="Century Gothic"/>
                <w:color w:val="auto"/>
                <w:sz w:val="20"/>
                <w:szCs w:val="20"/>
                <w:lang w:val="es-ES"/>
              </w:rPr>
            </w:pPr>
            <w:r w:rsidRPr="008A15B6">
              <w:rPr>
                <w:rFonts w:ascii="Century Gothic" w:hAnsi="Century Gothic"/>
                <w:color w:val="auto"/>
                <w:sz w:val="20"/>
                <w:szCs w:val="20"/>
                <w:lang w:val="es-ES"/>
              </w:rPr>
              <w:t>Acciones constitucionales</w:t>
            </w:r>
          </w:p>
        </w:tc>
        <w:tc>
          <w:tcPr>
            <w:tcW w:w="754" w:type="pct"/>
            <w:shd w:val="clear" w:color="auto" w:fill="auto"/>
            <w:vAlign w:val="center"/>
            <w:hideMark/>
          </w:tcPr>
          <w:p w14:paraId="5AFBFB26"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28</w:t>
            </w:r>
          </w:p>
        </w:tc>
        <w:tc>
          <w:tcPr>
            <w:tcW w:w="406" w:type="pct"/>
            <w:shd w:val="clear" w:color="auto" w:fill="auto"/>
            <w:vAlign w:val="center"/>
            <w:hideMark/>
          </w:tcPr>
          <w:p w14:paraId="0FDED193"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w:t>
            </w:r>
          </w:p>
        </w:tc>
        <w:tc>
          <w:tcPr>
            <w:tcW w:w="471" w:type="pct"/>
            <w:shd w:val="clear" w:color="auto" w:fill="auto"/>
            <w:vAlign w:val="center"/>
            <w:hideMark/>
          </w:tcPr>
          <w:p w14:paraId="721AB609"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18</w:t>
            </w:r>
          </w:p>
        </w:tc>
        <w:tc>
          <w:tcPr>
            <w:tcW w:w="407" w:type="pct"/>
            <w:shd w:val="clear" w:color="auto" w:fill="auto"/>
            <w:vAlign w:val="center"/>
            <w:hideMark/>
          </w:tcPr>
          <w:p w14:paraId="05C67BF9"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9</w:t>
            </w:r>
          </w:p>
        </w:tc>
        <w:tc>
          <w:tcPr>
            <w:tcW w:w="626" w:type="pct"/>
            <w:vMerge w:val="restart"/>
            <w:shd w:val="clear" w:color="auto" w:fill="auto"/>
            <w:vAlign w:val="center"/>
            <w:hideMark/>
          </w:tcPr>
          <w:p w14:paraId="2A8EA6F2" w14:textId="51410F44"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34.86</w:t>
            </w:r>
            <w:r w:rsidR="00CD4415">
              <w:rPr>
                <w:rFonts w:ascii="Century Gothic" w:hAnsi="Century Gothic"/>
                <w:sz w:val="20"/>
                <w:szCs w:val="20"/>
                <w:lang w:val="es-ES"/>
              </w:rPr>
              <w:t>1</w:t>
            </w:r>
          </w:p>
        </w:tc>
        <w:tc>
          <w:tcPr>
            <w:tcW w:w="1567" w:type="pct"/>
            <w:vMerge w:val="restart"/>
            <w:shd w:val="clear" w:color="auto" w:fill="auto"/>
            <w:vAlign w:val="center"/>
            <w:hideMark/>
          </w:tcPr>
          <w:p w14:paraId="3DA76130" w14:textId="77777777" w:rsidR="00872A25" w:rsidRPr="008A15B6" w:rsidRDefault="00872A25" w:rsidP="002408E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Realizar construcciones, servicios públicos, cierre de escombreras o cantera</w:t>
            </w:r>
          </w:p>
        </w:tc>
      </w:tr>
      <w:tr w:rsidR="00872A25" w:rsidRPr="008A15B6" w14:paraId="5BD3EAE1" w14:textId="77777777" w:rsidTr="002408EA">
        <w:trPr>
          <w:trHeight w:val="190"/>
          <w:jc w:val="center"/>
        </w:trPr>
        <w:tc>
          <w:tcPr>
            <w:cnfStyle w:val="001000000000" w:firstRow="0" w:lastRow="0" w:firstColumn="1" w:lastColumn="0" w:oddVBand="0" w:evenVBand="0" w:oddHBand="0" w:evenHBand="0" w:firstRowFirstColumn="0" w:firstRowLastColumn="0" w:lastRowFirstColumn="0" w:lastRowLastColumn="0"/>
            <w:tcW w:w="764" w:type="pct"/>
            <w:vMerge/>
            <w:tcBorders>
              <w:left w:val="none" w:sz="0" w:space="0" w:color="auto"/>
            </w:tcBorders>
            <w:shd w:val="clear" w:color="auto" w:fill="C2D69B" w:themeFill="accent3" w:themeFillTint="99"/>
            <w:vAlign w:val="center"/>
            <w:hideMark/>
          </w:tcPr>
          <w:p w14:paraId="460C51D3" w14:textId="77777777" w:rsidR="00872A25" w:rsidRPr="008A15B6" w:rsidRDefault="00872A25" w:rsidP="002408EA">
            <w:pPr>
              <w:rPr>
                <w:rFonts w:ascii="Century Gothic" w:hAnsi="Century Gothic"/>
                <w:color w:val="auto"/>
                <w:sz w:val="20"/>
                <w:szCs w:val="20"/>
                <w:lang w:val="es-ES"/>
              </w:rPr>
            </w:pPr>
          </w:p>
        </w:tc>
        <w:tc>
          <w:tcPr>
            <w:tcW w:w="754" w:type="pct"/>
            <w:shd w:val="clear" w:color="auto" w:fill="auto"/>
            <w:vAlign w:val="center"/>
            <w:hideMark/>
          </w:tcPr>
          <w:p w14:paraId="61ABF1C7"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06" w:type="pct"/>
            <w:shd w:val="clear" w:color="auto" w:fill="auto"/>
            <w:vAlign w:val="center"/>
            <w:hideMark/>
          </w:tcPr>
          <w:p w14:paraId="1C674F3D"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73</w:t>
            </w:r>
          </w:p>
        </w:tc>
        <w:tc>
          <w:tcPr>
            <w:tcW w:w="471" w:type="pct"/>
            <w:shd w:val="clear" w:color="auto" w:fill="auto"/>
            <w:noWrap/>
            <w:vAlign w:val="center"/>
            <w:hideMark/>
          </w:tcPr>
          <w:p w14:paraId="425798DF"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34.732</w:t>
            </w:r>
          </w:p>
        </w:tc>
        <w:tc>
          <w:tcPr>
            <w:tcW w:w="407" w:type="pct"/>
            <w:shd w:val="clear" w:color="auto" w:fill="auto"/>
            <w:noWrap/>
            <w:vAlign w:val="center"/>
            <w:hideMark/>
          </w:tcPr>
          <w:p w14:paraId="35908851"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54</w:t>
            </w:r>
          </w:p>
        </w:tc>
        <w:tc>
          <w:tcPr>
            <w:tcW w:w="626" w:type="pct"/>
            <w:vMerge/>
            <w:shd w:val="clear" w:color="auto" w:fill="auto"/>
            <w:vAlign w:val="center"/>
            <w:hideMark/>
          </w:tcPr>
          <w:p w14:paraId="04CA5516"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c>
          <w:tcPr>
            <w:tcW w:w="1567" w:type="pct"/>
            <w:vMerge/>
            <w:shd w:val="clear" w:color="auto" w:fill="auto"/>
            <w:vAlign w:val="center"/>
            <w:hideMark/>
          </w:tcPr>
          <w:p w14:paraId="612ECF4F"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r>
      <w:tr w:rsidR="00872A25" w:rsidRPr="008A15B6" w14:paraId="6339894E" w14:textId="77777777" w:rsidTr="002408EA">
        <w:trPr>
          <w:cnfStyle w:val="000000100000" w:firstRow="0" w:lastRow="0" w:firstColumn="0" w:lastColumn="0" w:oddVBand="0" w:evenVBand="0" w:oddHBand="1" w:evenHBand="0"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764" w:type="pct"/>
            <w:vMerge w:val="restart"/>
            <w:tcBorders>
              <w:left w:val="none" w:sz="0" w:space="0" w:color="auto"/>
            </w:tcBorders>
            <w:shd w:val="clear" w:color="auto" w:fill="C2D69B" w:themeFill="accent3" w:themeFillTint="99"/>
            <w:vAlign w:val="center"/>
            <w:hideMark/>
          </w:tcPr>
          <w:p w14:paraId="6BE6AA21" w14:textId="77777777" w:rsidR="00872A25" w:rsidRPr="008A15B6" w:rsidRDefault="00872A25" w:rsidP="002408EA">
            <w:pPr>
              <w:rPr>
                <w:rFonts w:ascii="Century Gothic" w:hAnsi="Century Gothic"/>
                <w:color w:val="auto"/>
                <w:sz w:val="20"/>
                <w:szCs w:val="20"/>
                <w:lang w:val="es-ES"/>
              </w:rPr>
            </w:pPr>
            <w:r w:rsidRPr="008A15B6">
              <w:rPr>
                <w:rFonts w:ascii="Century Gothic" w:hAnsi="Century Gothic"/>
                <w:color w:val="auto"/>
                <w:sz w:val="20"/>
                <w:szCs w:val="20"/>
                <w:lang w:val="es-ES"/>
              </w:rPr>
              <w:t>Demandas administra-</w:t>
            </w:r>
            <w:proofErr w:type="spellStart"/>
            <w:r w:rsidRPr="008A15B6">
              <w:rPr>
                <w:rFonts w:ascii="Century Gothic" w:hAnsi="Century Gothic"/>
                <w:color w:val="auto"/>
                <w:sz w:val="20"/>
                <w:szCs w:val="20"/>
                <w:lang w:val="es-ES"/>
              </w:rPr>
              <w:lastRenderedPageBreak/>
              <w:t>tivas</w:t>
            </w:r>
            <w:proofErr w:type="spellEnd"/>
          </w:p>
        </w:tc>
        <w:tc>
          <w:tcPr>
            <w:tcW w:w="754" w:type="pct"/>
            <w:shd w:val="clear" w:color="auto" w:fill="auto"/>
            <w:vAlign w:val="center"/>
            <w:hideMark/>
          </w:tcPr>
          <w:p w14:paraId="0B199F84"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lastRenderedPageBreak/>
              <w:t>177</w:t>
            </w:r>
          </w:p>
        </w:tc>
        <w:tc>
          <w:tcPr>
            <w:tcW w:w="406" w:type="pct"/>
            <w:shd w:val="clear" w:color="auto" w:fill="auto"/>
            <w:vAlign w:val="center"/>
            <w:hideMark/>
          </w:tcPr>
          <w:p w14:paraId="7109313D"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15</w:t>
            </w:r>
          </w:p>
        </w:tc>
        <w:tc>
          <w:tcPr>
            <w:tcW w:w="471" w:type="pct"/>
            <w:shd w:val="clear" w:color="auto" w:fill="auto"/>
            <w:noWrap/>
            <w:vAlign w:val="center"/>
            <w:hideMark/>
          </w:tcPr>
          <w:p w14:paraId="08B2EA66"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97</w:t>
            </w:r>
          </w:p>
        </w:tc>
        <w:tc>
          <w:tcPr>
            <w:tcW w:w="407" w:type="pct"/>
            <w:shd w:val="clear" w:color="auto" w:fill="auto"/>
            <w:vAlign w:val="center"/>
            <w:hideMark/>
          </w:tcPr>
          <w:p w14:paraId="52D6FA7C"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65</w:t>
            </w:r>
          </w:p>
        </w:tc>
        <w:tc>
          <w:tcPr>
            <w:tcW w:w="626" w:type="pct"/>
            <w:vMerge w:val="restart"/>
            <w:shd w:val="clear" w:color="auto" w:fill="auto"/>
            <w:noWrap/>
            <w:vAlign w:val="center"/>
            <w:hideMark/>
          </w:tcPr>
          <w:p w14:paraId="1C544010"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27.997</w:t>
            </w:r>
          </w:p>
        </w:tc>
        <w:tc>
          <w:tcPr>
            <w:tcW w:w="1567" w:type="pct"/>
            <w:vMerge w:val="restart"/>
            <w:shd w:val="clear" w:color="auto" w:fill="auto"/>
            <w:vAlign w:val="center"/>
            <w:hideMark/>
          </w:tcPr>
          <w:p w14:paraId="672A778F" w14:textId="77777777" w:rsidR="00872A25" w:rsidRPr="008A15B6" w:rsidRDefault="00872A25" w:rsidP="002408E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 xml:space="preserve">Nulidad de actos administrativos, pago de </w:t>
            </w:r>
            <w:r w:rsidRPr="008A15B6">
              <w:rPr>
                <w:rFonts w:ascii="Century Gothic" w:hAnsi="Century Gothic"/>
                <w:sz w:val="20"/>
                <w:szCs w:val="20"/>
                <w:lang w:val="es-ES"/>
              </w:rPr>
              <w:lastRenderedPageBreak/>
              <w:t>perjuicios causados, insubsistencia de cargos, daño o perdida de vehículos, daños causados en o por obra pública</w:t>
            </w:r>
          </w:p>
        </w:tc>
      </w:tr>
      <w:tr w:rsidR="00872A25" w:rsidRPr="008A15B6" w14:paraId="115C8DE1" w14:textId="77777777" w:rsidTr="002408EA">
        <w:trPr>
          <w:trHeight w:val="688"/>
          <w:jc w:val="center"/>
        </w:trPr>
        <w:tc>
          <w:tcPr>
            <w:cnfStyle w:val="001000000000" w:firstRow="0" w:lastRow="0" w:firstColumn="1" w:lastColumn="0" w:oddVBand="0" w:evenVBand="0" w:oddHBand="0" w:evenHBand="0" w:firstRowFirstColumn="0" w:firstRowLastColumn="0" w:lastRowFirstColumn="0" w:lastRowLastColumn="0"/>
            <w:tcW w:w="764" w:type="pct"/>
            <w:vMerge/>
            <w:tcBorders>
              <w:left w:val="none" w:sz="0" w:space="0" w:color="auto"/>
            </w:tcBorders>
            <w:shd w:val="clear" w:color="auto" w:fill="C2D69B" w:themeFill="accent3" w:themeFillTint="99"/>
            <w:vAlign w:val="center"/>
            <w:hideMark/>
          </w:tcPr>
          <w:p w14:paraId="315565CE" w14:textId="77777777" w:rsidR="00872A25" w:rsidRPr="008A15B6" w:rsidRDefault="00872A25" w:rsidP="002408EA">
            <w:pPr>
              <w:rPr>
                <w:rFonts w:ascii="Century Gothic" w:hAnsi="Century Gothic"/>
                <w:color w:val="auto"/>
                <w:sz w:val="20"/>
                <w:szCs w:val="20"/>
                <w:lang w:val="es-ES"/>
              </w:rPr>
            </w:pPr>
          </w:p>
        </w:tc>
        <w:tc>
          <w:tcPr>
            <w:tcW w:w="754" w:type="pct"/>
            <w:shd w:val="clear" w:color="auto" w:fill="auto"/>
            <w:vAlign w:val="center"/>
            <w:hideMark/>
          </w:tcPr>
          <w:p w14:paraId="342F5BF7"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06" w:type="pct"/>
            <w:shd w:val="clear" w:color="auto" w:fill="auto"/>
            <w:vAlign w:val="center"/>
            <w:hideMark/>
          </w:tcPr>
          <w:p w14:paraId="17E7DB30"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2.362</w:t>
            </w:r>
          </w:p>
        </w:tc>
        <w:tc>
          <w:tcPr>
            <w:tcW w:w="471" w:type="pct"/>
            <w:shd w:val="clear" w:color="auto" w:fill="auto"/>
            <w:vAlign w:val="center"/>
            <w:hideMark/>
          </w:tcPr>
          <w:p w14:paraId="34D08CB7"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20.001</w:t>
            </w:r>
          </w:p>
        </w:tc>
        <w:tc>
          <w:tcPr>
            <w:tcW w:w="407" w:type="pct"/>
            <w:shd w:val="clear" w:color="auto" w:fill="auto"/>
            <w:noWrap/>
            <w:vAlign w:val="center"/>
            <w:hideMark/>
          </w:tcPr>
          <w:p w14:paraId="3FB31EE0"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5.633</w:t>
            </w:r>
          </w:p>
        </w:tc>
        <w:tc>
          <w:tcPr>
            <w:tcW w:w="626" w:type="pct"/>
            <w:vMerge/>
            <w:shd w:val="clear" w:color="auto" w:fill="auto"/>
            <w:vAlign w:val="center"/>
            <w:hideMark/>
          </w:tcPr>
          <w:p w14:paraId="55B43B69"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c>
          <w:tcPr>
            <w:tcW w:w="1567" w:type="pct"/>
            <w:vMerge/>
            <w:shd w:val="clear" w:color="auto" w:fill="auto"/>
            <w:vAlign w:val="center"/>
            <w:hideMark/>
          </w:tcPr>
          <w:p w14:paraId="7E580248"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r>
      <w:tr w:rsidR="00872A25" w:rsidRPr="008A15B6" w14:paraId="26F9A29C" w14:textId="77777777" w:rsidTr="002408EA">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764" w:type="pct"/>
            <w:vMerge w:val="restart"/>
            <w:tcBorders>
              <w:left w:val="none" w:sz="0" w:space="0" w:color="auto"/>
            </w:tcBorders>
            <w:shd w:val="clear" w:color="auto" w:fill="C2D69B" w:themeFill="accent3" w:themeFillTint="99"/>
            <w:vAlign w:val="center"/>
            <w:hideMark/>
          </w:tcPr>
          <w:p w14:paraId="26BB9EAC" w14:textId="77777777" w:rsidR="00872A25" w:rsidRPr="008A15B6" w:rsidRDefault="00872A25" w:rsidP="002408EA">
            <w:pPr>
              <w:rPr>
                <w:rFonts w:ascii="Century Gothic" w:hAnsi="Century Gothic"/>
                <w:color w:val="auto"/>
                <w:sz w:val="20"/>
                <w:szCs w:val="20"/>
                <w:lang w:val="es-ES"/>
              </w:rPr>
            </w:pPr>
            <w:r w:rsidRPr="008A15B6">
              <w:rPr>
                <w:rFonts w:ascii="Century Gothic" w:hAnsi="Century Gothic"/>
                <w:color w:val="auto"/>
                <w:sz w:val="20"/>
                <w:szCs w:val="20"/>
                <w:lang w:val="es-ES"/>
              </w:rPr>
              <w:lastRenderedPageBreak/>
              <w:t>Demandas laborales</w:t>
            </w:r>
          </w:p>
        </w:tc>
        <w:tc>
          <w:tcPr>
            <w:tcW w:w="754" w:type="pct"/>
            <w:shd w:val="clear" w:color="auto" w:fill="auto"/>
            <w:vAlign w:val="center"/>
            <w:hideMark/>
          </w:tcPr>
          <w:p w14:paraId="06C2ED3A"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5</w:t>
            </w:r>
          </w:p>
        </w:tc>
        <w:tc>
          <w:tcPr>
            <w:tcW w:w="406" w:type="pct"/>
            <w:shd w:val="clear" w:color="auto" w:fill="auto"/>
            <w:vAlign w:val="center"/>
            <w:hideMark/>
          </w:tcPr>
          <w:p w14:paraId="7F137B25"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471" w:type="pct"/>
            <w:shd w:val="clear" w:color="auto" w:fill="auto"/>
            <w:vAlign w:val="center"/>
            <w:hideMark/>
          </w:tcPr>
          <w:p w14:paraId="296839AC"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4</w:t>
            </w:r>
          </w:p>
        </w:tc>
        <w:tc>
          <w:tcPr>
            <w:tcW w:w="407" w:type="pct"/>
            <w:shd w:val="clear" w:color="auto" w:fill="auto"/>
            <w:vAlign w:val="center"/>
            <w:hideMark/>
          </w:tcPr>
          <w:p w14:paraId="1E793F4C"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w:t>
            </w:r>
          </w:p>
        </w:tc>
        <w:tc>
          <w:tcPr>
            <w:tcW w:w="626" w:type="pct"/>
            <w:vMerge w:val="restart"/>
            <w:shd w:val="clear" w:color="auto" w:fill="auto"/>
            <w:noWrap/>
            <w:vAlign w:val="center"/>
            <w:hideMark/>
          </w:tcPr>
          <w:p w14:paraId="2C7E08D9" w14:textId="55580042" w:rsidR="00872A25" w:rsidRPr="008A15B6" w:rsidRDefault="00CD441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Pr>
                <w:rFonts w:ascii="Century Gothic" w:hAnsi="Century Gothic"/>
                <w:sz w:val="20"/>
                <w:szCs w:val="20"/>
                <w:lang w:val="es-ES"/>
              </w:rPr>
              <w:t>1.008</w:t>
            </w:r>
          </w:p>
        </w:tc>
        <w:tc>
          <w:tcPr>
            <w:tcW w:w="1567" w:type="pct"/>
            <w:vMerge w:val="restart"/>
            <w:shd w:val="clear" w:color="auto" w:fill="auto"/>
            <w:vAlign w:val="center"/>
            <w:hideMark/>
          </w:tcPr>
          <w:p w14:paraId="7A26362F" w14:textId="77777777" w:rsidR="00872A25" w:rsidRPr="008A15B6" w:rsidRDefault="00872A25" w:rsidP="002408E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Pago de prestaciones sociales, reconocimiento de pensión de jubilación</w:t>
            </w:r>
          </w:p>
        </w:tc>
      </w:tr>
      <w:tr w:rsidR="00872A25" w:rsidRPr="008A15B6" w14:paraId="12453E13" w14:textId="77777777" w:rsidTr="002408EA">
        <w:trPr>
          <w:trHeight w:val="257"/>
          <w:jc w:val="center"/>
        </w:trPr>
        <w:tc>
          <w:tcPr>
            <w:cnfStyle w:val="001000000000" w:firstRow="0" w:lastRow="0" w:firstColumn="1" w:lastColumn="0" w:oddVBand="0" w:evenVBand="0" w:oddHBand="0" w:evenHBand="0" w:firstRowFirstColumn="0" w:firstRowLastColumn="0" w:lastRowFirstColumn="0" w:lastRowLastColumn="0"/>
            <w:tcW w:w="764" w:type="pct"/>
            <w:vMerge/>
            <w:tcBorders>
              <w:left w:val="none" w:sz="0" w:space="0" w:color="auto"/>
            </w:tcBorders>
            <w:shd w:val="clear" w:color="auto" w:fill="C2D69B" w:themeFill="accent3" w:themeFillTint="99"/>
            <w:vAlign w:val="center"/>
            <w:hideMark/>
          </w:tcPr>
          <w:p w14:paraId="51E005F9" w14:textId="77777777" w:rsidR="00872A25" w:rsidRPr="008A15B6" w:rsidRDefault="00872A25" w:rsidP="002408EA">
            <w:pPr>
              <w:rPr>
                <w:rFonts w:ascii="Century Gothic" w:hAnsi="Century Gothic"/>
                <w:color w:val="auto"/>
                <w:sz w:val="20"/>
                <w:szCs w:val="20"/>
                <w:lang w:val="es-ES"/>
              </w:rPr>
            </w:pPr>
          </w:p>
        </w:tc>
        <w:tc>
          <w:tcPr>
            <w:tcW w:w="754" w:type="pct"/>
            <w:shd w:val="clear" w:color="auto" w:fill="auto"/>
            <w:vAlign w:val="center"/>
            <w:hideMark/>
          </w:tcPr>
          <w:p w14:paraId="1A52105B"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06" w:type="pct"/>
            <w:shd w:val="clear" w:color="auto" w:fill="auto"/>
            <w:vAlign w:val="center"/>
            <w:hideMark/>
          </w:tcPr>
          <w:p w14:paraId="594A1FF0"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 xml:space="preserve"> 0</w:t>
            </w:r>
          </w:p>
        </w:tc>
        <w:tc>
          <w:tcPr>
            <w:tcW w:w="471" w:type="pct"/>
            <w:shd w:val="clear" w:color="auto" w:fill="auto"/>
            <w:vAlign w:val="center"/>
            <w:hideMark/>
          </w:tcPr>
          <w:p w14:paraId="0BB832D3"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1.007</w:t>
            </w:r>
          </w:p>
        </w:tc>
        <w:tc>
          <w:tcPr>
            <w:tcW w:w="407" w:type="pct"/>
            <w:shd w:val="clear" w:color="auto" w:fill="auto"/>
            <w:vAlign w:val="center"/>
            <w:hideMark/>
          </w:tcPr>
          <w:p w14:paraId="34828D10"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26" w:type="pct"/>
            <w:vMerge/>
            <w:shd w:val="clear" w:color="auto" w:fill="auto"/>
            <w:vAlign w:val="center"/>
            <w:hideMark/>
          </w:tcPr>
          <w:p w14:paraId="0F6A7270"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c>
          <w:tcPr>
            <w:tcW w:w="1567" w:type="pct"/>
            <w:vMerge/>
            <w:shd w:val="clear" w:color="auto" w:fill="auto"/>
            <w:vAlign w:val="center"/>
            <w:hideMark/>
          </w:tcPr>
          <w:p w14:paraId="01B4DB14"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r>
      <w:tr w:rsidR="00872A25" w:rsidRPr="008A15B6" w14:paraId="2839E03E" w14:textId="77777777" w:rsidTr="002408EA">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764" w:type="pct"/>
            <w:vMerge w:val="restart"/>
            <w:tcBorders>
              <w:left w:val="none" w:sz="0" w:space="0" w:color="auto"/>
            </w:tcBorders>
            <w:shd w:val="clear" w:color="auto" w:fill="C2D69B" w:themeFill="accent3" w:themeFillTint="99"/>
            <w:vAlign w:val="center"/>
            <w:hideMark/>
          </w:tcPr>
          <w:p w14:paraId="056B0E0A" w14:textId="77777777" w:rsidR="00872A25" w:rsidRPr="008A15B6" w:rsidRDefault="00872A25" w:rsidP="002408EA">
            <w:pPr>
              <w:rPr>
                <w:rFonts w:ascii="Century Gothic" w:hAnsi="Century Gothic"/>
                <w:color w:val="auto"/>
                <w:sz w:val="20"/>
                <w:szCs w:val="20"/>
                <w:lang w:val="es-ES"/>
              </w:rPr>
            </w:pPr>
            <w:r w:rsidRPr="008A15B6">
              <w:rPr>
                <w:rFonts w:ascii="Century Gothic" w:hAnsi="Century Gothic"/>
                <w:color w:val="auto"/>
                <w:sz w:val="20"/>
                <w:szCs w:val="20"/>
                <w:lang w:val="es-ES"/>
              </w:rPr>
              <w:t>Otras</w:t>
            </w:r>
          </w:p>
        </w:tc>
        <w:tc>
          <w:tcPr>
            <w:tcW w:w="754" w:type="pct"/>
            <w:shd w:val="clear" w:color="auto" w:fill="auto"/>
            <w:vAlign w:val="center"/>
            <w:hideMark/>
          </w:tcPr>
          <w:p w14:paraId="77064369"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w:t>
            </w:r>
          </w:p>
        </w:tc>
        <w:tc>
          <w:tcPr>
            <w:tcW w:w="406" w:type="pct"/>
            <w:shd w:val="clear" w:color="auto" w:fill="auto"/>
            <w:vAlign w:val="center"/>
            <w:hideMark/>
          </w:tcPr>
          <w:p w14:paraId="465512AC"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w:t>
            </w:r>
          </w:p>
        </w:tc>
        <w:tc>
          <w:tcPr>
            <w:tcW w:w="471" w:type="pct"/>
            <w:shd w:val="clear" w:color="auto" w:fill="auto"/>
            <w:vAlign w:val="center"/>
            <w:hideMark/>
          </w:tcPr>
          <w:p w14:paraId="48BA302B"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w:t>
            </w:r>
          </w:p>
        </w:tc>
        <w:tc>
          <w:tcPr>
            <w:tcW w:w="407" w:type="pct"/>
            <w:shd w:val="clear" w:color="auto" w:fill="auto"/>
            <w:vAlign w:val="center"/>
            <w:hideMark/>
          </w:tcPr>
          <w:p w14:paraId="29D6B9BD"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26" w:type="pct"/>
            <w:vMerge w:val="restart"/>
            <w:shd w:val="clear" w:color="auto" w:fill="auto"/>
            <w:noWrap/>
            <w:vAlign w:val="center"/>
            <w:hideMark/>
          </w:tcPr>
          <w:p w14:paraId="2DA05284"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187</w:t>
            </w:r>
          </w:p>
        </w:tc>
        <w:tc>
          <w:tcPr>
            <w:tcW w:w="1567" w:type="pct"/>
            <w:vMerge w:val="restart"/>
            <w:shd w:val="clear" w:color="auto" w:fill="auto"/>
            <w:vAlign w:val="center"/>
            <w:hideMark/>
          </w:tcPr>
          <w:p w14:paraId="7A8A5709" w14:textId="77777777" w:rsidR="00872A25" w:rsidRPr="008A15B6" w:rsidRDefault="00872A25" w:rsidP="002408E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Procesos ejecutivos</w:t>
            </w:r>
          </w:p>
        </w:tc>
      </w:tr>
      <w:tr w:rsidR="00872A25" w:rsidRPr="008A15B6" w14:paraId="4D3055EC" w14:textId="77777777" w:rsidTr="002408EA">
        <w:trPr>
          <w:trHeight w:val="237"/>
          <w:jc w:val="center"/>
        </w:trPr>
        <w:tc>
          <w:tcPr>
            <w:cnfStyle w:val="001000000000" w:firstRow="0" w:lastRow="0" w:firstColumn="1" w:lastColumn="0" w:oddVBand="0" w:evenVBand="0" w:oddHBand="0" w:evenHBand="0" w:firstRowFirstColumn="0" w:firstRowLastColumn="0" w:lastRowFirstColumn="0" w:lastRowLastColumn="0"/>
            <w:tcW w:w="764" w:type="pct"/>
            <w:vMerge/>
            <w:tcBorders>
              <w:left w:val="none" w:sz="0" w:space="0" w:color="auto"/>
            </w:tcBorders>
            <w:shd w:val="clear" w:color="auto" w:fill="C2D69B" w:themeFill="accent3" w:themeFillTint="99"/>
            <w:vAlign w:val="center"/>
            <w:hideMark/>
          </w:tcPr>
          <w:p w14:paraId="4F5C7A9F" w14:textId="77777777" w:rsidR="00872A25" w:rsidRPr="008A15B6" w:rsidRDefault="00872A25" w:rsidP="002408EA">
            <w:pPr>
              <w:rPr>
                <w:rFonts w:ascii="Century Gothic" w:hAnsi="Century Gothic"/>
                <w:color w:val="auto"/>
                <w:sz w:val="20"/>
                <w:szCs w:val="20"/>
                <w:lang w:val="es-ES"/>
              </w:rPr>
            </w:pPr>
          </w:p>
        </w:tc>
        <w:tc>
          <w:tcPr>
            <w:tcW w:w="754" w:type="pct"/>
            <w:shd w:val="clear" w:color="auto" w:fill="auto"/>
            <w:vAlign w:val="center"/>
            <w:hideMark/>
          </w:tcPr>
          <w:p w14:paraId="29D90645"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06" w:type="pct"/>
            <w:shd w:val="clear" w:color="auto" w:fill="auto"/>
            <w:vAlign w:val="center"/>
            <w:hideMark/>
          </w:tcPr>
          <w:p w14:paraId="05D25D1C"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29</w:t>
            </w:r>
          </w:p>
        </w:tc>
        <w:tc>
          <w:tcPr>
            <w:tcW w:w="471" w:type="pct"/>
            <w:shd w:val="clear" w:color="auto" w:fill="auto"/>
            <w:vAlign w:val="center"/>
            <w:hideMark/>
          </w:tcPr>
          <w:p w14:paraId="724ABF0E"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158</w:t>
            </w:r>
          </w:p>
        </w:tc>
        <w:tc>
          <w:tcPr>
            <w:tcW w:w="407" w:type="pct"/>
            <w:shd w:val="clear" w:color="auto" w:fill="auto"/>
            <w:noWrap/>
            <w:vAlign w:val="center"/>
            <w:hideMark/>
          </w:tcPr>
          <w:p w14:paraId="38906BA8"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26" w:type="pct"/>
            <w:vMerge/>
            <w:vAlign w:val="center"/>
            <w:hideMark/>
          </w:tcPr>
          <w:p w14:paraId="177ED158" w14:textId="77777777" w:rsidR="00872A25" w:rsidRPr="008A15B6" w:rsidRDefault="00872A25" w:rsidP="002408E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c>
          <w:tcPr>
            <w:tcW w:w="1567" w:type="pct"/>
            <w:vMerge/>
            <w:vAlign w:val="center"/>
            <w:hideMark/>
          </w:tcPr>
          <w:p w14:paraId="7731D11E" w14:textId="77777777" w:rsidR="00872A25" w:rsidRPr="008A15B6" w:rsidRDefault="00872A25" w:rsidP="002408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r>
      <w:tr w:rsidR="00872A25" w:rsidRPr="008A15B6" w14:paraId="79EE50E7" w14:textId="77777777" w:rsidTr="002408EA">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2802" w:type="pct"/>
            <w:gridSpan w:val="5"/>
            <w:tcBorders>
              <w:left w:val="none" w:sz="0" w:space="0" w:color="auto"/>
              <w:bottom w:val="none" w:sz="0" w:space="0" w:color="auto"/>
            </w:tcBorders>
            <w:shd w:val="clear" w:color="auto" w:fill="C2D69B" w:themeFill="accent3" w:themeFillTint="99"/>
            <w:vAlign w:val="center"/>
            <w:hideMark/>
          </w:tcPr>
          <w:p w14:paraId="525D1979" w14:textId="77777777" w:rsidR="00872A25" w:rsidRPr="008A15B6" w:rsidRDefault="00872A25" w:rsidP="002408EA">
            <w:pPr>
              <w:rPr>
                <w:rFonts w:ascii="Century Gothic" w:hAnsi="Century Gothic"/>
                <w:color w:val="auto"/>
                <w:sz w:val="20"/>
                <w:szCs w:val="20"/>
                <w:lang w:val="es-ES"/>
              </w:rPr>
            </w:pPr>
            <w:r w:rsidRPr="008A15B6">
              <w:rPr>
                <w:rFonts w:ascii="Century Gothic" w:hAnsi="Century Gothic"/>
                <w:bCs w:val="0"/>
                <w:color w:val="auto"/>
                <w:sz w:val="20"/>
                <w:szCs w:val="20"/>
                <w:lang w:val="es-ES"/>
              </w:rPr>
              <w:t>Valor total pretendido</w:t>
            </w:r>
          </w:p>
        </w:tc>
        <w:tc>
          <w:tcPr>
            <w:tcW w:w="624" w:type="pct"/>
            <w:shd w:val="clear" w:color="auto" w:fill="C2D69B" w:themeFill="accent3" w:themeFillTint="99"/>
            <w:vAlign w:val="center"/>
            <w:hideMark/>
          </w:tcPr>
          <w:p w14:paraId="58A70F85" w14:textId="77777777" w:rsidR="00872A25" w:rsidRPr="008A15B6" w:rsidRDefault="00872A25" w:rsidP="002408E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64.053</w:t>
            </w:r>
          </w:p>
        </w:tc>
        <w:tc>
          <w:tcPr>
            <w:tcW w:w="1569" w:type="pct"/>
            <w:shd w:val="clear" w:color="auto" w:fill="C2D69B" w:themeFill="accent3" w:themeFillTint="99"/>
            <w:vAlign w:val="center"/>
            <w:hideMark/>
          </w:tcPr>
          <w:p w14:paraId="1C0B55FB" w14:textId="77777777" w:rsidR="00872A25" w:rsidRPr="008A15B6" w:rsidRDefault="00872A25" w:rsidP="002408E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r>
    </w:tbl>
    <w:p w14:paraId="46A29C23" w14:textId="77777777" w:rsidR="00872A25" w:rsidRPr="008A15B6" w:rsidRDefault="00872A25" w:rsidP="00872A25">
      <w:pPr>
        <w:spacing w:after="240"/>
        <w:jc w:val="center"/>
        <w:rPr>
          <w:rFonts w:ascii="Century Gothic" w:hAnsi="Century Gothic"/>
          <w:sz w:val="20"/>
          <w:lang w:val="es-ES"/>
        </w:rPr>
      </w:pPr>
      <w:r w:rsidRPr="008A15B6">
        <w:rPr>
          <w:rFonts w:ascii="Century Gothic" w:hAnsi="Century Gothic"/>
          <w:sz w:val="20"/>
          <w:lang w:val="es-ES"/>
        </w:rPr>
        <w:t>Fuente: Oficina Asesora Jurídica, 2018</w:t>
      </w:r>
    </w:p>
    <w:p w14:paraId="43494CA5" w14:textId="77777777" w:rsidR="00872A25" w:rsidRPr="008A15B6" w:rsidRDefault="00872A25" w:rsidP="00872A25">
      <w:pPr>
        <w:spacing w:after="240"/>
        <w:jc w:val="both"/>
        <w:rPr>
          <w:rFonts w:ascii="Century Gothic" w:hAnsi="Century Gothic"/>
          <w:lang w:val="es-ES"/>
        </w:rPr>
      </w:pPr>
      <w:r w:rsidRPr="008A15B6">
        <w:rPr>
          <w:rFonts w:ascii="Century Gothic" w:hAnsi="Century Gothic"/>
          <w:lang w:val="es-ES"/>
        </w:rPr>
        <w:t xml:space="preserve">De los procesos conciliados o con sentencia ejecutoriada en la citada vigencia, se pagaron $770 millones, las pretensiones solicitadas dentro de los procesos pagados ascendieron a $2.770 millones, lo que representa un ahorro del 75,1 por ciento. </w:t>
      </w:r>
    </w:p>
    <w:p w14:paraId="07859600" w14:textId="57A3E29F" w:rsidR="00D73B13" w:rsidRPr="008A15B6" w:rsidRDefault="008A15B6" w:rsidP="00D73B13">
      <w:pPr>
        <w:jc w:val="both"/>
        <w:rPr>
          <w:rFonts w:ascii="Century Gothic" w:hAnsi="Century Gothic"/>
          <w:lang w:val="es-ES"/>
        </w:rPr>
      </w:pPr>
      <w:r w:rsidRPr="008A15B6">
        <w:rPr>
          <w:rFonts w:ascii="Century Gothic" w:hAnsi="Century Gothic"/>
          <w:lang w:val="es-ES"/>
        </w:rPr>
        <w:t>Por otra parte, e</w:t>
      </w:r>
      <w:r w:rsidR="00A241EF" w:rsidRPr="008A15B6">
        <w:rPr>
          <w:rFonts w:ascii="Century Gothic" w:hAnsi="Century Gothic"/>
          <w:lang w:val="es-ES"/>
        </w:rPr>
        <w:t>n</w:t>
      </w:r>
      <w:r w:rsidR="00BD7F1F" w:rsidRPr="008A15B6">
        <w:rPr>
          <w:rFonts w:ascii="Century Gothic" w:hAnsi="Century Gothic"/>
          <w:lang w:val="es-ES"/>
        </w:rPr>
        <w:t xml:space="preserve"> el primer semestre del año 2018</w:t>
      </w:r>
      <w:r w:rsidR="00A241EF" w:rsidRPr="008A15B6">
        <w:rPr>
          <w:rFonts w:ascii="Century Gothic" w:hAnsi="Century Gothic"/>
          <w:lang w:val="es-ES"/>
        </w:rPr>
        <w:t xml:space="preserve"> se enc</w:t>
      </w:r>
      <w:r w:rsidR="00B371D2" w:rsidRPr="008A15B6">
        <w:rPr>
          <w:rFonts w:ascii="Century Gothic" w:hAnsi="Century Gothic"/>
          <w:lang w:val="es-ES"/>
        </w:rPr>
        <w:t>ontró</w:t>
      </w:r>
      <w:r w:rsidR="00A241EF" w:rsidRPr="008A15B6">
        <w:rPr>
          <w:rFonts w:ascii="Century Gothic" w:hAnsi="Century Gothic"/>
          <w:lang w:val="es-ES"/>
        </w:rPr>
        <w:t xml:space="preserve"> que</w:t>
      </w:r>
      <w:r w:rsidR="00B371D2" w:rsidRPr="008A15B6">
        <w:rPr>
          <w:rFonts w:ascii="Century Gothic" w:hAnsi="Century Gothic"/>
          <w:lang w:val="es-ES"/>
        </w:rPr>
        <w:t>,</w:t>
      </w:r>
      <w:r w:rsidR="00A241EF" w:rsidRPr="008A15B6">
        <w:rPr>
          <w:rFonts w:ascii="Century Gothic" w:hAnsi="Century Gothic"/>
          <w:lang w:val="es-ES"/>
        </w:rPr>
        <w:t xml:space="preserve"> el total pretendido dentro de los procesos judiciales fue $</w:t>
      </w:r>
      <w:r w:rsidR="001A3BD2" w:rsidRPr="008A15B6">
        <w:rPr>
          <w:rFonts w:ascii="Century Gothic" w:hAnsi="Century Gothic"/>
          <w:lang w:val="es-ES"/>
        </w:rPr>
        <w:t>61.854 millones, de los cuales $</w:t>
      </w:r>
      <w:r w:rsidR="00A241EF" w:rsidRPr="008A15B6">
        <w:rPr>
          <w:rFonts w:ascii="Century Gothic" w:hAnsi="Century Gothic"/>
          <w:lang w:val="es-ES"/>
        </w:rPr>
        <w:t>2.869</w:t>
      </w:r>
      <w:r w:rsidR="001A3BD2" w:rsidRPr="008A15B6">
        <w:rPr>
          <w:rFonts w:ascii="Century Gothic" w:hAnsi="Century Gothic"/>
          <w:lang w:val="es-ES"/>
        </w:rPr>
        <w:t xml:space="preserve"> millones</w:t>
      </w:r>
      <w:r w:rsidR="00A241EF" w:rsidRPr="008A15B6">
        <w:rPr>
          <w:rFonts w:ascii="Century Gothic" w:hAnsi="Century Gothic"/>
          <w:lang w:val="es-ES"/>
        </w:rPr>
        <w:t xml:space="preserve"> se </w:t>
      </w:r>
      <w:r w:rsidR="00BD7F1F" w:rsidRPr="008A15B6">
        <w:rPr>
          <w:rFonts w:ascii="Century Gothic" w:hAnsi="Century Gothic"/>
          <w:lang w:val="es-ES"/>
        </w:rPr>
        <w:t xml:space="preserve">estimaban </w:t>
      </w:r>
      <w:r w:rsidR="00A241EF" w:rsidRPr="008A15B6">
        <w:rPr>
          <w:rFonts w:ascii="Century Gothic" w:hAnsi="Century Gothic"/>
          <w:lang w:val="es-ES"/>
        </w:rPr>
        <w:t>en n</w:t>
      </w:r>
      <w:r w:rsidR="00BD7F1F" w:rsidRPr="008A15B6">
        <w:rPr>
          <w:rFonts w:ascii="Century Gothic" w:hAnsi="Century Gothic"/>
          <w:lang w:val="es-ES"/>
        </w:rPr>
        <w:t>ivel alto de perdida de demanda</w:t>
      </w:r>
      <w:r w:rsidR="00A241EF" w:rsidRPr="008A15B6">
        <w:rPr>
          <w:rFonts w:ascii="Century Gothic" w:hAnsi="Century Gothic"/>
          <w:lang w:val="es-ES"/>
        </w:rPr>
        <w:t xml:space="preserve"> </w:t>
      </w:r>
      <w:r w:rsidR="00BD7F1F" w:rsidRPr="008A15B6">
        <w:rPr>
          <w:rFonts w:ascii="Century Gothic" w:hAnsi="Century Gothic"/>
          <w:lang w:val="es-ES"/>
        </w:rPr>
        <w:t>(</w:t>
      </w:r>
      <w:r w:rsidR="00A241EF" w:rsidRPr="008A15B6">
        <w:rPr>
          <w:rFonts w:ascii="Century Gothic" w:hAnsi="Century Gothic"/>
          <w:lang w:val="es-ES"/>
        </w:rPr>
        <w:t>46</w:t>
      </w:r>
      <w:r w:rsidR="00BD7F1F" w:rsidRPr="008A15B6">
        <w:rPr>
          <w:rFonts w:ascii="Century Gothic" w:hAnsi="Century Gothic"/>
          <w:lang w:val="es-ES"/>
        </w:rPr>
        <w:t>%)</w:t>
      </w:r>
      <w:r w:rsidR="004F5BDD" w:rsidRPr="008A15B6">
        <w:rPr>
          <w:rFonts w:ascii="Century Gothic" w:hAnsi="Century Gothic"/>
          <w:lang w:val="es-ES"/>
        </w:rPr>
        <w:t>, $</w:t>
      </w:r>
      <w:r w:rsidR="00A241EF" w:rsidRPr="008A15B6">
        <w:rPr>
          <w:rFonts w:ascii="Century Gothic" w:hAnsi="Century Gothic"/>
          <w:lang w:val="es-ES"/>
        </w:rPr>
        <w:t>23.646</w:t>
      </w:r>
      <w:r w:rsidR="001A3BD2" w:rsidRPr="008A15B6">
        <w:rPr>
          <w:rFonts w:ascii="Century Gothic" w:hAnsi="Century Gothic"/>
          <w:lang w:val="es-ES"/>
        </w:rPr>
        <w:t xml:space="preserve"> millones</w:t>
      </w:r>
      <w:r w:rsidR="00BD7F1F" w:rsidRPr="008A15B6">
        <w:rPr>
          <w:rFonts w:ascii="Century Gothic" w:hAnsi="Century Gothic"/>
          <w:lang w:val="es-ES"/>
        </w:rPr>
        <w:t xml:space="preserve"> en nivel medio de la demanda (</w:t>
      </w:r>
      <w:r w:rsidR="00A241EF" w:rsidRPr="008A15B6">
        <w:rPr>
          <w:rFonts w:ascii="Century Gothic" w:hAnsi="Century Gothic"/>
          <w:lang w:val="es-ES"/>
        </w:rPr>
        <w:t>38,2</w:t>
      </w:r>
      <w:r w:rsidR="00BD7F1F" w:rsidRPr="008A15B6">
        <w:rPr>
          <w:rFonts w:ascii="Century Gothic" w:hAnsi="Century Gothic"/>
          <w:lang w:val="es-ES"/>
        </w:rPr>
        <w:t>%)</w:t>
      </w:r>
      <w:r w:rsidR="00B371D2" w:rsidRPr="008A15B6">
        <w:rPr>
          <w:rFonts w:ascii="Century Gothic" w:hAnsi="Century Gothic"/>
          <w:lang w:val="es-ES"/>
        </w:rPr>
        <w:t xml:space="preserve"> y</w:t>
      </w:r>
      <w:r w:rsidR="004F5BDD" w:rsidRPr="008A15B6">
        <w:rPr>
          <w:rFonts w:ascii="Century Gothic" w:hAnsi="Century Gothic"/>
          <w:lang w:val="es-ES"/>
        </w:rPr>
        <w:t xml:space="preserve"> $</w:t>
      </w:r>
      <w:r w:rsidR="00A241EF" w:rsidRPr="008A15B6">
        <w:rPr>
          <w:rFonts w:ascii="Century Gothic" w:hAnsi="Century Gothic"/>
          <w:lang w:val="es-ES"/>
        </w:rPr>
        <w:t>35.338</w:t>
      </w:r>
      <w:r w:rsidR="001A3BD2" w:rsidRPr="008A15B6">
        <w:rPr>
          <w:rFonts w:ascii="Century Gothic" w:hAnsi="Century Gothic"/>
          <w:lang w:val="es-ES"/>
        </w:rPr>
        <w:t xml:space="preserve"> millones</w:t>
      </w:r>
      <w:r w:rsidR="00A241EF" w:rsidRPr="008A15B6">
        <w:rPr>
          <w:rFonts w:ascii="Century Gothic" w:hAnsi="Century Gothic"/>
          <w:lang w:val="es-ES"/>
        </w:rPr>
        <w:t xml:space="preserve"> en nivel bajo de perdida de demandas</w:t>
      </w:r>
      <w:r w:rsidR="001978E4" w:rsidRPr="008A15B6">
        <w:rPr>
          <w:rFonts w:ascii="Century Gothic" w:hAnsi="Century Gothic"/>
          <w:lang w:val="es-ES"/>
        </w:rPr>
        <w:t xml:space="preserve"> (</w:t>
      </w:r>
      <w:r w:rsidR="00A241EF" w:rsidRPr="008A15B6">
        <w:rPr>
          <w:rFonts w:ascii="Century Gothic" w:hAnsi="Century Gothic"/>
          <w:lang w:val="es-ES"/>
        </w:rPr>
        <w:t>57,1</w:t>
      </w:r>
      <w:r w:rsidR="001978E4" w:rsidRPr="008A15B6">
        <w:rPr>
          <w:rFonts w:ascii="Century Gothic" w:hAnsi="Century Gothic"/>
          <w:lang w:val="es-ES"/>
        </w:rPr>
        <w:t>%)</w:t>
      </w:r>
      <w:r w:rsidR="00A241EF" w:rsidRPr="008A15B6">
        <w:rPr>
          <w:rFonts w:ascii="Century Gothic" w:hAnsi="Century Gothic"/>
          <w:lang w:val="es-ES"/>
        </w:rPr>
        <w:t>.</w:t>
      </w:r>
    </w:p>
    <w:p w14:paraId="33201994" w14:textId="3EEBDBFC" w:rsidR="005C2AF3" w:rsidRPr="008A15B6" w:rsidRDefault="005C2AF3" w:rsidP="00D73B13">
      <w:pPr>
        <w:spacing w:after="0"/>
        <w:jc w:val="center"/>
        <w:rPr>
          <w:rFonts w:ascii="Century Gothic" w:hAnsi="Century Gothic"/>
          <w:lang w:val="es-ES"/>
        </w:rPr>
      </w:pPr>
      <w:bookmarkStart w:id="65" w:name="_Toc532566066"/>
      <w:r w:rsidRPr="008A15B6">
        <w:rPr>
          <w:rFonts w:ascii="Century Gothic" w:hAnsi="Century Gothic"/>
          <w:lang w:val="es-ES"/>
        </w:rPr>
        <w:t xml:space="preserve">Gráfica </w:t>
      </w:r>
      <w:r w:rsidRPr="008A15B6">
        <w:rPr>
          <w:rFonts w:ascii="Century Gothic" w:hAnsi="Century Gothic"/>
          <w:lang w:val="es-ES"/>
        </w:rPr>
        <w:fldChar w:fldCharType="begin"/>
      </w:r>
      <w:r w:rsidRPr="008A15B6">
        <w:rPr>
          <w:rFonts w:ascii="Century Gothic" w:hAnsi="Century Gothic"/>
          <w:lang w:val="es-ES"/>
        </w:rPr>
        <w:instrText xml:space="preserve"> SEQ Gráfica \* ARABIC </w:instrText>
      </w:r>
      <w:r w:rsidRPr="008A15B6">
        <w:rPr>
          <w:rFonts w:ascii="Century Gothic" w:hAnsi="Century Gothic"/>
          <w:lang w:val="es-ES"/>
        </w:rPr>
        <w:fldChar w:fldCharType="separate"/>
      </w:r>
      <w:r w:rsidR="004A2E30" w:rsidRPr="008A15B6">
        <w:rPr>
          <w:rFonts w:ascii="Century Gothic" w:hAnsi="Century Gothic"/>
          <w:noProof/>
          <w:lang w:val="es-ES"/>
        </w:rPr>
        <w:t>13</w:t>
      </w:r>
      <w:r w:rsidRPr="008A15B6">
        <w:rPr>
          <w:rFonts w:ascii="Century Gothic" w:hAnsi="Century Gothic"/>
          <w:lang w:val="es-ES"/>
        </w:rPr>
        <w:fldChar w:fldCharType="end"/>
      </w:r>
      <w:r w:rsidRPr="008A15B6">
        <w:rPr>
          <w:rFonts w:ascii="Century Gothic" w:hAnsi="Century Gothic"/>
          <w:lang w:val="es-ES"/>
        </w:rPr>
        <w:t>. Riesgo</w:t>
      </w:r>
      <w:r w:rsidR="00D73B13" w:rsidRPr="008A15B6">
        <w:rPr>
          <w:rFonts w:ascii="Century Gothic" w:hAnsi="Century Gothic"/>
          <w:lang w:val="es-ES"/>
        </w:rPr>
        <w:t xml:space="preserve"> – Cuantía</w:t>
      </w:r>
      <w:r w:rsidRPr="008A15B6">
        <w:rPr>
          <w:rFonts w:ascii="Century Gothic" w:hAnsi="Century Gothic"/>
          <w:lang w:val="es-ES"/>
        </w:rPr>
        <w:t>, junio 2018</w:t>
      </w:r>
      <w:bookmarkEnd w:id="65"/>
    </w:p>
    <w:p w14:paraId="71821183" w14:textId="3D78779D" w:rsidR="005C2AF3" w:rsidRPr="008A15B6" w:rsidRDefault="00D73B13" w:rsidP="005C2AF3">
      <w:pPr>
        <w:spacing w:after="0"/>
        <w:jc w:val="center"/>
        <w:rPr>
          <w:rFonts w:ascii="Century Gothic" w:hAnsi="Century Gothic"/>
          <w:lang w:val="es-ES"/>
        </w:rPr>
      </w:pPr>
      <w:r w:rsidRPr="008A15B6">
        <w:rPr>
          <w:rFonts w:ascii="Century Gothic" w:hAnsi="Century Gothic"/>
          <w:noProof/>
          <w:lang w:val="es-ES" w:eastAsia="es-ES"/>
        </w:rPr>
        <w:drawing>
          <wp:inline distT="0" distB="0" distL="0" distR="0" wp14:anchorId="51919F8B" wp14:editId="14830B6F">
            <wp:extent cx="3566160" cy="1470660"/>
            <wp:effectExtent l="0" t="0" r="0" b="0"/>
            <wp:docPr id="39" name="Gráfico 3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C86EF03-DC14-4A77-A324-D7D429485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08C1DA" w14:textId="25E6CB1F" w:rsidR="005C2AF3" w:rsidRPr="008A15B6" w:rsidRDefault="005C2AF3" w:rsidP="005C2AF3">
      <w:pPr>
        <w:spacing w:after="240"/>
        <w:jc w:val="center"/>
        <w:rPr>
          <w:rFonts w:ascii="Century Gothic" w:hAnsi="Century Gothic"/>
          <w:sz w:val="20"/>
          <w:lang w:val="es-ES"/>
        </w:rPr>
      </w:pPr>
      <w:r w:rsidRPr="008A15B6">
        <w:rPr>
          <w:rFonts w:ascii="Century Gothic" w:hAnsi="Century Gothic"/>
          <w:sz w:val="20"/>
          <w:lang w:val="es-ES"/>
        </w:rPr>
        <w:t>Fuente: Oficina Asesora Jurídica, 2017</w:t>
      </w:r>
    </w:p>
    <w:p w14:paraId="0715461A" w14:textId="562F1515" w:rsidR="008A15B6" w:rsidRPr="008A15B6" w:rsidRDefault="008A15B6" w:rsidP="008A15B6">
      <w:pPr>
        <w:spacing w:after="240"/>
        <w:rPr>
          <w:rFonts w:ascii="Century Gothic" w:hAnsi="Century Gothic"/>
          <w:sz w:val="20"/>
          <w:lang w:val="es-ES"/>
        </w:rPr>
      </w:pPr>
      <w:r w:rsidRPr="008A15B6">
        <w:rPr>
          <w:rFonts w:ascii="Century Gothic" w:hAnsi="Century Gothic"/>
          <w:lang w:val="es-ES"/>
        </w:rPr>
        <w:t>Al mes de junio del año 2018 los procesos judiciales se presentaron así:</w:t>
      </w:r>
    </w:p>
    <w:p w14:paraId="66AFBD0F" w14:textId="76D5D0BC" w:rsidR="00D73B13" w:rsidRPr="008A15B6" w:rsidRDefault="00D73B13" w:rsidP="00D73B13">
      <w:pPr>
        <w:pStyle w:val="Epgrafe"/>
        <w:spacing w:after="0" w:line="276" w:lineRule="auto"/>
        <w:jc w:val="center"/>
        <w:rPr>
          <w:rFonts w:ascii="Century Gothic" w:eastAsia="Century Gothic" w:hAnsi="Century Gothic" w:cs="Century Gothic"/>
          <w:b w:val="0"/>
          <w:color w:val="auto"/>
          <w:sz w:val="22"/>
          <w:szCs w:val="22"/>
          <w:lang w:val="es-ES"/>
        </w:rPr>
      </w:pPr>
      <w:bookmarkStart w:id="66" w:name="_Toc532570522"/>
      <w:r w:rsidRPr="008A15B6">
        <w:rPr>
          <w:rFonts w:ascii="Century Gothic" w:hAnsi="Century Gothic"/>
          <w:b w:val="0"/>
          <w:color w:val="auto"/>
          <w:sz w:val="22"/>
          <w:szCs w:val="22"/>
          <w:lang w:val="es-ES"/>
        </w:rPr>
        <w:lastRenderedPageBreak/>
        <w:t xml:space="preserve">Tabla </w:t>
      </w:r>
      <w:r w:rsidRPr="008A15B6">
        <w:rPr>
          <w:rFonts w:ascii="Century Gothic" w:hAnsi="Century Gothic"/>
          <w:b w:val="0"/>
          <w:color w:val="auto"/>
          <w:sz w:val="22"/>
          <w:szCs w:val="22"/>
          <w:lang w:val="es-ES"/>
        </w:rPr>
        <w:fldChar w:fldCharType="begin"/>
      </w:r>
      <w:r w:rsidRPr="008A15B6">
        <w:rPr>
          <w:rFonts w:ascii="Century Gothic" w:hAnsi="Century Gothic"/>
          <w:b w:val="0"/>
          <w:color w:val="auto"/>
          <w:sz w:val="22"/>
          <w:szCs w:val="22"/>
          <w:lang w:val="es-ES"/>
        </w:rPr>
        <w:instrText xml:space="preserve"> SEQ Tabla \* ARABIC </w:instrText>
      </w:r>
      <w:r w:rsidRPr="008A15B6">
        <w:rPr>
          <w:rFonts w:ascii="Century Gothic" w:hAnsi="Century Gothic"/>
          <w:b w:val="0"/>
          <w:color w:val="auto"/>
          <w:sz w:val="22"/>
          <w:szCs w:val="22"/>
          <w:lang w:val="es-ES"/>
        </w:rPr>
        <w:fldChar w:fldCharType="separate"/>
      </w:r>
      <w:r w:rsidR="00735A58">
        <w:rPr>
          <w:rFonts w:ascii="Century Gothic" w:hAnsi="Century Gothic"/>
          <w:b w:val="0"/>
          <w:noProof/>
          <w:color w:val="auto"/>
          <w:sz w:val="22"/>
          <w:szCs w:val="22"/>
          <w:lang w:val="es-ES"/>
        </w:rPr>
        <w:t>31</w:t>
      </w:r>
      <w:r w:rsidRPr="008A15B6">
        <w:rPr>
          <w:rFonts w:ascii="Century Gothic" w:hAnsi="Century Gothic"/>
          <w:b w:val="0"/>
          <w:color w:val="auto"/>
          <w:sz w:val="22"/>
          <w:szCs w:val="22"/>
          <w:lang w:val="es-ES"/>
        </w:rPr>
        <w:fldChar w:fldCharType="end"/>
      </w:r>
      <w:r w:rsidRPr="008A15B6">
        <w:rPr>
          <w:rFonts w:ascii="Century Gothic" w:hAnsi="Century Gothic"/>
          <w:b w:val="0"/>
          <w:color w:val="auto"/>
          <w:sz w:val="22"/>
          <w:szCs w:val="22"/>
          <w:lang w:val="es-ES"/>
        </w:rPr>
        <w:t>. Procesos judiciales del nivel central, año 2018 (millones de pesos)</w:t>
      </w:r>
      <w:bookmarkEnd w:id="66"/>
    </w:p>
    <w:tbl>
      <w:tblPr>
        <w:tblStyle w:val="Tabladecuadrcula5oscura-nfasis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308"/>
        <w:gridCol w:w="715"/>
        <w:gridCol w:w="833"/>
        <w:gridCol w:w="826"/>
        <w:gridCol w:w="928"/>
        <w:gridCol w:w="2656"/>
      </w:tblGrid>
      <w:tr w:rsidR="004A674F" w:rsidRPr="008A15B6" w14:paraId="34B0C6ED" w14:textId="77777777" w:rsidTr="00D530A5">
        <w:trPr>
          <w:cnfStyle w:val="100000000000" w:firstRow="1" w:lastRow="0" w:firstColumn="0" w:lastColumn="0" w:oddVBand="0" w:evenVBand="0" w:oddHBand="0"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one" w:sz="0" w:space="0" w:color="auto"/>
              <w:left w:val="none" w:sz="0" w:space="0" w:color="auto"/>
              <w:right w:val="none" w:sz="0" w:space="0" w:color="auto"/>
            </w:tcBorders>
            <w:shd w:val="clear" w:color="auto" w:fill="C2D69B" w:themeFill="accent3" w:themeFillTint="99"/>
            <w:vAlign w:val="center"/>
            <w:hideMark/>
          </w:tcPr>
          <w:p w14:paraId="12B13E54" w14:textId="77777777" w:rsidR="004A674F" w:rsidRPr="008A15B6" w:rsidRDefault="004A674F" w:rsidP="004A674F">
            <w:pPr>
              <w:jc w:val="center"/>
              <w:rPr>
                <w:rFonts w:ascii="Century Gothic" w:hAnsi="Century Gothic"/>
                <w:b w:val="0"/>
                <w:bCs w:val="0"/>
                <w:color w:val="auto"/>
                <w:sz w:val="20"/>
                <w:szCs w:val="20"/>
                <w:lang w:val="es-ES"/>
              </w:rPr>
            </w:pPr>
            <w:r w:rsidRPr="008A15B6">
              <w:rPr>
                <w:rFonts w:ascii="Century Gothic" w:hAnsi="Century Gothic"/>
                <w:color w:val="auto"/>
                <w:sz w:val="20"/>
                <w:szCs w:val="20"/>
                <w:lang w:val="es-ES"/>
              </w:rPr>
              <w:t>Riesgo</w:t>
            </w:r>
          </w:p>
        </w:tc>
      </w:tr>
      <w:tr w:rsidR="00CB7639" w:rsidRPr="008A15B6" w14:paraId="3C67AF85" w14:textId="77777777" w:rsidTr="00D530A5">
        <w:trPr>
          <w:cnfStyle w:val="000000100000" w:firstRow="0" w:lastRow="0" w:firstColumn="0" w:lastColumn="0" w:oddVBand="0" w:evenVBand="0" w:oddHBand="1" w:evenHBand="0" w:firstRowFirstColumn="0" w:firstRowLastColumn="0" w:lastRowFirstColumn="0" w:lastRowLastColumn="0"/>
          <w:cantSplit/>
          <w:trHeight w:val="1260"/>
          <w:jc w:val="center"/>
        </w:trPr>
        <w:tc>
          <w:tcPr>
            <w:cnfStyle w:val="001000000000" w:firstRow="0" w:lastRow="0" w:firstColumn="1" w:lastColumn="0" w:oddVBand="0" w:evenVBand="0" w:oddHBand="0" w:evenHBand="0" w:firstRowFirstColumn="0" w:firstRowLastColumn="0" w:lastRowFirstColumn="0" w:lastRowLastColumn="0"/>
            <w:tcW w:w="700" w:type="pct"/>
            <w:tcBorders>
              <w:left w:val="none" w:sz="0" w:space="0" w:color="auto"/>
            </w:tcBorders>
            <w:shd w:val="clear" w:color="auto" w:fill="C2D69B" w:themeFill="accent3" w:themeFillTint="99"/>
            <w:vAlign w:val="center"/>
            <w:hideMark/>
          </w:tcPr>
          <w:p w14:paraId="7CCC4497" w14:textId="77777777" w:rsidR="004A674F" w:rsidRPr="008A15B6" w:rsidRDefault="004A674F" w:rsidP="004A674F">
            <w:pPr>
              <w:jc w:val="center"/>
              <w:rPr>
                <w:rFonts w:ascii="Century Gothic" w:hAnsi="Century Gothic"/>
                <w:b w:val="0"/>
                <w:bCs w:val="0"/>
                <w:color w:val="auto"/>
                <w:sz w:val="20"/>
                <w:szCs w:val="20"/>
                <w:lang w:val="es-ES"/>
              </w:rPr>
            </w:pPr>
            <w:r w:rsidRPr="008A15B6">
              <w:rPr>
                <w:rFonts w:ascii="Century Gothic" w:hAnsi="Century Gothic"/>
                <w:color w:val="auto"/>
                <w:sz w:val="20"/>
                <w:szCs w:val="20"/>
                <w:lang w:val="es-ES"/>
              </w:rPr>
              <w:t>Medio de Control</w:t>
            </w:r>
          </w:p>
        </w:tc>
        <w:tc>
          <w:tcPr>
            <w:tcW w:w="745" w:type="pct"/>
            <w:shd w:val="clear" w:color="auto" w:fill="D6E3BC" w:themeFill="accent3" w:themeFillTint="66"/>
            <w:vAlign w:val="center"/>
            <w:hideMark/>
          </w:tcPr>
          <w:p w14:paraId="43705489" w14:textId="77777777" w:rsidR="004A674F" w:rsidRPr="008A15B6" w:rsidRDefault="004A674F" w:rsidP="004A674F">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No. Total de demandas</w:t>
            </w:r>
          </w:p>
        </w:tc>
        <w:tc>
          <w:tcPr>
            <w:tcW w:w="447" w:type="pct"/>
            <w:shd w:val="clear" w:color="auto" w:fill="D6E3BC" w:themeFill="accent3" w:themeFillTint="66"/>
            <w:vAlign w:val="center"/>
            <w:hideMark/>
          </w:tcPr>
          <w:p w14:paraId="4767D307" w14:textId="77777777" w:rsidR="004A674F" w:rsidRPr="008A15B6" w:rsidRDefault="004A674F" w:rsidP="004A674F">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Alto</w:t>
            </w:r>
          </w:p>
        </w:tc>
        <w:tc>
          <w:tcPr>
            <w:tcW w:w="447" w:type="pct"/>
            <w:shd w:val="clear" w:color="auto" w:fill="D6E3BC" w:themeFill="accent3" w:themeFillTint="66"/>
            <w:vAlign w:val="center"/>
            <w:hideMark/>
          </w:tcPr>
          <w:p w14:paraId="7517836A" w14:textId="77777777" w:rsidR="004A674F" w:rsidRPr="008A15B6" w:rsidRDefault="004A674F" w:rsidP="004A674F">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Medio</w:t>
            </w:r>
          </w:p>
        </w:tc>
        <w:tc>
          <w:tcPr>
            <w:tcW w:w="447" w:type="pct"/>
            <w:shd w:val="clear" w:color="auto" w:fill="D6E3BC" w:themeFill="accent3" w:themeFillTint="66"/>
            <w:vAlign w:val="center"/>
            <w:hideMark/>
          </w:tcPr>
          <w:p w14:paraId="22196B7A" w14:textId="77777777" w:rsidR="004A674F" w:rsidRPr="008A15B6" w:rsidRDefault="004A674F" w:rsidP="004A674F">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Bajo</w:t>
            </w:r>
          </w:p>
        </w:tc>
        <w:tc>
          <w:tcPr>
            <w:tcW w:w="670" w:type="pct"/>
            <w:shd w:val="clear" w:color="auto" w:fill="D6E3BC" w:themeFill="accent3" w:themeFillTint="66"/>
            <w:textDirection w:val="btLr"/>
            <w:vAlign w:val="center"/>
            <w:hideMark/>
          </w:tcPr>
          <w:p w14:paraId="443CE570" w14:textId="77777777" w:rsidR="004A674F" w:rsidRPr="008A15B6" w:rsidRDefault="004A674F" w:rsidP="00D530A5">
            <w:pPr>
              <w:ind w:left="113" w:right="113"/>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Cuantía total por medio de control</w:t>
            </w:r>
          </w:p>
        </w:tc>
        <w:tc>
          <w:tcPr>
            <w:tcW w:w="1545" w:type="pct"/>
            <w:shd w:val="clear" w:color="auto" w:fill="D6E3BC" w:themeFill="accent3" w:themeFillTint="66"/>
            <w:vAlign w:val="center"/>
            <w:hideMark/>
          </w:tcPr>
          <w:p w14:paraId="6F3AC36A" w14:textId="77777777" w:rsidR="004A674F" w:rsidRPr="008A15B6" w:rsidRDefault="004A674F" w:rsidP="004A674F">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Pretensiones</w:t>
            </w:r>
          </w:p>
        </w:tc>
      </w:tr>
      <w:tr w:rsidR="00CB7639" w:rsidRPr="008A15B6" w14:paraId="63F3B84D" w14:textId="77777777" w:rsidTr="00D530A5">
        <w:trPr>
          <w:trHeight w:val="392"/>
          <w:jc w:val="center"/>
        </w:trPr>
        <w:tc>
          <w:tcPr>
            <w:cnfStyle w:val="001000000000" w:firstRow="0" w:lastRow="0" w:firstColumn="1" w:lastColumn="0" w:oddVBand="0" w:evenVBand="0" w:oddHBand="0" w:evenHBand="0" w:firstRowFirstColumn="0" w:firstRowLastColumn="0" w:lastRowFirstColumn="0" w:lastRowLastColumn="0"/>
            <w:tcW w:w="700" w:type="pct"/>
            <w:vMerge w:val="restart"/>
            <w:tcBorders>
              <w:left w:val="none" w:sz="0" w:space="0" w:color="auto"/>
            </w:tcBorders>
            <w:shd w:val="clear" w:color="auto" w:fill="C2D69B" w:themeFill="accent3" w:themeFillTint="99"/>
            <w:vAlign w:val="center"/>
            <w:hideMark/>
          </w:tcPr>
          <w:p w14:paraId="70C55E73" w14:textId="0384F165" w:rsidR="004A674F" w:rsidRPr="008A15B6" w:rsidRDefault="004A674F" w:rsidP="004A674F">
            <w:pPr>
              <w:rPr>
                <w:rFonts w:ascii="Century Gothic" w:hAnsi="Century Gothic"/>
                <w:color w:val="auto"/>
                <w:sz w:val="20"/>
                <w:szCs w:val="20"/>
                <w:lang w:val="es-ES"/>
              </w:rPr>
            </w:pPr>
            <w:r w:rsidRPr="008A15B6">
              <w:rPr>
                <w:rFonts w:ascii="Century Gothic" w:hAnsi="Century Gothic"/>
                <w:color w:val="auto"/>
                <w:sz w:val="20"/>
                <w:szCs w:val="20"/>
                <w:lang w:val="es-ES"/>
              </w:rPr>
              <w:t>Acciones constitucionales</w:t>
            </w:r>
          </w:p>
        </w:tc>
        <w:tc>
          <w:tcPr>
            <w:tcW w:w="745" w:type="pct"/>
            <w:shd w:val="clear" w:color="auto" w:fill="auto"/>
            <w:vAlign w:val="center"/>
            <w:hideMark/>
          </w:tcPr>
          <w:p w14:paraId="5EC55983" w14:textId="3455AAD2" w:rsidR="004A674F" w:rsidRPr="008A15B6" w:rsidRDefault="004A674F" w:rsidP="00CB7639">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19</w:t>
            </w:r>
          </w:p>
        </w:tc>
        <w:tc>
          <w:tcPr>
            <w:tcW w:w="447" w:type="pct"/>
            <w:shd w:val="clear" w:color="auto" w:fill="auto"/>
            <w:vAlign w:val="center"/>
            <w:hideMark/>
          </w:tcPr>
          <w:p w14:paraId="5407DA78" w14:textId="39896E42"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3</w:t>
            </w:r>
          </w:p>
        </w:tc>
        <w:tc>
          <w:tcPr>
            <w:tcW w:w="447" w:type="pct"/>
            <w:shd w:val="clear" w:color="auto" w:fill="auto"/>
            <w:vAlign w:val="center"/>
            <w:hideMark/>
          </w:tcPr>
          <w:p w14:paraId="4C550C4D" w14:textId="04896DE8"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8</w:t>
            </w:r>
          </w:p>
        </w:tc>
        <w:tc>
          <w:tcPr>
            <w:tcW w:w="447" w:type="pct"/>
            <w:shd w:val="clear" w:color="auto" w:fill="auto"/>
            <w:vAlign w:val="center"/>
            <w:hideMark/>
          </w:tcPr>
          <w:p w14:paraId="75C5D696" w14:textId="61407F53"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8</w:t>
            </w:r>
          </w:p>
        </w:tc>
        <w:tc>
          <w:tcPr>
            <w:tcW w:w="670" w:type="pct"/>
            <w:vMerge w:val="restart"/>
            <w:shd w:val="clear" w:color="auto" w:fill="auto"/>
            <w:vAlign w:val="center"/>
            <w:hideMark/>
          </w:tcPr>
          <w:p w14:paraId="41C638EB" w14:textId="729B9008"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34.806</w:t>
            </w:r>
          </w:p>
        </w:tc>
        <w:tc>
          <w:tcPr>
            <w:tcW w:w="1545" w:type="pct"/>
            <w:vMerge w:val="restart"/>
            <w:shd w:val="clear" w:color="auto" w:fill="auto"/>
            <w:vAlign w:val="center"/>
            <w:hideMark/>
          </w:tcPr>
          <w:p w14:paraId="6C8275F2" w14:textId="4AE7DA7A" w:rsidR="004A674F" w:rsidRPr="008A15B6" w:rsidRDefault="004A674F" w:rsidP="004A674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Realizar construcciones, servicios públicos, cierre de escombreras o cantera</w:t>
            </w:r>
          </w:p>
        </w:tc>
      </w:tr>
      <w:tr w:rsidR="00CB7639" w:rsidRPr="008A15B6" w14:paraId="5C0B8CDD" w14:textId="77777777" w:rsidTr="00D530A5">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700" w:type="pct"/>
            <w:vMerge/>
            <w:tcBorders>
              <w:left w:val="none" w:sz="0" w:space="0" w:color="auto"/>
            </w:tcBorders>
            <w:shd w:val="clear" w:color="auto" w:fill="C2D69B" w:themeFill="accent3" w:themeFillTint="99"/>
            <w:vAlign w:val="center"/>
            <w:hideMark/>
          </w:tcPr>
          <w:p w14:paraId="17F257B0" w14:textId="77777777" w:rsidR="004A674F" w:rsidRPr="008A15B6" w:rsidRDefault="004A674F" w:rsidP="004A674F">
            <w:pPr>
              <w:rPr>
                <w:rFonts w:ascii="Century Gothic" w:hAnsi="Century Gothic"/>
                <w:color w:val="auto"/>
                <w:sz w:val="20"/>
                <w:szCs w:val="20"/>
                <w:lang w:val="es-ES"/>
              </w:rPr>
            </w:pPr>
          </w:p>
        </w:tc>
        <w:tc>
          <w:tcPr>
            <w:tcW w:w="745" w:type="pct"/>
            <w:shd w:val="clear" w:color="auto" w:fill="auto"/>
            <w:vAlign w:val="center"/>
            <w:hideMark/>
          </w:tcPr>
          <w:p w14:paraId="471ABC20" w14:textId="77777777" w:rsidR="004A674F" w:rsidRPr="008A15B6" w:rsidRDefault="004A674F" w:rsidP="00CB7639">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47" w:type="pct"/>
            <w:shd w:val="clear" w:color="auto" w:fill="auto"/>
            <w:vAlign w:val="center"/>
            <w:hideMark/>
          </w:tcPr>
          <w:p w14:paraId="67AFF283" w14:textId="7EF8D993"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73</w:t>
            </w:r>
          </w:p>
        </w:tc>
        <w:tc>
          <w:tcPr>
            <w:tcW w:w="447" w:type="pct"/>
            <w:shd w:val="clear" w:color="auto" w:fill="auto"/>
            <w:noWrap/>
            <w:vAlign w:val="center"/>
            <w:hideMark/>
          </w:tcPr>
          <w:p w14:paraId="63F77217" w14:textId="796DE443"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7.439</w:t>
            </w:r>
          </w:p>
        </w:tc>
        <w:tc>
          <w:tcPr>
            <w:tcW w:w="447" w:type="pct"/>
            <w:shd w:val="clear" w:color="auto" w:fill="auto"/>
            <w:noWrap/>
            <w:vAlign w:val="center"/>
            <w:hideMark/>
          </w:tcPr>
          <w:p w14:paraId="26E0C8C7" w14:textId="73B4DF5D"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27.292</w:t>
            </w:r>
          </w:p>
        </w:tc>
        <w:tc>
          <w:tcPr>
            <w:tcW w:w="670" w:type="pct"/>
            <w:vMerge/>
            <w:shd w:val="clear" w:color="auto" w:fill="auto"/>
            <w:vAlign w:val="center"/>
            <w:hideMark/>
          </w:tcPr>
          <w:p w14:paraId="18834DC4" w14:textId="77777777"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c>
          <w:tcPr>
            <w:tcW w:w="1545" w:type="pct"/>
            <w:vMerge/>
            <w:shd w:val="clear" w:color="auto" w:fill="auto"/>
            <w:vAlign w:val="center"/>
            <w:hideMark/>
          </w:tcPr>
          <w:p w14:paraId="004B1905" w14:textId="77777777" w:rsidR="004A674F" w:rsidRPr="008A15B6" w:rsidRDefault="004A674F" w:rsidP="004A674F">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r>
      <w:tr w:rsidR="00CB7639" w:rsidRPr="008A15B6" w14:paraId="2110A2EB" w14:textId="77777777" w:rsidTr="00D530A5">
        <w:trPr>
          <w:trHeight w:val="729"/>
          <w:jc w:val="center"/>
        </w:trPr>
        <w:tc>
          <w:tcPr>
            <w:cnfStyle w:val="001000000000" w:firstRow="0" w:lastRow="0" w:firstColumn="1" w:lastColumn="0" w:oddVBand="0" w:evenVBand="0" w:oddHBand="0" w:evenHBand="0" w:firstRowFirstColumn="0" w:firstRowLastColumn="0" w:lastRowFirstColumn="0" w:lastRowLastColumn="0"/>
            <w:tcW w:w="700" w:type="pct"/>
            <w:vMerge w:val="restart"/>
            <w:tcBorders>
              <w:left w:val="none" w:sz="0" w:space="0" w:color="auto"/>
            </w:tcBorders>
            <w:shd w:val="clear" w:color="auto" w:fill="C2D69B" w:themeFill="accent3" w:themeFillTint="99"/>
            <w:vAlign w:val="center"/>
            <w:hideMark/>
          </w:tcPr>
          <w:p w14:paraId="4227CF08" w14:textId="04A1E011" w:rsidR="004A674F" w:rsidRPr="008A15B6" w:rsidRDefault="004A674F" w:rsidP="00D530A5">
            <w:pPr>
              <w:rPr>
                <w:rFonts w:ascii="Century Gothic" w:hAnsi="Century Gothic"/>
                <w:color w:val="auto"/>
                <w:sz w:val="20"/>
                <w:szCs w:val="20"/>
                <w:lang w:val="es-ES"/>
              </w:rPr>
            </w:pPr>
            <w:r w:rsidRPr="008A15B6">
              <w:rPr>
                <w:rFonts w:ascii="Century Gothic" w:hAnsi="Century Gothic"/>
                <w:color w:val="auto"/>
                <w:sz w:val="20"/>
                <w:szCs w:val="20"/>
                <w:lang w:val="es-ES"/>
              </w:rPr>
              <w:t>Demandas administrativas</w:t>
            </w:r>
          </w:p>
        </w:tc>
        <w:tc>
          <w:tcPr>
            <w:tcW w:w="745" w:type="pct"/>
            <w:shd w:val="clear" w:color="auto" w:fill="auto"/>
            <w:vAlign w:val="center"/>
            <w:hideMark/>
          </w:tcPr>
          <w:p w14:paraId="0C3E387B" w14:textId="1453C2BC" w:rsidR="004A674F" w:rsidRPr="008A15B6" w:rsidRDefault="004A674F" w:rsidP="00CB7639">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155</w:t>
            </w:r>
          </w:p>
        </w:tc>
        <w:tc>
          <w:tcPr>
            <w:tcW w:w="447" w:type="pct"/>
            <w:shd w:val="clear" w:color="auto" w:fill="auto"/>
            <w:vAlign w:val="center"/>
            <w:hideMark/>
          </w:tcPr>
          <w:p w14:paraId="4A09809A" w14:textId="17598D3B"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22</w:t>
            </w:r>
          </w:p>
        </w:tc>
        <w:tc>
          <w:tcPr>
            <w:tcW w:w="447" w:type="pct"/>
            <w:shd w:val="clear" w:color="auto" w:fill="auto"/>
            <w:noWrap/>
            <w:vAlign w:val="center"/>
            <w:hideMark/>
          </w:tcPr>
          <w:p w14:paraId="69977D71" w14:textId="499716F0"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75</w:t>
            </w:r>
          </w:p>
        </w:tc>
        <w:tc>
          <w:tcPr>
            <w:tcW w:w="447" w:type="pct"/>
            <w:shd w:val="clear" w:color="auto" w:fill="auto"/>
            <w:vAlign w:val="center"/>
            <w:hideMark/>
          </w:tcPr>
          <w:p w14:paraId="73B44EA9" w14:textId="77A85178"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58</w:t>
            </w:r>
          </w:p>
        </w:tc>
        <w:tc>
          <w:tcPr>
            <w:tcW w:w="670" w:type="pct"/>
            <w:vMerge w:val="restart"/>
            <w:shd w:val="clear" w:color="auto" w:fill="auto"/>
            <w:noWrap/>
            <w:vAlign w:val="center"/>
            <w:hideMark/>
          </w:tcPr>
          <w:p w14:paraId="673A97D6" w14:textId="7075FB0D"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26.443</w:t>
            </w:r>
          </w:p>
        </w:tc>
        <w:tc>
          <w:tcPr>
            <w:tcW w:w="1545" w:type="pct"/>
            <w:vMerge w:val="restart"/>
            <w:shd w:val="clear" w:color="auto" w:fill="auto"/>
            <w:vAlign w:val="center"/>
            <w:hideMark/>
          </w:tcPr>
          <w:p w14:paraId="4DDFE2E7" w14:textId="298940AF" w:rsidR="004A674F" w:rsidRPr="008A15B6" w:rsidRDefault="004A674F" w:rsidP="004A674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Nulidad de actos administrativos, pago de perjuicios caudados, insubsistencia de cargos, daño o perdida de vehículos, daños causados en o por obra pública, perjuicios por omisión o actuar de la administración municipal</w:t>
            </w:r>
          </w:p>
        </w:tc>
      </w:tr>
      <w:tr w:rsidR="00CB7639" w:rsidRPr="008A15B6" w14:paraId="2BB57B59" w14:textId="77777777" w:rsidTr="00D530A5">
        <w:trPr>
          <w:cnfStyle w:val="000000100000" w:firstRow="0" w:lastRow="0" w:firstColumn="0" w:lastColumn="0" w:oddVBand="0" w:evenVBand="0" w:oddHBand="1" w:evenHBand="0" w:firstRowFirstColumn="0" w:firstRowLastColumn="0" w:lastRowFirstColumn="0" w:lastRowLastColumn="0"/>
          <w:trHeight w:val="688"/>
          <w:jc w:val="center"/>
        </w:trPr>
        <w:tc>
          <w:tcPr>
            <w:cnfStyle w:val="001000000000" w:firstRow="0" w:lastRow="0" w:firstColumn="1" w:lastColumn="0" w:oddVBand="0" w:evenVBand="0" w:oddHBand="0" w:evenHBand="0" w:firstRowFirstColumn="0" w:firstRowLastColumn="0" w:lastRowFirstColumn="0" w:lastRowLastColumn="0"/>
            <w:tcW w:w="700" w:type="pct"/>
            <w:vMerge/>
            <w:tcBorders>
              <w:left w:val="none" w:sz="0" w:space="0" w:color="auto"/>
            </w:tcBorders>
            <w:shd w:val="clear" w:color="auto" w:fill="C2D69B" w:themeFill="accent3" w:themeFillTint="99"/>
            <w:vAlign w:val="center"/>
            <w:hideMark/>
          </w:tcPr>
          <w:p w14:paraId="1646D389" w14:textId="77777777" w:rsidR="004A674F" w:rsidRPr="008A15B6" w:rsidRDefault="004A674F" w:rsidP="004A674F">
            <w:pPr>
              <w:rPr>
                <w:rFonts w:ascii="Century Gothic" w:hAnsi="Century Gothic"/>
                <w:color w:val="auto"/>
                <w:sz w:val="20"/>
                <w:szCs w:val="20"/>
                <w:lang w:val="es-ES"/>
              </w:rPr>
            </w:pPr>
          </w:p>
        </w:tc>
        <w:tc>
          <w:tcPr>
            <w:tcW w:w="745" w:type="pct"/>
            <w:shd w:val="clear" w:color="auto" w:fill="auto"/>
            <w:vAlign w:val="center"/>
            <w:hideMark/>
          </w:tcPr>
          <w:p w14:paraId="362DF128" w14:textId="77777777" w:rsidR="004A674F" w:rsidRPr="008A15B6" w:rsidRDefault="004A674F" w:rsidP="00CB7639">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47" w:type="pct"/>
            <w:shd w:val="clear" w:color="auto" w:fill="auto"/>
            <w:vAlign w:val="center"/>
            <w:hideMark/>
          </w:tcPr>
          <w:p w14:paraId="1B8962D3" w14:textId="18684CC4"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2.747</w:t>
            </w:r>
          </w:p>
        </w:tc>
        <w:tc>
          <w:tcPr>
            <w:tcW w:w="447" w:type="pct"/>
            <w:shd w:val="clear" w:color="auto" w:fill="auto"/>
            <w:vAlign w:val="center"/>
            <w:hideMark/>
          </w:tcPr>
          <w:p w14:paraId="00A10396" w14:textId="1A344BAE"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15.649</w:t>
            </w:r>
          </w:p>
        </w:tc>
        <w:tc>
          <w:tcPr>
            <w:tcW w:w="447" w:type="pct"/>
            <w:shd w:val="clear" w:color="auto" w:fill="auto"/>
            <w:noWrap/>
            <w:vAlign w:val="center"/>
            <w:hideMark/>
          </w:tcPr>
          <w:p w14:paraId="3C13372F" w14:textId="618CCEE1"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8.046</w:t>
            </w:r>
          </w:p>
        </w:tc>
        <w:tc>
          <w:tcPr>
            <w:tcW w:w="670" w:type="pct"/>
            <w:vMerge/>
            <w:shd w:val="clear" w:color="auto" w:fill="auto"/>
            <w:vAlign w:val="center"/>
            <w:hideMark/>
          </w:tcPr>
          <w:p w14:paraId="4838C790" w14:textId="77777777"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c>
          <w:tcPr>
            <w:tcW w:w="1545" w:type="pct"/>
            <w:vMerge/>
            <w:shd w:val="clear" w:color="auto" w:fill="auto"/>
            <w:vAlign w:val="center"/>
            <w:hideMark/>
          </w:tcPr>
          <w:p w14:paraId="454CBB2D" w14:textId="77777777" w:rsidR="004A674F" w:rsidRPr="008A15B6" w:rsidRDefault="004A674F" w:rsidP="004A674F">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r>
      <w:tr w:rsidR="00CB7639" w:rsidRPr="008A15B6" w14:paraId="2405B88A" w14:textId="77777777" w:rsidTr="00D530A5">
        <w:trPr>
          <w:trHeight w:val="92"/>
          <w:jc w:val="center"/>
        </w:trPr>
        <w:tc>
          <w:tcPr>
            <w:cnfStyle w:val="001000000000" w:firstRow="0" w:lastRow="0" w:firstColumn="1" w:lastColumn="0" w:oddVBand="0" w:evenVBand="0" w:oddHBand="0" w:evenHBand="0" w:firstRowFirstColumn="0" w:firstRowLastColumn="0" w:lastRowFirstColumn="0" w:lastRowLastColumn="0"/>
            <w:tcW w:w="700" w:type="pct"/>
            <w:vMerge w:val="restart"/>
            <w:tcBorders>
              <w:left w:val="none" w:sz="0" w:space="0" w:color="auto"/>
            </w:tcBorders>
            <w:shd w:val="clear" w:color="auto" w:fill="C2D69B" w:themeFill="accent3" w:themeFillTint="99"/>
            <w:vAlign w:val="center"/>
            <w:hideMark/>
          </w:tcPr>
          <w:p w14:paraId="6C49E28A" w14:textId="77777777" w:rsidR="004A674F" w:rsidRPr="008A15B6" w:rsidRDefault="004A674F" w:rsidP="004A674F">
            <w:pPr>
              <w:rPr>
                <w:rFonts w:ascii="Century Gothic" w:hAnsi="Century Gothic"/>
                <w:color w:val="auto"/>
                <w:sz w:val="20"/>
                <w:szCs w:val="20"/>
                <w:lang w:val="es-ES"/>
              </w:rPr>
            </w:pPr>
            <w:r w:rsidRPr="008A15B6">
              <w:rPr>
                <w:rFonts w:ascii="Century Gothic" w:hAnsi="Century Gothic"/>
                <w:color w:val="auto"/>
                <w:sz w:val="20"/>
                <w:szCs w:val="20"/>
                <w:lang w:val="es-ES"/>
              </w:rPr>
              <w:t>Demandas laborales</w:t>
            </w:r>
          </w:p>
        </w:tc>
        <w:tc>
          <w:tcPr>
            <w:tcW w:w="745" w:type="pct"/>
            <w:shd w:val="clear" w:color="auto" w:fill="auto"/>
            <w:vAlign w:val="center"/>
            <w:hideMark/>
          </w:tcPr>
          <w:p w14:paraId="6984C6D6" w14:textId="0472938D" w:rsidR="004A674F" w:rsidRPr="008A15B6" w:rsidRDefault="004A674F" w:rsidP="00CB7639">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8</w:t>
            </w:r>
          </w:p>
        </w:tc>
        <w:tc>
          <w:tcPr>
            <w:tcW w:w="447" w:type="pct"/>
            <w:shd w:val="clear" w:color="auto" w:fill="auto"/>
            <w:vAlign w:val="center"/>
            <w:hideMark/>
          </w:tcPr>
          <w:p w14:paraId="25CCDF94" w14:textId="3F76FBE7"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1</w:t>
            </w:r>
          </w:p>
        </w:tc>
        <w:tc>
          <w:tcPr>
            <w:tcW w:w="447" w:type="pct"/>
            <w:shd w:val="clear" w:color="auto" w:fill="auto"/>
            <w:vAlign w:val="center"/>
            <w:hideMark/>
          </w:tcPr>
          <w:p w14:paraId="3FA9F074" w14:textId="7913E367"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7</w:t>
            </w:r>
          </w:p>
        </w:tc>
        <w:tc>
          <w:tcPr>
            <w:tcW w:w="447" w:type="pct"/>
            <w:shd w:val="clear" w:color="auto" w:fill="auto"/>
            <w:vAlign w:val="center"/>
            <w:hideMark/>
          </w:tcPr>
          <w:p w14:paraId="757A7B1D" w14:textId="47ABC494"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70" w:type="pct"/>
            <w:vMerge w:val="restart"/>
            <w:shd w:val="clear" w:color="auto" w:fill="auto"/>
            <w:noWrap/>
            <w:vAlign w:val="center"/>
            <w:hideMark/>
          </w:tcPr>
          <w:p w14:paraId="76D1F3BB" w14:textId="70E34000" w:rsidR="004A674F" w:rsidRPr="008A15B6" w:rsidRDefault="00A17D7A" w:rsidP="00154101">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60</w:t>
            </w:r>
            <w:r w:rsidR="00154101">
              <w:rPr>
                <w:rFonts w:ascii="Century Gothic" w:hAnsi="Century Gothic"/>
                <w:sz w:val="20"/>
                <w:szCs w:val="20"/>
                <w:lang w:val="es-ES"/>
              </w:rPr>
              <w:t>5</w:t>
            </w:r>
          </w:p>
        </w:tc>
        <w:tc>
          <w:tcPr>
            <w:tcW w:w="1545" w:type="pct"/>
            <w:vMerge w:val="restart"/>
            <w:shd w:val="clear" w:color="auto" w:fill="auto"/>
            <w:vAlign w:val="center"/>
            <w:hideMark/>
          </w:tcPr>
          <w:p w14:paraId="6F8031DC" w14:textId="0BB1FE14" w:rsidR="004A674F" w:rsidRPr="008A15B6" w:rsidRDefault="00A17D7A" w:rsidP="004A674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Declaración de contrato realidad, pago de prestaciones sociales.</w:t>
            </w:r>
          </w:p>
        </w:tc>
      </w:tr>
      <w:tr w:rsidR="00CB7639" w:rsidRPr="008A15B6" w14:paraId="2A379C70" w14:textId="77777777" w:rsidTr="00D530A5">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700" w:type="pct"/>
            <w:vMerge/>
            <w:tcBorders>
              <w:left w:val="none" w:sz="0" w:space="0" w:color="auto"/>
            </w:tcBorders>
            <w:shd w:val="clear" w:color="auto" w:fill="C2D69B" w:themeFill="accent3" w:themeFillTint="99"/>
            <w:vAlign w:val="center"/>
            <w:hideMark/>
          </w:tcPr>
          <w:p w14:paraId="0A85441A" w14:textId="77777777" w:rsidR="00A17D7A" w:rsidRPr="008A15B6" w:rsidRDefault="00A17D7A" w:rsidP="004A674F">
            <w:pPr>
              <w:rPr>
                <w:rFonts w:ascii="Century Gothic" w:hAnsi="Century Gothic"/>
                <w:color w:val="auto"/>
                <w:sz w:val="20"/>
                <w:szCs w:val="20"/>
                <w:lang w:val="es-ES"/>
              </w:rPr>
            </w:pPr>
          </w:p>
        </w:tc>
        <w:tc>
          <w:tcPr>
            <w:tcW w:w="745" w:type="pct"/>
            <w:shd w:val="clear" w:color="auto" w:fill="auto"/>
            <w:vAlign w:val="center"/>
            <w:hideMark/>
          </w:tcPr>
          <w:p w14:paraId="3592553D" w14:textId="77777777" w:rsidR="00A17D7A" w:rsidRPr="008A15B6" w:rsidRDefault="00A17D7A" w:rsidP="00CB7639">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47" w:type="pct"/>
            <w:shd w:val="clear" w:color="auto" w:fill="auto"/>
            <w:vAlign w:val="center"/>
            <w:hideMark/>
          </w:tcPr>
          <w:p w14:paraId="49DCDD0D" w14:textId="1257AB68" w:rsidR="00A17D7A" w:rsidRPr="008A15B6" w:rsidRDefault="00A17D7A"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 xml:space="preserve"> 48</w:t>
            </w:r>
          </w:p>
        </w:tc>
        <w:tc>
          <w:tcPr>
            <w:tcW w:w="447" w:type="pct"/>
            <w:shd w:val="clear" w:color="auto" w:fill="auto"/>
            <w:vAlign w:val="center"/>
            <w:hideMark/>
          </w:tcPr>
          <w:p w14:paraId="39191809" w14:textId="5C169FD8" w:rsidR="00A17D7A" w:rsidRPr="008A15B6" w:rsidRDefault="00A17D7A"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556</w:t>
            </w:r>
          </w:p>
        </w:tc>
        <w:tc>
          <w:tcPr>
            <w:tcW w:w="447" w:type="pct"/>
            <w:shd w:val="clear" w:color="auto" w:fill="auto"/>
            <w:vAlign w:val="center"/>
            <w:hideMark/>
          </w:tcPr>
          <w:p w14:paraId="12BBE2B8" w14:textId="57AA8171" w:rsidR="00A17D7A" w:rsidRPr="008A15B6" w:rsidRDefault="00A17D7A"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70" w:type="pct"/>
            <w:vMerge/>
            <w:shd w:val="clear" w:color="auto" w:fill="auto"/>
            <w:vAlign w:val="center"/>
            <w:hideMark/>
          </w:tcPr>
          <w:p w14:paraId="4CF57154" w14:textId="77777777" w:rsidR="00A17D7A" w:rsidRPr="008A15B6" w:rsidRDefault="00A17D7A"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c>
          <w:tcPr>
            <w:tcW w:w="1545" w:type="pct"/>
            <w:vMerge/>
            <w:shd w:val="clear" w:color="auto" w:fill="auto"/>
            <w:vAlign w:val="center"/>
            <w:hideMark/>
          </w:tcPr>
          <w:p w14:paraId="7F097E1A" w14:textId="77777777" w:rsidR="00A17D7A" w:rsidRPr="008A15B6" w:rsidRDefault="00A17D7A" w:rsidP="004A674F">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r>
      <w:tr w:rsidR="00CB7639" w:rsidRPr="008A15B6" w14:paraId="6F8E663B" w14:textId="77777777" w:rsidTr="00D530A5">
        <w:trPr>
          <w:trHeight w:val="223"/>
          <w:jc w:val="center"/>
        </w:trPr>
        <w:tc>
          <w:tcPr>
            <w:cnfStyle w:val="001000000000" w:firstRow="0" w:lastRow="0" w:firstColumn="1" w:lastColumn="0" w:oddVBand="0" w:evenVBand="0" w:oddHBand="0" w:evenHBand="0" w:firstRowFirstColumn="0" w:firstRowLastColumn="0" w:lastRowFirstColumn="0" w:lastRowLastColumn="0"/>
            <w:tcW w:w="700" w:type="pct"/>
            <w:vMerge w:val="restart"/>
            <w:tcBorders>
              <w:left w:val="none" w:sz="0" w:space="0" w:color="auto"/>
            </w:tcBorders>
            <w:shd w:val="clear" w:color="auto" w:fill="C2D69B" w:themeFill="accent3" w:themeFillTint="99"/>
            <w:vAlign w:val="center"/>
            <w:hideMark/>
          </w:tcPr>
          <w:p w14:paraId="32794B3B" w14:textId="77777777" w:rsidR="004A674F" w:rsidRPr="008A15B6" w:rsidRDefault="004A674F" w:rsidP="004A674F">
            <w:pPr>
              <w:rPr>
                <w:rFonts w:ascii="Century Gothic" w:hAnsi="Century Gothic"/>
                <w:color w:val="auto"/>
                <w:sz w:val="20"/>
                <w:szCs w:val="20"/>
                <w:lang w:val="es-ES"/>
              </w:rPr>
            </w:pPr>
            <w:r w:rsidRPr="008A15B6">
              <w:rPr>
                <w:rFonts w:ascii="Century Gothic" w:hAnsi="Century Gothic"/>
                <w:color w:val="auto"/>
                <w:sz w:val="20"/>
                <w:szCs w:val="20"/>
                <w:lang w:val="es-ES"/>
              </w:rPr>
              <w:t>Otras</w:t>
            </w:r>
          </w:p>
        </w:tc>
        <w:tc>
          <w:tcPr>
            <w:tcW w:w="745" w:type="pct"/>
            <w:shd w:val="clear" w:color="auto" w:fill="auto"/>
            <w:vAlign w:val="center"/>
            <w:hideMark/>
          </w:tcPr>
          <w:p w14:paraId="7247E867" w14:textId="5D3EE651" w:rsidR="004A674F" w:rsidRPr="008A15B6" w:rsidRDefault="00A17D7A" w:rsidP="00CB7639">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447" w:type="pct"/>
            <w:shd w:val="clear" w:color="auto" w:fill="auto"/>
            <w:vAlign w:val="center"/>
            <w:hideMark/>
          </w:tcPr>
          <w:p w14:paraId="4BABACAE" w14:textId="68E3C1A2" w:rsidR="004A674F" w:rsidRPr="008A15B6" w:rsidRDefault="00A17D7A"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447" w:type="pct"/>
            <w:shd w:val="clear" w:color="auto" w:fill="auto"/>
            <w:vAlign w:val="center"/>
            <w:hideMark/>
          </w:tcPr>
          <w:p w14:paraId="140C7365" w14:textId="7ADE7385" w:rsidR="004A674F" w:rsidRPr="008A15B6" w:rsidRDefault="00A17D7A"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447" w:type="pct"/>
            <w:shd w:val="clear" w:color="auto" w:fill="auto"/>
            <w:vAlign w:val="center"/>
            <w:hideMark/>
          </w:tcPr>
          <w:p w14:paraId="3CB3978C" w14:textId="77777777" w:rsidR="004A674F" w:rsidRPr="008A15B6" w:rsidRDefault="004A674F"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70" w:type="pct"/>
            <w:vMerge w:val="restart"/>
            <w:shd w:val="clear" w:color="auto" w:fill="auto"/>
            <w:noWrap/>
            <w:vAlign w:val="center"/>
            <w:hideMark/>
          </w:tcPr>
          <w:p w14:paraId="50C9B5FE" w14:textId="2D4CADFA" w:rsidR="004A674F" w:rsidRPr="008A15B6" w:rsidRDefault="00A17D7A" w:rsidP="00CB7639">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1545" w:type="pct"/>
            <w:vMerge w:val="restart"/>
            <w:shd w:val="clear" w:color="auto" w:fill="auto"/>
            <w:vAlign w:val="center"/>
            <w:hideMark/>
          </w:tcPr>
          <w:p w14:paraId="6557ACD5" w14:textId="71BB283C" w:rsidR="004A674F" w:rsidRPr="008A15B6" w:rsidRDefault="004A674F" w:rsidP="004A674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r>
      <w:tr w:rsidR="00CB7639" w:rsidRPr="008A15B6" w14:paraId="154478C6" w14:textId="77777777" w:rsidTr="00D530A5">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700" w:type="pct"/>
            <w:vMerge/>
            <w:tcBorders>
              <w:left w:val="none" w:sz="0" w:space="0" w:color="auto"/>
            </w:tcBorders>
            <w:shd w:val="clear" w:color="auto" w:fill="C2D69B" w:themeFill="accent3" w:themeFillTint="99"/>
            <w:vAlign w:val="center"/>
            <w:hideMark/>
          </w:tcPr>
          <w:p w14:paraId="44F4D321" w14:textId="77777777" w:rsidR="004A674F" w:rsidRPr="008A15B6" w:rsidRDefault="004A674F" w:rsidP="004A674F">
            <w:pPr>
              <w:rPr>
                <w:rFonts w:ascii="Century Gothic" w:hAnsi="Century Gothic"/>
                <w:color w:val="auto"/>
                <w:sz w:val="20"/>
                <w:szCs w:val="20"/>
                <w:lang w:val="es-ES"/>
              </w:rPr>
            </w:pPr>
          </w:p>
        </w:tc>
        <w:tc>
          <w:tcPr>
            <w:tcW w:w="745" w:type="pct"/>
            <w:shd w:val="clear" w:color="auto" w:fill="auto"/>
            <w:vAlign w:val="center"/>
            <w:hideMark/>
          </w:tcPr>
          <w:p w14:paraId="7F546FD4" w14:textId="77777777" w:rsidR="004A674F" w:rsidRPr="008A15B6" w:rsidRDefault="004A674F" w:rsidP="00CB7639">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Valor pretendido</w:t>
            </w:r>
          </w:p>
        </w:tc>
        <w:tc>
          <w:tcPr>
            <w:tcW w:w="447" w:type="pct"/>
            <w:shd w:val="clear" w:color="auto" w:fill="auto"/>
            <w:vAlign w:val="center"/>
            <w:hideMark/>
          </w:tcPr>
          <w:p w14:paraId="655305DC" w14:textId="58EC4D38" w:rsidR="004A674F" w:rsidRPr="008A15B6" w:rsidRDefault="00A17D7A"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447" w:type="pct"/>
            <w:shd w:val="clear" w:color="auto" w:fill="auto"/>
            <w:vAlign w:val="center"/>
            <w:hideMark/>
          </w:tcPr>
          <w:p w14:paraId="3D14ADB3" w14:textId="7AA8D32A" w:rsidR="004A674F" w:rsidRPr="008A15B6" w:rsidRDefault="00A17D7A"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447" w:type="pct"/>
            <w:shd w:val="clear" w:color="auto" w:fill="auto"/>
            <w:noWrap/>
            <w:vAlign w:val="center"/>
            <w:hideMark/>
          </w:tcPr>
          <w:p w14:paraId="5D5891A1" w14:textId="77777777"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r w:rsidRPr="008A15B6">
              <w:rPr>
                <w:rFonts w:ascii="Century Gothic" w:hAnsi="Century Gothic"/>
                <w:sz w:val="20"/>
                <w:szCs w:val="20"/>
                <w:lang w:val="es-ES"/>
              </w:rPr>
              <w:t>0</w:t>
            </w:r>
          </w:p>
        </w:tc>
        <w:tc>
          <w:tcPr>
            <w:tcW w:w="670" w:type="pct"/>
            <w:vMerge/>
            <w:vAlign w:val="center"/>
            <w:hideMark/>
          </w:tcPr>
          <w:p w14:paraId="29D7B305" w14:textId="77777777" w:rsidR="004A674F" w:rsidRPr="008A15B6" w:rsidRDefault="004A674F" w:rsidP="00CB7639">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c>
          <w:tcPr>
            <w:tcW w:w="1545" w:type="pct"/>
            <w:vMerge/>
            <w:vAlign w:val="center"/>
            <w:hideMark/>
          </w:tcPr>
          <w:p w14:paraId="52FB7F03" w14:textId="77777777" w:rsidR="004A674F" w:rsidRPr="008A15B6" w:rsidRDefault="004A674F" w:rsidP="004A674F">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es-ES"/>
              </w:rPr>
            </w:pPr>
          </w:p>
        </w:tc>
      </w:tr>
      <w:tr w:rsidR="004A674F" w:rsidRPr="008A15B6" w14:paraId="5922976A" w14:textId="77777777" w:rsidTr="00D530A5">
        <w:trPr>
          <w:trHeight w:val="54"/>
          <w:jc w:val="center"/>
        </w:trPr>
        <w:tc>
          <w:tcPr>
            <w:cnfStyle w:val="001000000000" w:firstRow="0" w:lastRow="0" w:firstColumn="1" w:lastColumn="0" w:oddVBand="0" w:evenVBand="0" w:oddHBand="0" w:evenHBand="0" w:firstRowFirstColumn="0" w:firstRowLastColumn="0" w:lastRowFirstColumn="0" w:lastRowLastColumn="0"/>
            <w:tcW w:w="2785" w:type="pct"/>
            <w:gridSpan w:val="5"/>
            <w:tcBorders>
              <w:left w:val="none" w:sz="0" w:space="0" w:color="auto"/>
              <w:bottom w:val="none" w:sz="0" w:space="0" w:color="auto"/>
            </w:tcBorders>
            <w:shd w:val="clear" w:color="auto" w:fill="C2D69B" w:themeFill="accent3" w:themeFillTint="99"/>
            <w:vAlign w:val="center"/>
            <w:hideMark/>
          </w:tcPr>
          <w:p w14:paraId="7ED9FFDE" w14:textId="77777777" w:rsidR="004A674F" w:rsidRPr="008A15B6" w:rsidRDefault="004A674F" w:rsidP="004A674F">
            <w:pPr>
              <w:rPr>
                <w:rFonts w:ascii="Century Gothic" w:hAnsi="Century Gothic"/>
                <w:color w:val="auto"/>
                <w:sz w:val="20"/>
                <w:szCs w:val="20"/>
                <w:lang w:val="es-ES"/>
              </w:rPr>
            </w:pPr>
            <w:r w:rsidRPr="008A15B6">
              <w:rPr>
                <w:rFonts w:ascii="Century Gothic" w:hAnsi="Century Gothic"/>
                <w:bCs w:val="0"/>
                <w:color w:val="auto"/>
                <w:sz w:val="20"/>
                <w:szCs w:val="20"/>
                <w:lang w:val="es-ES"/>
              </w:rPr>
              <w:t>Valor total pretendido</w:t>
            </w:r>
          </w:p>
        </w:tc>
        <w:tc>
          <w:tcPr>
            <w:tcW w:w="670" w:type="pct"/>
            <w:shd w:val="clear" w:color="auto" w:fill="C2D69B" w:themeFill="accent3" w:themeFillTint="99"/>
            <w:vAlign w:val="center"/>
            <w:hideMark/>
          </w:tcPr>
          <w:p w14:paraId="0C39F3D8" w14:textId="1149767C" w:rsidR="004A674F" w:rsidRPr="008A15B6" w:rsidRDefault="004A674F" w:rsidP="00A17D7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bCs/>
                <w:sz w:val="20"/>
                <w:szCs w:val="20"/>
                <w:lang w:val="es-ES"/>
              </w:rPr>
            </w:pPr>
            <w:r w:rsidRPr="008A15B6">
              <w:rPr>
                <w:rFonts w:ascii="Century Gothic" w:hAnsi="Century Gothic"/>
                <w:b/>
                <w:bCs/>
                <w:sz w:val="20"/>
                <w:szCs w:val="20"/>
                <w:lang w:val="es-ES"/>
              </w:rPr>
              <w:t>6</w:t>
            </w:r>
            <w:r w:rsidR="00A17D7A" w:rsidRPr="008A15B6">
              <w:rPr>
                <w:rFonts w:ascii="Century Gothic" w:hAnsi="Century Gothic"/>
                <w:b/>
                <w:bCs/>
                <w:sz w:val="20"/>
                <w:szCs w:val="20"/>
                <w:lang w:val="es-ES"/>
              </w:rPr>
              <w:t>1</w:t>
            </w:r>
            <w:r w:rsidRPr="008A15B6">
              <w:rPr>
                <w:rFonts w:ascii="Century Gothic" w:hAnsi="Century Gothic"/>
                <w:b/>
                <w:bCs/>
                <w:sz w:val="20"/>
                <w:szCs w:val="20"/>
                <w:lang w:val="es-ES"/>
              </w:rPr>
              <w:t>.</w:t>
            </w:r>
            <w:r w:rsidR="00A17D7A" w:rsidRPr="008A15B6">
              <w:rPr>
                <w:rFonts w:ascii="Century Gothic" w:hAnsi="Century Gothic"/>
                <w:b/>
                <w:bCs/>
                <w:sz w:val="20"/>
                <w:szCs w:val="20"/>
                <w:lang w:val="es-ES"/>
              </w:rPr>
              <w:t>854</w:t>
            </w:r>
          </w:p>
        </w:tc>
        <w:tc>
          <w:tcPr>
            <w:tcW w:w="1545" w:type="pct"/>
            <w:shd w:val="clear" w:color="auto" w:fill="C2D69B" w:themeFill="accent3" w:themeFillTint="99"/>
            <w:vAlign w:val="center"/>
            <w:hideMark/>
          </w:tcPr>
          <w:p w14:paraId="264C5340" w14:textId="77777777" w:rsidR="004A674F" w:rsidRPr="008A15B6" w:rsidRDefault="004A674F" w:rsidP="004A674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es-ES"/>
              </w:rPr>
            </w:pPr>
          </w:p>
        </w:tc>
      </w:tr>
    </w:tbl>
    <w:p w14:paraId="6110D821" w14:textId="77777777" w:rsidR="00D73B13" w:rsidRPr="008A15B6" w:rsidRDefault="00D73B13" w:rsidP="00D73B13">
      <w:pPr>
        <w:spacing w:after="240"/>
        <w:jc w:val="center"/>
        <w:rPr>
          <w:rFonts w:ascii="Century Gothic" w:hAnsi="Century Gothic"/>
          <w:sz w:val="20"/>
          <w:lang w:val="es-ES"/>
        </w:rPr>
      </w:pPr>
      <w:r w:rsidRPr="008A15B6">
        <w:rPr>
          <w:rFonts w:ascii="Century Gothic" w:hAnsi="Century Gothic"/>
          <w:sz w:val="20"/>
          <w:lang w:val="es-ES"/>
        </w:rPr>
        <w:t>Fuente: Oficina Asesora Jurídica, 2018</w:t>
      </w:r>
    </w:p>
    <w:p w14:paraId="0117031E" w14:textId="24590B5A" w:rsidR="001978E4" w:rsidRDefault="008A15B6" w:rsidP="008A15B6">
      <w:pPr>
        <w:spacing w:after="240"/>
        <w:jc w:val="both"/>
        <w:rPr>
          <w:rFonts w:ascii="Century Gothic" w:hAnsi="Century Gothic"/>
          <w:sz w:val="20"/>
          <w:lang w:val="es-ES"/>
        </w:rPr>
      </w:pPr>
      <w:r w:rsidRPr="008A15B6">
        <w:rPr>
          <w:rFonts w:ascii="Century Gothic" w:hAnsi="Century Gothic"/>
          <w:lang w:val="es-ES"/>
        </w:rPr>
        <w:t xml:space="preserve">Para el primer semestre del año 2018, no se presentaron pagos realizados por concepto de conciliaciones o sentencias desfavorables ejecutoriadas, por lo tanto, de los 6 fallos presentados, los 6 fueron favorables para el municipio, esto implica un ahorro de $466 millones, correspondientes a las pretensiones de las sentencias. </w:t>
      </w:r>
    </w:p>
    <w:p w14:paraId="2B127B27" w14:textId="45D7F2C1" w:rsidR="00E86A11" w:rsidRPr="00D530A5" w:rsidRDefault="00E86A11" w:rsidP="00601383">
      <w:pPr>
        <w:pStyle w:val="Ttulo5"/>
        <w:spacing w:after="240" w:line="276" w:lineRule="auto"/>
        <w:rPr>
          <w:lang w:val="es-ES"/>
        </w:rPr>
      </w:pPr>
      <w:r w:rsidRPr="00D530A5">
        <w:rPr>
          <w:lang w:val="es-ES"/>
        </w:rPr>
        <w:t>Pasi</w:t>
      </w:r>
      <w:r w:rsidR="00BC682E">
        <w:rPr>
          <w:lang w:val="es-ES"/>
        </w:rPr>
        <w:t>vo p</w:t>
      </w:r>
      <w:r w:rsidRPr="00D530A5">
        <w:rPr>
          <w:lang w:val="es-ES"/>
        </w:rPr>
        <w:t>ensional</w:t>
      </w:r>
    </w:p>
    <w:p w14:paraId="659DAC31" w14:textId="77777777" w:rsidR="00601383" w:rsidRPr="00D530A5" w:rsidRDefault="00601383" w:rsidP="00601383">
      <w:pPr>
        <w:jc w:val="both"/>
        <w:rPr>
          <w:rFonts w:ascii="Century Gothic" w:hAnsi="Century Gothic"/>
          <w:lang w:val="es-ES"/>
        </w:rPr>
      </w:pPr>
      <w:r w:rsidRPr="00D530A5">
        <w:rPr>
          <w:rFonts w:ascii="Century Gothic" w:hAnsi="Century Gothic"/>
          <w:lang w:val="es-ES"/>
        </w:rPr>
        <w:t>Antes de que entrara en vigencia la Ley 100 de 1993, el Sistema Pensional de las entidades territoriales se caracterizaba porque éstas reconocían y pagaban sus pensiones directamente o a través de Cajas o Entidades de Previsión, que, por disposición de la Ley, tuvieron que ser liquidadas y sustituidas por los Fondos Territoriales de Pensiones.</w:t>
      </w:r>
    </w:p>
    <w:p w14:paraId="6CE3B129" w14:textId="3C91BAD6" w:rsidR="00601383" w:rsidRPr="00D530A5" w:rsidRDefault="00601383" w:rsidP="00601383">
      <w:pPr>
        <w:jc w:val="both"/>
        <w:rPr>
          <w:rFonts w:ascii="Century Gothic" w:hAnsi="Century Gothic"/>
          <w:lang w:val="es-ES"/>
        </w:rPr>
      </w:pPr>
      <w:r w:rsidRPr="00D530A5">
        <w:rPr>
          <w:rFonts w:ascii="Century Gothic" w:hAnsi="Century Gothic"/>
          <w:lang w:val="es-ES"/>
        </w:rPr>
        <w:lastRenderedPageBreak/>
        <w:t>El Sistema General de Pensiones p</w:t>
      </w:r>
      <w:r w:rsidR="00D530A5" w:rsidRPr="00D530A5">
        <w:rPr>
          <w:rFonts w:ascii="Century Gothic" w:hAnsi="Century Gothic"/>
          <w:lang w:val="es-ES"/>
        </w:rPr>
        <w:t>ara los servidores públicos de los departamentos, municipios y distritos</w:t>
      </w:r>
      <w:r w:rsidRPr="00D530A5">
        <w:rPr>
          <w:rFonts w:ascii="Century Gothic" w:hAnsi="Century Gothic"/>
          <w:lang w:val="es-ES"/>
        </w:rPr>
        <w:t>, así como de sus entidades descentralizadas, entró a regir el 30 de junio de 1995, lo cual implicó que</w:t>
      </w:r>
      <w:r w:rsidR="00D530A5" w:rsidRPr="00D530A5">
        <w:rPr>
          <w:rFonts w:ascii="Century Gothic" w:hAnsi="Century Gothic"/>
          <w:lang w:val="es-ES"/>
        </w:rPr>
        <w:t>,</w:t>
      </w:r>
      <w:r w:rsidRPr="00D530A5">
        <w:rPr>
          <w:rFonts w:ascii="Century Gothic" w:hAnsi="Century Gothic"/>
          <w:lang w:val="es-ES"/>
        </w:rPr>
        <w:t xml:space="preserve"> por tarde</w:t>
      </w:r>
      <w:r w:rsidR="00D530A5" w:rsidRPr="00D530A5">
        <w:rPr>
          <w:rFonts w:ascii="Century Gothic" w:hAnsi="Century Gothic"/>
          <w:lang w:val="es-ES"/>
        </w:rPr>
        <w:t>,</w:t>
      </w:r>
      <w:r w:rsidRPr="00D530A5">
        <w:rPr>
          <w:rFonts w:ascii="Century Gothic" w:hAnsi="Century Gothic"/>
          <w:lang w:val="es-ES"/>
        </w:rPr>
        <w:t xml:space="preserve"> en dicha fecha</w:t>
      </w:r>
      <w:r w:rsidR="00D530A5" w:rsidRPr="00D530A5">
        <w:rPr>
          <w:rFonts w:ascii="Century Gothic" w:hAnsi="Century Gothic"/>
          <w:lang w:val="es-ES"/>
        </w:rPr>
        <w:t>,</w:t>
      </w:r>
      <w:r w:rsidRPr="00D530A5">
        <w:rPr>
          <w:rFonts w:ascii="Century Gothic" w:hAnsi="Century Gothic"/>
          <w:lang w:val="es-ES"/>
        </w:rPr>
        <w:t xml:space="preserve"> éstas debían afiliar a todos sus servidores públicos a una entidad autorizada dentro del Sistema General de Pensiones, bien sea </w:t>
      </w:r>
      <w:r w:rsidR="00D530A5" w:rsidRPr="00D530A5">
        <w:rPr>
          <w:rFonts w:ascii="Century Gothic" w:hAnsi="Century Gothic"/>
          <w:lang w:val="es-ES"/>
        </w:rPr>
        <w:t>del régimen solidario de prima media con prestación definida</w:t>
      </w:r>
      <w:r w:rsidRPr="00D530A5">
        <w:rPr>
          <w:rFonts w:ascii="Century Gothic" w:hAnsi="Century Gothic"/>
          <w:lang w:val="es-ES"/>
        </w:rPr>
        <w:t xml:space="preserve"> administrado por el </w:t>
      </w:r>
      <w:r w:rsidR="00D530A5" w:rsidRPr="00D530A5">
        <w:rPr>
          <w:rFonts w:ascii="Century Gothic" w:hAnsi="Century Gothic"/>
          <w:lang w:val="es-ES"/>
        </w:rPr>
        <w:t xml:space="preserve">Instituto de Seguros Sociales – </w:t>
      </w:r>
      <w:r w:rsidRPr="00D530A5">
        <w:rPr>
          <w:rFonts w:ascii="Century Gothic" w:hAnsi="Century Gothic"/>
          <w:lang w:val="es-ES"/>
        </w:rPr>
        <w:t xml:space="preserve">ISS y las cajas que fueron declaradas solventes, o bien por el </w:t>
      </w:r>
      <w:r w:rsidR="00D530A5" w:rsidRPr="00D530A5">
        <w:rPr>
          <w:rFonts w:ascii="Century Gothic" w:hAnsi="Century Gothic"/>
          <w:lang w:val="es-ES"/>
        </w:rPr>
        <w:t xml:space="preserve">régimen de ahorro individual con solidaridad </w:t>
      </w:r>
      <w:r w:rsidRPr="00D530A5">
        <w:rPr>
          <w:rFonts w:ascii="Century Gothic" w:hAnsi="Century Gothic"/>
          <w:lang w:val="es-ES"/>
        </w:rPr>
        <w:t>administrado por las Administradoras de Fondos de Pensiones -AFP-.</w:t>
      </w:r>
    </w:p>
    <w:p w14:paraId="7610582B" w14:textId="77777777" w:rsidR="00601383" w:rsidRPr="00D530A5" w:rsidRDefault="00601383" w:rsidP="00601383">
      <w:pPr>
        <w:jc w:val="both"/>
        <w:rPr>
          <w:rFonts w:ascii="Century Gothic" w:hAnsi="Century Gothic"/>
          <w:lang w:val="es-ES"/>
        </w:rPr>
      </w:pPr>
      <w:r w:rsidRPr="00D530A5">
        <w:rPr>
          <w:rFonts w:ascii="Century Gothic" w:hAnsi="Century Gothic"/>
          <w:lang w:val="es-ES"/>
        </w:rPr>
        <w:t>Con la Ley 100 de 1993 se obligó a los entes territoriales a estimar la magnitud de la deuda con sus trabajadores, pensionados y retirados, esto es a evidenciar el tamaño de su pasivo pensional, para poder comenzar a constituir y/o provisionar las respectivas reservas, puesto que no tener este pasivo claro les conlleva riesgos frente a su estabilidad fiscal y su futuro como entidades viables y autónomas.</w:t>
      </w:r>
    </w:p>
    <w:p w14:paraId="6C136793" w14:textId="0B578EF9" w:rsidR="00601383" w:rsidRPr="00D530A5" w:rsidRDefault="00601383" w:rsidP="00601383">
      <w:pPr>
        <w:jc w:val="both"/>
        <w:rPr>
          <w:rFonts w:ascii="Century Gothic" w:hAnsi="Century Gothic"/>
          <w:lang w:val="es-ES"/>
        </w:rPr>
      </w:pPr>
      <w:r w:rsidRPr="00D530A5">
        <w:rPr>
          <w:rFonts w:ascii="Century Gothic" w:hAnsi="Century Gothic"/>
          <w:lang w:val="es-ES"/>
        </w:rPr>
        <w:t>El Gobierno Nacional consciente de esa situación y a partir de lo dispuesto en la Ley 100 de 1993, propuso al Congreso de la República</w:t>
      </w:r>
      <w:r w:rsidR="00D530A5">
        <w:rPr>
          <w:rFonts w:ascii="Century Gothic" w:hAnsi="Century Gothic"/>
          <w:lang w:val="es-ES"/>
        </w:rPr>
        <w:t>,</w:t>
      </w:r>
      <w:r w:rsidRPr="00D530A5">
        <w:rPr>
          <w:rFonts w:ascii="Century Gothic" w:hAnsi="Century Gothic"/>
          <w:lang w:val="es-ES"/>
        </w:rPr>
        <w:t xml:space="preserve"> un esquema para apoyar a los </w:t>
      </w:r>
      <w:r w:rsidR="00D530A5" w:rsidRPr="00D530A5">
        <w:rPr>
          <w:rFonts w:ascii="Century Gothic" w:hAnsi="Century Gothic"/>
          <w:lang w:val="es-ES"/>
        </w:rPr>
        <w:t>entes territoriales</w:t>
      </w:r>
      <w:r w:rsidRPr="00D530A5">
        <w:rPr>
          <w:rFonts w:ascii="Century Gothic" w:hAnsi="Century Gothic"/>
          <w:lang w:val="es-ES"/>
        </w:rPr>
        <w:t xml:space="preserve">, esto es, a los departamentos, distritos y municipios en el financiamiento y cálculo de su pasivo pensional, propuesta </w:t>
      </w:r>
      <w:r w:rsidR="00D530A5">
        <w:rPr>
          <w:rFonts w:ascii="Century Gothic" w:hAnsi="Century Gothic"/>
          <w:lang w:val="es-ES"/>
        </w:rPr>
        <w:t xml:space="preserve">que generó la </w:t>
      </w:r>
      <w:r w:rsidRPr="00D530A5">
        <w:rPr>
          <w:rFonts w:ascii="Century Gothic" w:hAnsi="Century Gothic"/>
          <w:lang w:val="es-ES"/>
        </w:rPr>
        <w:t>exp</w:t>
      </w:r>
      <w:r w:rsidR="00D530A5">
        <w:rPr>
          <w:rFonts w:ascii="Century Gothic" w:hAnsi="Century Gothic"/>
          <w:lang w:val="es-ES"/>
        </w:rPr>
        <w:t>e</w:t>
      </w:r>
      <w:r w:rsidRPr="00D530A5">
        <w:rPr>
          <w:rFonts w:ascii="Century Gothic" w:hAnsi="Century Gothic"/>
          <w:lang w:val="es-ES"/>
        </w:rPr>
        <w:t>di</w:t>
      </w:r>
      <w:r w:rsidR="00D530A5">
        <w:rPr>
          <w:rFonts w:ascii="Century Gothic" w:hAnsi="Century Gothic"/>
          <w:lang w:val="es-ES"/>
        </w:rPr>
        <w:t>ci</w:t>
      </w:r>
      <w:r w:rsidRPr="00D530A5">
        <w:rPr>
          <w:rFonts w:ascii="Century Gothic" w:hAnsi="Century Gothic"/>
          <w:lang w:val="es-ES"/>
        </w:rPr>
        <w:t>ó</w:t>
      </w:r>
      <w:r w:rsidR="00D530A5">
        <w:rPr>
          <w:rFonts w:ascii="Century Gothic" w:hAnsi="Century Gothic"/>
          <w:lang w:val="es-ES"/>
        </w:rPr>
        <w:t>n</w:t>
      </w:r>
      <w:r w:rsidRPr="00D530A5">
        <w:rPr>
          <w:rFonts w:ascii="Century Gothic" w:hAnsi="Century Gothic"/>
          <w:lang w:val="es-ES"/>
        </w:rPr>
        <w:t xml:space="preserve"> </w:t>
      </w:r>
      <w:r w:rsidR="00D530A5">
        <w:rPr>
          <w:rFonts w:ascii="Century Gothic" w:hAnsi="Century Gothic"/>
          <w:lang w:val="es-ES"/>
        </w:rPr>
        <w:t xml:space="preserve">de </w:t>
      </w:r>
      <w:r w:rsidRPr="00D530A5">
        <w:rPr>
          <w:rFonts w:ascii="Century Gothic" w:hAnsi="Century Gothic"/>
          <w:lang w:val="es-ES"/>
        </w:rPr>
        <w:t xml:space="preserve">la Ley 549 de 1999, por la cual se creó el Fondo Nacional de Pensiones de las Entidades Territoriales </w:t>
      </w:r>
      <w:r w:rsidR="00D530A5">
        <w:rPr>
          <w:rFonts w:ascii="Century Gothic" w:hAnsi="Century Gothic"/>
          <w:lang w:val="es-ES"/>
        </w:rPr>
        <w:t>–</w:t>
      </w:r>
      <w:r w:rsidRPr="00D530A5">
        <w:rPr>
          <w:rFonts w:ascii="Century Gothic" w:hAnsi="Century Gothic"/>
          <w:lang w:val="es-ES"/>
        </w:rPr>
        <w:t xml:space="preserve"> </w:t>
      </w:r>
      <w:r w:rsidR="00D54630">
        <w:rPr>
          <w:rFonts w:ascii="Century Gothic" w:hAnsi="Century Gothic"/>
          <w:lang w:val="es-ES"/>
        </w:rPr>
        <w:t>FONPET</w:t>
      </w:r>
      <w:r w:rsidR="00D530A5">
        <w:rPr>
          <w:rFonts w:ascii="Century Gothic" w:hAnsi="Century Gothic"/>
          <w:lang w:val="es-ES"/>
        </w:rPr>
        <w:t xml:space="preserve">, </w:t>
      </w:r>
      <w:r w:rsidRPr="00D530A5">
        <w:rPr>
          <w:rFonts w:ascii="Century Gothic" w:hAnsi="Century Gothic"/>
          <w:lang w:val="es-ES"/>
        </w:rPr>
        <w:t>que es un sistema de ahorro obligatorio que tiene por objeto recaudar recursos para que las Entidades Territoriales cubran sus pasivos pensionales.</w:t>
      </w:r>
    </w:p>
    <w:p w14:paraId="3F795947" w14:textId="68731FB3" w:rsidR="00601383" w:rsidRPr="00D530A5" w:rsidRDefault="00601383" w:rsidP="00601383">
      <w:pPr>
        <w:jc w:val="both"/>
        <w:rPr>
          <w:rFonts w:ascii="Century Gothic" w:hAnsi="Century Gothic"/>
          <w:lang w:val="es-ES"/>
        </w:rPr>
      </w:pPr>
      <w:r w:rsidRPr="00D530A5">
        <w:rPr>
          <w:rFonts w:ascii="Century Gothic" w:hAnsi="Century Gothic"/>
          <w:lang w:val="es-ES"/>
        </w:rPr>
        <w:t xml:space="preserve">El </w:t>
      </w:r>
      <w:r w:rsidR="00D54630">
        <w:rPr>
          <w:rFonts w:ascii="Century Gothic" w:hAnsi="Century Gothic"/>
          <w:lang w:val="es-ES"/>
        </w:rPr>
        <w:t>FONPET</w:t>
      </w:r>
      <w:r w:rsidRPr="00D530A5">
        <w:rPr>
          <w:rFonts w:ascii="Century Gothic" w:hAnsi="Century Gothic"/>
          <w:lang w:val="es-ES"/>
        </w:rPr>
        <w:t xml:space="preserve"> es un fondo sin personería jurídica administrado por el Ministerio de Hacienda y Crédito Público, a través de los patrimonios autónomos que se constituyan exclusivamente en las administradoras de fondos de pensiones y cesantías privadas o públicas, en sociedades fiduciarias privadas o públicas o en compañías de seguros de vida privadas o públicas que estén facultadas para administrar los recursos del Sistema General de Pensiones y de los Regímenes pensionales excepcionados del Sistema por ley.</w:t>
      </w:r>
    </w:p>
    <w:p w14:paraId="2D62E1C5" w14:textId="7EAD9A93" w:rsidR="00601383" w:rsidRPr="00D530A5" w:rsidRDefault="00601383" w:rsidP="00601383">
      <w:pPr>
        <w:jc w:val="both"/>
        <w:rPr>
          <w:rFonts w:ascii="Century Gothic" w:hAnsi="Century Gothic"/>
          <w:lang w:val="es-ES"/>
        </w:rPr>
      </w:pPr>
      <w:r w:rsidRPr="00D530A5">
        <w:rPr>
          <w:rFonts w:ascii="Century Gothic" w:hAnsi="Century Gothic"/>
          <w:lang w:val="es-ES"/>
        </w:rPr>
        <w:t xml:space="preserve">Es importante señalar que el </w:t>
      </w:r>
      <w:r w:rsidR="00D54630">
        <w:rPr>
          <w:rFonts w:ascii="Century Gothic" w:hAnsi="Century Gothic"/>
          <w:lang w:val="es-ES"/>
        </w:rPr>
        <w:t>FONPET</w:t>
      </w:r>
      <w:r w:rsidRPr="00D530A5">
        <w:rPr>
          <w:rFonts w:ascii="Century Gothic" w:hAnsi="Century Gothic"/>
          <w:lang w:val="es-ES"/>
        </w:rPr>
        <w:t xml:space="preserve"> no sustituye a las entidades territoriales en su responsabilidad frente a sus pasivos pensionales ya que estos pasivos seguirán estando a cargo de las entidades territoriales, pero si es un mecanismo de garantía para la constitución de las respectivas reservas.</w:t>
      </w:r>
    </w:p>
    <w:p w14:paraId="457C0866" w14:textId="77777777" w:rsidR="00601383" w:rsidRPr="00154101" w:rsidRDefault="00601383" w:rsidP="00601383">
      <w:pPr>
        <w:jc w:val="both"/>
        <w:rPr>
          <w:rFonts w:ascii="Century Gothic" w:hAnsi="Century Gothic"/>
          <w:lang w:val="es-ES"/>
        </w:rPr>
      </w:pPr>
      <w:r w:rsidRPr="008A15B6">
        <w:rPr>
          <w:rFonts w:ascii="Century Gothic" w:hAnsi="Century Gothic"/>
          <w:lang w:val="es-ES"/>
        </w:rPr>
        <w:t xml:space="preserve">Igualmente, el Ministerio de Hacienda viene trabajando con las entidades territoriales mediante apoyo técnico y de capacitación para la sistematización de las </w:t>
      </w:r>
      <w:r w:rsidRPr="00154101">
        <w:rPr>
          <w:rFonts w:ascii="Century Gothic" w:hAnsi="Century Gothic"/>
          <w:lang w:val="es-ES"/>
        </w:rPr>
        <w:t>historias laborales y para el cálculo de los pasivos pensionales.</w:t>
      </w:r>
    </w:p>
    <w:p w14:paraId="425B15FC" w14:textId="3F9F607B" w:rsidR="00601383" w:rsidRPr="00154101" w:rsidRDefault="00601383" w:rsidP="00CA56B0">
      <w:pPr>
        <w:pStyle w:val="Prrafodelista"/>
        <w:numPr>
          <w:ilvl w:val="0"/>
          <w:numId w:val="46"/>
        </w:numPr>
        <w:spacing w:after="240"/>
        <w:rPr>
          <w:b/>
          <w:lang w:val="es-ES"/>
        </w:rPr>
      </w:pPr>
      <w:r w:rsidRPr="00154101">
        <w:rPr>
          <w:b/>
          <w:lang w:val="es-ES"/>
        </w:rPr>
        <w:lastRenderedPageBreak/>
        <w:t>Procesos del Fondo</w:t>
      </w:r>
    </w:p>
    <w:p w14:paraId="68ED6581" w14:textId="02BD1C57" w:rsidR="008A15B6" w:rsidRPr="00154101" w:rsidRDefault="00601383" w:rsidP="00CA56B0">
      <w:pPr>
        <w:pStyle w:val="Prrafodelista"/>
        <w:spacing w:after="240"/>
        <w:ind w:left="720" w:firstLine="0"/>
        <w:rPr>
          <w:lang w:val="es-ES"/>
        </w:rPr>
      </w:pPr>
      <w:r w:rsidRPr="00154101">
        <w:rPr>
          <w:lang w:val="es-ES"/>
        </w:rPr>
        <w:t>Regulaci</w:t>
      </w:r>
      <w:r w:rsidR="00F9168A">
        <w:rPr>
          <w:lang w:val="es-ES"/>
        </w:rPr>
        <w:t>ón y Control</w:t>
      </w:r>
    </w:p>
    <w:p w14:paraId="3B6731B9" w14:textId="042C42C2" w:rsidR="00601383" w:rsidRPr="00154101" w:rsidRDefault="008A15B6" w:rsidP="00CA56B0">
      <w:pPr>
        <w:spacing w:after="240"/>
        <w:jc w:val="both"/>
        <w:rPr>
          <w:rFonts w:ascii="Century Gothic" w:hAnsi="Century Gothic"/>
          <w:lang w:val="es-ES"/>
        </w:rPr>
      </w:pPr>
      <w:r w:rsidRPr="00154101">
        <w:rPr>
          <w:rFonts w:ascii="Century Gothic" w:hAnsi="Century Gothic"/>
          <w:lang w:val="es-ES"/>
        </w:rPr>
        <w:t>Los</w:t>
      </w:r>
      <w:r w:rsidR="00601383" w:rsidRPr="00154101">
        <w:rPr>
          <w:rFonts w:ascii="Century Gothic" w:hAnsi="Century Gothic"/>
          <w:lang w:val="es-ES"/>
        </w:rPr>
        <w:t xml:space="preserve"> recursos del </w:t>
      </w:r>
      <w:r w:rsidR="00D54630">
        <w:rPr>
          <w:rFonts w:ascii="Century Gothic" w:hAnsi="Century Gothic"/>
          <w:lang w:val="es-ES"/>
        </w:rPr>
        <w:t>FONPET</w:t>
      </w:r>
      <w:r w:rsidR="00601383" w:rsidRPr="00154101">
        <w:rPr>
          <w:rFonts w:ascii="Century Gothic" w:hAnsi="Century Gothic"/>
          <w:lang w:val="es-ES"/>
        </w:rPr>
        <w:t xml:space="preserve"> está</w:t>
      </w:r>
      <w:r w:rsidRPr="00154101">
        <w:rPr>
          <w:rFonts w:ascii="Century Gothic" w:hAnsi="Century Gothic"/>
          <w:lang w:val="es-ES"/>
        </w:rPr>
        <w:t xml:space="preserve">n a </w:t>
      </w:r>
      <w:r w:rsidR="00601383" w:rsidRPr="00154101">
        <w:rPr>
          <w:rFonts w:ascii="Century Gothic" w:hAnsi="Century Gothic"/>
          <w:lang w:val="es-ES"/>
        </w:rPr>
        <w:t>cargo del Ministerio de Hacienda a través de varias administradoras y por tanto, es este Ministerio quien s</w:t>
      </w:r>
      <w:r w:rsidRPr="00154101">
        <w:rPr>
          <w:rFonts w:ascii="Century Gothic" w:hAnsi="Century Gothic"/>
          <w:lang w:val="es-ES"/>
        </w:rPr>
        <w:t xml:space="preserve">upervisa el cumplimiento de éstos </w:t>
      </w:r>
      <w:r w:rsidR="00601383" w:rsidRPr="00154101">
        <w:rPr>
          <w:rFonts w:ascii="Century Gothic" w:hAnsi="Century Gothic"/>
          <w:lang w:val="es-ES"/>
        </w:rPr>
        <w:t xml:space="preserve">contratos. La inspección, vigilancia y control sobre las entidades administradoras de los recursos del </w:t>
      </w:r>
      <w:r w:rsidR="00D54630">
        <w:rPr>
          <w:rFonts w:ascii="Century Gothic" w:hAnsi="Century Gothic"/>
          <w:lang w:val="es-ES"/>
        </w:rPr>
        <w:t>FONPET</w:t>
      </w:r>
      <w:r w:rsidR="00601383" w:rsidRPr="00154101">
        <w:rPr>
          <w:rFonts w:ascii="Century Gothic" w:hAnsi="Century Gothic"/>
          <w:lang w:val="es-ES"/>
        </w:rPr>
        <w:t xml:space="preserve"> es ejercida por la Superintendencia Financiera de Colombia, la cual vela por el </w:t>
      </w:r>
      <w:r w:rsidRPr="00154101">
        <w:rPr>
          <w:rFonts w:ascii="Century Gothic" w:hAnsi="Century Gothic"/>
          <w:lang w:val="es-ES"/>
        </w:rPr>
        <w:t>correcto manejo de los recursos</w:t>
      </w:r>
      <w:r w:rsidR="00601383" w:rsidRPr="00154101">
        <w:rPr>
          <w:rFonts w:ascii="Century Gothic" w:hAnsi="Century Gothic"/>
          <w:lang w:val="es-ES"/>
        </w:rPr>
        <w:t>, de acuerdo con lo dispuesto en el Artículo 18 de la Ley 549 de 1999.</w:t>
      </w:r>
    </w:p>
    <w:p w14:paraId="2B776E2C" w14:textId="5CB43538" w:rsidR="00CF1058" w:rsidRPr="00154101" w:rsidRDefault="00CF1058" w:rsidP="008436C7">
      <w:pPr>
        <w:spacing w:after="0"/>
        <w:jc w:val="center"/>
        <w:rPr>
          <w:rFonts w:ascii="Century Gothic" w:eastAsia="Century Gothic" w:hAnsi="Century Gothic" w:cs="Century Gothic"/>
          <w:b/>
          <w:lang w:val="es-ES"/>
        </w:rPr>
      </w:pPr>
      <w:bookmarkStart w:id="67" w:name="_Toc532570523"/>
      <w:r w:rsidRPr="00154101">
        <w:rPr>
          <w:rFonts w:ascii="Century Gothic" w:hAnsi="Century Gothic"/>
          <w:lang w:val="es-ES"/>
        </w:rPr>
        <w:t xml:space="preserve">Tabla </w:t>
      </w:r>
      <w:r w:rsidRPr="00154101">
        <w:rPr>
          <w:rFonts w:ascii="Century Gothic" w:hAnsi="Century Gothic"/>
          <w:lang w:val="es-ES"/>
        </w:rPr>
        <w:fldChar w:fldCharType="begin"/>
      </w:r>
      <w:r w:rsidRPr="00154101">
        <w:rPr>
          <w:rFonts w:ascii="Century Gothic" w:hAnsi="Century Gothic"/>
          <w:lang w:val="es-ES"/>
        </w:rPr>
        <w:instrText xml:space="preserve"> SEQ Tabla \* ARABIC </w:instrText>
      </w:r>
      <w:r w:rsidRPr="00154101">
        <w:rPr>
          <w:rFonts w:ascii="Century Gothic" w:hAnsi="Century Gothic"/>
          <w:lang w:val="es-ES"/>
        </w:rPr>
        <w:fldChar w:fldCharType="separate"/>
      </w:r>
      <w:r w:rsidR="00735A58">
        <w:rPr>
          <w:rFonts w:ascii="Century Gothic" w:hAnsi="Century Gothic"/>
          <w:noProof/>
          <w:lang w:val="es-ES"/>
        </w:rPr>
        <w:t>32</w:t>
      </w:r>
      <w:r w:rsidRPr="00154101">
        <w:rPr>
          <w:rFonts w:ascii="Century Gothic" w:hAnsi="Century Gothic"/>
          <w:lang w:val="es-ES"/>
        </w:rPr>
        <w:fldChar w:fldCharType="end"/>
      </w:r>
      <w:r w:rsidRPr="00154101">
        <w:rPr>
          <w:rFonts w:ascii="Century Gothic" w:hAnsi="Century Gothic"/>
          <w:lang w:val="es-ES"/>
        </w:rPr>
        <w:t>.</w:t>
      </w:r>
      <w:r w:rsidRPr="00154101">
        <w:rPr>
          <w:rFonts w:ascii="Century Gothic" w:hAnsi="Century Gothic"/>
          <w:b/>
          <w:lang w:val="es-ES"/>
        </w:rPr>
        <w:t xml:space="preserve"> </w:t>
      </w:r>
      <w:r w:rsidRPr="00154101">
        <w:rPr>
          <w:rFonts w:ascii="Century Gothic" w:hAnsi="Century Gothic" w:cs="Arial"/>
          <w:color w:val="444242"/>
          <w:lang w:val="es-ES"/>
        </w:rPr>
        <w:t xml:space="preserve">Evolución histórica del Pasivo Pensional y aportes al </w:t>
      </w:r>
      <w:r w:rsidR="00D54630">
        <w:rPr>
          <w:rFonts w:ascii="Century Gothic" w:hAnsi="Century Gothic" w:cs="Arial"/>
          <w:color w:val="444242"/>
          <w:lang w:val="es-ES"/>
        </w:rPr>
        <w:t>FONPET</w:t>
      </w:r>
      <w:r w:rsidRPr="00154101">
        <w:rPr>
          <w:rFonts w:ascii="Century Gothic" w:hAnsi="Century Gothic" w:cs="Arial"/>
          <w:color w:val="444242"/>
          <w:lang w:val="es-ES"/>
        </w:rPr>
        <w:t xml:space="preserve"> (mil</w:t>
      </w:r>
      <w:r w:rsidR="00601383" w:rsidRPr="00154101">
        <w:rPr>
          <w:rFonts w:ascii="Century Gothic" w:hAnsi="Century Gothic" w:cs="Arial"/>
          <w:color w:val="444242"/>
          <w:lang w:val="es-ES"/>
        </w:rPr>
        <w:t>lon</w:t>
      </w:r>
      <w:r w:rsidRPr="00154101">
        <w:rPr>
          <w:rFonts w:ascii="Century Gothic" w:hAnsi="Century Gothic" w:cs="Arial"/>
          <w:color w:val="444242"/>
          <w:lang w:val="es-ES"/>
        </w:rPr>
        <w:t>es</w:t>
      </w:r>
      <w:r w:rsidR="008E0E6B">
        <w:rPr>
          <w:rFonts w:ascii="Century Gothic" w:hAnsi="Century Gothic" w:cs="Arial"/>
          <w:color w:val="444242"/>
          <w:lang w:val="es-ES"/>
        </w:rPr>
        <w:t xml:space="preserve"> de pesos</w:t>
      </w:r>
      <w:r w:rsidRPr="00154101">
        <w:rPr>
          <w:rFonts w:ascii="Century Gothic" w:hAnsi="Century Gothic" w:cs="Arial"/>
          <w:color w:val="444242"/>
          <w:lang w:val="es-ES"/>
        </w:rPr>
        <w:t>).</w:t>
      </w:r>
      <w:bookmarkEnd w:id="67"/>
      <w:r w:rsidRPr="00154101">
        <w:rPr>
          <w:rFonts w:ascii="Century Gothic" w:hAnsi="Century Gothic" w:cs="Arial"/>
          <w:color w:val="444242"/>
          <w:lang w:val="es-ES"/>
        </w:rPr>
        <w:t xml:space="preserve"> </w:t>
      </w:r>
    </w:p>
    <w:tbl>
      <w:tblPr>
        <w:tblStyle w:val="Tabladecuadrcula5oscura-nfasis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992"/>
        <w:gridCol w:w="992"/>
        <w:gridCol w:w="992"/>
        <w:gridCol w:w="992"/>
        <w:gridCol w:w="992"/>
        <w:gridCol w:w="991"/>
        <w:gridCol w:w="1009"/>
      </w:tblGrid>
      <w:tr w:rsidR="00601383" w:rsidRPr="00154101" w14:paraId="3FEA162A" w14:textId="77777777" w:rsidTr="00CA56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6" w:type="pct"/>
            <w:tcBorders>
              <w:top w:val="none" w:sz="0" w:space="0" w:color="auto"/>
              <w:left w:val="none" w:sz="0" w:space="0" w:color="auto"/>
              <w:right w:val="none" w:sz="0" w:space="0" w:color="auto"/>
            </w:tcBorders>
            <w:shd w:val="clear" w:color="auto" w:fill="C2D69B" w:themeFill="accent3" w:themeFillTint="99"/>
            <w:vAlign w:val="center"/>
            <w:hideMark/>
          </w:tcPr>
          <w:p w14:paraId="1FCA455C" w14:textId="11985BCC" w:rsidR="00601383" w:rsidRPr="00154101" w:rsidRDefault="00601383" w:rsidP="00601383">
            <w:pPr>
              <w:spacing w:line="276" w:lineRule="auto"/>
              <w:jc w:val="center"/>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Concepto / fecha corte</w:t>
            </w:r>
          </w:p>
        </w:tc>
        <w:tc>
          <w:tcPr>
            <w:tcW w:w="548" w:type="pct"/>
            <w:tcBorders>
              <w:top w:val="none" w:sz="0" w:space="0" w:color="auto"/>
              <w:left w:val="none" w:sz="0" w:space="0" w:color="auto"/>
              <w:right w:val="none" w:sz="0" w:space="0" w:color="auto"/>
            </w:tcBorders>
            <w:shd w:val="clear" w:color="auto" w:fill="C2D69B" w:themeFill="accent3" w:themeFillTint="99"/>
            <w:vAlign w:val="center"/>
          </w:tcPr>
          <w:p w14:paraId="31F1CD7D" w14:textId="24712E42" w:rsidR="00601383" w:rsidRPr="00154101" w:rsidRDefault="00601383" w:rsidP="00601383">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color w:val="000000"/>
                <w:sz w:val="18"/>
                <w:szCs w:val="18"/>
                <w:lang w:val="es-ES"/>
              </w:rPr>
              <w:t>30/06/18</w:t>
            </w:r>
          </w:p>
        </w:tc>
        <w:tc>
          <w:tcPr>
            <w:tcW w:w="548" w:type="pct"/>
            <w:tcBorders>
              <w:top w:val="none" w:sz="0" w:space="0" w:color="auto"/>
              <w:left w:val="none" w:sz="0" w:space="0" w:color="auto"/>
              <w:right w:val="none" w:sz="0" w:space="0" w:color="auto"/>
            </w:tcBorders>
            <w:shd w:val="clear" w:color="auto" w:fill="C2D69B" w:themeFill="accent3" w:themeFillTint="99"/>
            <w:vAlign w:val="center"/>
          </w:tcPr>
          <w:p w14:paraId="2DD396D1" w14:textId="10F41A0F" w:rsidR="00601383" w:rsidRPr="00154101" w:rsidRDefault="00601383" w:rsidP="00601383">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31/12/17</w:t>
            </w:r>
          </w:p>
        </w:tc>
        <w:tc>
          <w:tcPr>
            <w:tcW w:w="548" w:type="pct"/>
            <w:tcBorders>
              <w:top w:val="none" w:sz="0" w:space="0" w:color="auto"/>
              <w:left w:val="none" w:sz="0" w:space="0" w:color="auto"/>
              <w:right w:val="none" w:sz="0" w:space="0" w:color="auto"/>
            </w:tcBorders>
            <w:shd w:val="clear" w:color="auto" w:fill="C2D69B" w:themeFill="accent3" w:themeFillTint="99"/>
            <w:noWrap/>
            <w:vAlign w:val="center"/>
            <w:hideMark/>
          </w:tcPr>
          <w:p w14:paraId="294D92D7" w14:textId="1E18B98D" w:rsidR="00601383" w:rsidRPr="00154101" w:rsidRDefault="00601383" w:rsidP="00601383">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31/12/16</w:t>
            </w:r>
          </w:p>
        </w:tc>
        <w:tc>
          <w:tcPr>
            <w:tcW w:w="548" w:type="pct"/>
            <w:tcBorders>
              <w:top w:val="none" w:sz="0" w:space="0" w:color="auto"/>
              <w:left w:val="none" w:sz="0" w:space="0" w:color="auto"/>
              <w:right w:val="none" w:sz="0" w:space="0" w:color="auto"/>
            </w:tcBorders>
            <w:shd w:val="clear" w:color="auto" w:fill="C2D69B" w:themeFill="accent3" w:themeFillTint="99"/>
            <w:noWrap/>
            <w:vAlign w:val="center"/>
            <w:hideMark/>
          </w:tcPr>
          <w:p w14:paraId="2006FD73" w14:textId="7BCA1117" w:rsidR="00601383" w:rsidRPr="00154101" w:rsidRDefault="00601383" w:rsidP="00601383">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31/12/15</w:t>
            </w:r>
          </w:p>
        </w:tc>
        <w:tc>
          <w:tcPr>
            <w:tcW w:w="548" w:type="pct"/>
            <w:tcBorders>
              <w:top w:val="none" w:sz="0" w:space="0" w:color="auto"/>
              <w:left w:val="none" w:sz="0" w:space="0" w:color="auto"/>
              <w:right w:val="none" w:sz="0" w:space="0" w:color="auto"/>
            </w:tcBorders>
            <w:shd w:val="clear" w:color="auto" w:fill="C2D69B" w:themeFill="accent3" w:themeFillTint="99"/>
            <w:noWrap/>
            <w:vAlign w:val="center"/>
            <w:hideMark/>
          </w:tcPr>
          <w:p w14:paraId="4735F939" w14:textId="113FCE19" w:rsidR="00601383" w:rsidRPr="00154101" w:rsidRDefault="00601383" w:rsidP="00601383">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31/12/14</w:t>
            </w:r>
          </w:p>
        </w:tc>
        <w:tc>
          <w:tcPr>
            <w:tcW w:w="547" w:type="pct"/>
            <w:tcBorders>
              <w:top w:val="none" w:sz="0" w:space="0" w:color="auto"/>
              <w:left w:val="none" w:sz="0" w:space="0" w:color="auto"/>
              <w:right w:val="none" w:sz="0" w:space="0" w:color="auto"/>
            </w:tcBorders>
            <w:shd w:val="clear" w:color="auto" w:fill="C2D69B" w:themeFill="accent3" w:themeFillTint="99"/>
            <w:noWrap/>
            <w:vAlign w:val="center"/>
            <w:hideMark/>
          </w:tcPr>
          <w:p w14:paraId="7CA6CE61" w14:textId="67127F97" w:rsidR="00601383" w:rsidRPr="00154101" w:rsidRDefault="00601383" w:rsidP="00601383">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31/12/13</w:t>
            </w:r>
          </w:p>
        </w:tc>
        <w:tc>
          <w:tcPr>
            <w:tcW w:w="557" w:type="pct"/>
            <w:tcBorders>
              <w:top w:val="none" w:sz="0" w:space="0" w:color="auto"/>
              <w:left w:val="none" w:sz="0" w:space="0" w:color="auto"/>
              <w:right w:val="none" w:sz="0" w:space="0" w:color="auto"/>
            </w:tcBorders>
            <w:shd w:val="clear" w:color="auto" w:fill="C2D69B" w:themeFill="accent3" w:themeFillTint="99"/>
            <w:noWrap/>
            <w:vAlign w:val="center"/>
            <w:hideMark/>
          </w:tcPr>
          <w:p w14:paraId="264854CD" w14:textId="399BF2C0" w:rsidR="00601383" w:rsidRPr="00154101" w:rsidRDefault="00601383" w:rsidP="00601383">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31/12/12</w:t>
            </w:r>
          </w:p>
        </w:tc>
      </w:tr>
      <w:tr w:rsidR="00601383" w:rsidRPr="00154101" w14:paraId="642C814A" w14:textId="77777777" w:rsidTr="00CA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6" w:type="pct"/>
            <w:tcBorders>
              <w:left w:val="none" w:sz="0" w:space="0" w:color="auto"/>
            </w:tcBorders>
            <w:shd w:val="clear" w:color="auto" w:fill="C2D69B" w:themeFill="accent3" w:themeFillTint="99"/>
            <w:vAlign w:val="center"/>
            <w:hideMark/>
          </w:tcPr>
          <w:p w14:paraId="12610CFF" w14:textId="77777777" w:rsidR="00601383" w:rsidRPr="00154101" w:rsidRDefault="00601383" w:rsidP="0023391B">
            <w:pPr>
              <w:spacing w:line="276" w:lineRule="auto"/>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Calculo actuarial</w:t>
            </w:r>
          </w:p>
        </w:tc>
        <w:tc>
          <w:tcPr>
            <w:tcW w:w="548" w:type="pct"/>
            <w:shd w:val="clear" w:color="auto" w:fill="auto"/>
            <w:vAlign w:val="center"/>
          </w:tcPr>
          <w:p w14:paraId="53DD9F0D" w14:textId="0A4824BF" w:rsidR="00601383" w:rsidRPr="00154101" w:rsidRDefault="00601383" w:rsidP="00B95743">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165</w:t>
            </w:r>
            <w:r w:rsidR="00B95743" w:rsidRPr="00154101">
              <w:rPr>
                <w:rFonts w:ascii="Century Gothic" w:hAnsi="Century Gothic"/>
                <w:color w:val="000000"/>
                <w:sz w:val="18"/>
                <w:szCs w:val="18"/>
                <w:lang w:val="es-ES"/>
              </w:rPr>
              <w:t>.</w:t>
            </w:r>
            <w:r w:rsidRPr="00154101">
              <w:rPr>
                <w:rFonts w:ascii="Century Gothic" w:hAnsi="Century Gothic"/>
                <w:color w:val="000000"/>
                <w:sz w:val="18"/>
                <w:szCs w:val="18"/>
                <w:lang w:val="es-ES"/>
              </w:rPr>
              <w:t>607</w:t>
            </w:r>
          </w:p>
        </w:tc>
        <w:tc>
          <w:tcPr>
            <w:tcW w:w="548" w:type="pct"/>
            <w:shd w:val="clear" w:color="auto" w:fill="auto"/>
            <w:vAlign w:val="center"/>
          </w:tcPr>
          <w:p w14:paraId="303C4DE8" w14:textId="43ADA3A5" w:rsidR="00601383" w:rsidRPr="00154101" w:rsidRDefault="0060138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w:t>
            </w:r>
            <w:r w:rsidR="00B95743" w:rsidRPr="00154101">
              <w:rPr>
                <w:rFonts w:ascii="Century Gothic" w:hAnsi="Century Gothic"/>
                <w:color w:val="000000"/>
                <w:sz w:val="18"/>
                <w:szCs w:val="18"/>
                <w:lang w:val="es-ES"/>
              </w:rPr>
              <w:t>65.</w:t>
            </w:r>
            <w:r w:rsidRPr="00154101">
              <w:rPr>
                <w:rFonts w:ascii="Century Gothic" w:hAnsi="Century Gothic"/>
                <w:color w:val="000000"/>
                <w:sz w:val="18"/>
                <w:szCs w:val="18"/>
                <w:lang w:val="es-ES"/>
              </w:rPr>
              <w:t>607</w:t>
            </w:r>
          </w:p>
        </w:tc>
        <w:tc>
          <w:tcPr>
            <w:tcW w:w="548" w:type="pct"/>
            <w:shd w:val="clear" w:color="auto" w:fill="auto"/>
            <w:noWrap/>
            <w:vAlign w:val="center"/>
          </w:tcPr>
          <w:p w14:paraId="14858AC3" w14:textId="36876551"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156.</w:t>
            </w:r>
            <w:r w:rsidR="00601383" w:rsidRPr="00154101">
              <w:rPr>
                <w:rFonts w:ascii="Century Gothic" w:hAnsi="Century Gothic"/>
                <w:color w:val="000000"/>
                <w:sz w:val="18"/>
                <w:szCs w:val="18"/>
                <w:lang w:val="es-ES"/>
              </w:rPr>
              <w:t>248</w:t>
            </w:r>
          </w:p>
        </w:tc>
        <w:tc>
          <w:tcPr>
            <w:tcW w:w="548" w:type="pct"/>
            <w:shd w:val="clear" w:color="auto" w:fill="auto"/>
            <w:noWrap/>
            <w:vAlign w:val="center"/>
          </w:tcPr>
          <w:p w14:paraId="62290745" w14:textId="36AF6DB5"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151.</w:t>
            </w:r>
            <w:r w:rsidR="00601383" w:rsidRPr="00154101">
              <w:rPr>
                <w:rFonts w:ascii="Century Gothic" w:hAnsi="Century Gothic"/>
                <w:color w:val="000000"/>
                <w:sz w:val="18"/>
                <w:szCs w:val="18"/>
                <w:lang w:val="es-ES"/>
              </w:rPr>
              <w:t>325</w:t>
            </w:r>
          </w:p>
        </w:tc>
        <w:tc>
          <w:tcPr>
            <w:tcW w:w="548" w:type="pct"/>
            <w:shd w:val="clear" w:color="auto" w:fill="auto"/>
            <w:noWrap/>
            <w:vAlign w:val="center"/>
          </w:tcPr>
          <w:p w14:paraId="5B08D741" w14:textId="4280EAB6"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143.</w:t>
            </w:r>
            <w:r w:rsidR="00601383" w:rsidRPr="00154101">
              <w:rPr>
                <w:rFonts w:ascii="Century Gothic" w:hAnsi="Century Gothic"/>
                <w:color w:val="000000"/>
                <w:sz w:val="18"/>
                <w:szCs w:val="18"/>
                <w:lang w:val="es-ES"/>
              </w:rPr>
              <w:t>942</w:t>
            </w:r>
          </w:p>
        </w:tc>
        <w:tc>
          <w:tcPr>
            <w:tcW w:w="547" w:type="pct"/>
            <w:shd w:val="clear" w:color="auto" w:fill="auto"/>
            <w:noWrap/>
            <w:vAlign w:val="center"/>
          </w:tcPr>
          <w:p w14:paraId="7D36B5BF" w14:textId="4D424CC2"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218.</w:t>
            </w:r>
            <w:r w:rsidR="00601383" w:rsidRPr="00154101">
              <w:rPr>
                <w:rFonts w:ascii="Century Gothic" w:hAnsi="Century Gothic"/>
                <w:color w:val="000000"/>
                <w:sz w:val="18"/>
                <w:szCs w:val="18"/>
                <w:lang w:val="es-ES"/>
              </w:rPr>
              <w:t>428</w:t>
            </w:r>
          </w:p>
        </w:tc>
        <w:tc>
          <w:tcPr>
            <w:tcW w:w="557" w:type="pct"/>
            <w:shd w:val="clear" w:color="auto" w:fill="auto"/>
            <w:noWrap/>
            <w:vAlign w:val="center"/>
          </w:tcPr>
          <w:p w14:paraId="36E7581F" w14:textId="7ACF5D55" w:rsidR="00601383" w:rsidRPr="00154101" w:rsidRDefault="008E5976"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145.</w:t>
            </w:r>
            <w:r w:rsidR="00601383" w:rsidRPr="00154101">
              <w:rPr>
                <w:rFonts w:ascii="Century Gothic" w:hAnsi="Century Gothic"/>
                <w:color w:val="000000"/>
                <w:sz w:val="18"/>
                <w:szCs w:val="18"/>
                <w:lang w:val="es-ES"/>
              </w:rPr>
              <w:t>077</w:t>
            </w:r>
          </w:p>
        </w:tc>
      </w:tr>
      <w:tr w:rsidR="00601383" w:rsidRPr="00154101" w14:paraId="71E3B047" w14:textId="77777777" w:rsidTr="00CA56B0">
        <w:trPr>
          <w:trHeight w:val="20"/>
        </w:trPr>
        <w:tc>
          <w:tcPr>
            <w:cnfStyle w:val="001000000000" w:firstRow="0" w:lastRow="0" w:firstColumn="1" w:lastColumn="0" w:oddVBand="0" w:evenVBand="0" w:oddHBand="0" w:evenHBand="0" w:firstRowFirstColumn="0" w:firstRowLastColumn="0" w:lastRowFirstColumn="0" w:lastRowLastColumn="0"/>
            <w:tcW w:w="1156" w:type="pct"/>
            <w:tcBorders>
              <w:left w:val="none" w:sz="0" w:space="0" w:color="auto"/>
            </w:tcBorders>
            <w:shd w:val="clear" w:color="auto" w:fill="C2D69B" w:themeFill="accent3" w:themeFillTint="99"/>
            <w:vAlign w:val="center"/>
            <w:hideMark/>
          </w:tcPr>
          <w:p w14:paraId="1A68E088" w14:textId="77777777" w:rsidR="00601383" w:rsidRPr="00154101" w:rsidRDefault="00601383" w:rsidP="0023391B">
            <w:pPr>
              <w:spacing w:line="276" w:lineRule="auto"/>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Reserva financiera</w:t>
            </w:r>
          </w:p>
        </w:tc>
        <w:tc>
          <w:tcPr>
            <w:tcW w:w="548" w:type="pct"/>
            <w:shd w:val="clear" w:color="auto" w:fill="auto"/>
            <w:vAlign w:val="center"/>
          </w:tcPr>
          <w:p w14:paraId="3ABC32A6" w14:textId="26774A2A" w:rsidR="00601383" w:rsidRPr="00154101" w:rsidRDefault="00B95743" w:rsidP="00601383">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214.</w:t>
            </w:r>
            <w:r w:rsidR="00601383" w:rsidRPr="00154101">
              <w:rPr>
                <w:rFonts w:ascii="Century Gothic" w:hAnsi="Century Gothic"/>
                <w:color w:val="000000"/>
                <w:sz w:val="18"/>
                <w:szCs w:val="18"/>
                <w:lang w:val="es-ES"/>
              </w:rPr>
              <w:t>388</w:t>
            </w:r>
          </w:p>
        </w:tc>
        <w:tc>
          <w:tcPr>
            <w:tcW w:w="548" w:type="pct"/>
            <w:shd w:val="clear" w:color="auto" w:fill="auto"/>
            <w:vAlign w:val="center"/>
          </w:tcPr>
          <w:p w14:paraId="447A836B" w14:textId="290C1930" w:rsidR="00601383" w:rsidRPr="00154101" w:rsidRDefault="00B95743" w:rsidP="0060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 xml:space="preserve"> 215.</w:t>
            </w:r>
            <w:r w:rsidR="00601383" w:rsidRPr="00154101">
              <w:rPr>
                <w:rFonts w:ascii="Century Gothic" w:hAnsi="Century Gothic"/>
                <w:color w:val="000000"/>
                <w:sz w:val="18"/>
                <w:szCs w:val="18"/>
                <w:lang w:val="es-ES"/>
              </w:rPr>
              <w:t>666</w:t>
            </w:r>
          </w:p>
        </w:tc>
        <w:tc>
          <w:tcPr>
            <w:tcW w:w="548" w:type="pct"/>
            <w:shd w:val="clear" w:color="auto" w:fill="auto"/>
            <w:noWrap/>
            <w:vAlign w:val="center"/>
          </w:tcPr>
          <w:p w14:paraId="2B107AB0" w14:textId="366B4227" w:rsidR="00601383" w:rsidRPr="00154101" w:rsidRDefault="00B95743" w:rsidP="0060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 xml:space="preserve"> 212.</w:t>
            </w:r>
            <w:r w:rsidR="00601383" w:rsidRPr="00154101">
              <w:rPr>
                <w:rFonts w:ascii="Century Gothic" w:hAnsi="Century Gothic"/>
                <w:color w:val="000000"/>
                <w:sz w:val="18"/>
                <w:szCs w:val="18"/>
                <w:lang w:val="es-ES"/>
              </w:rPr>
              <w:t>767</w:t>
            </w:r>
          </w:p>
        </w:tc>
        <w:tc>
          <w:tcPr>
            <w:tcW w:w="548" w:type="pct"/>
            <w:shd w:val="clear" w:color="auto" w:fill="auto"/>
            <w:noWrap/>
            <w:vAlign w:val="center"/>
          </w:tcPr>
          <w:p w14:paraId="323F6B1C" w14:textId="4D0BCD1E" w:rsidR="00601383" w:rsidRPr="00154101" w:rsidRDefault="00B95743" w:rsidP="0060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210.</w:t>
            </w:r>
            <w:r w:rsidR="00601383" w:rsidRPr="00154101">
              <w:rPr>
                <w:rFonts w:ascii="Century Gothic" w:hAnsi="Century Gothic"/>
                <w:color w:val="000000"/>
                <w:sz w:val="18"/>
                <w:szCs w:val="18"/>
                <w:lang w:val="es-ES"/>
              </w:rPr>
              <w:t>721</w:t>
            </w:r>
          </w:p>
        </w:tc>
        <w:tc>
          <w:tcPr>
            <w:tcW w:w="548" w:type="pct"/>
            <w:shd w:val="clear" w:color="auto" w:fill="auto"/>
            <w:noWrap/>
            <w:vAlign w:val="center"/>
          </w:tcPr>
          <w:p w14:paraId="45FCDB5A" w14:textId="7E461D70" w:rsidR="00601383" w:rsidRPr="00154101" w:rsidRDefault="00B95743" w:rsidP="0060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178.</w:t>
            </w:r>
            <w:r w:rsidR="00601383" w:rsidRPr="00154101">
              <w:rPr>
                <w:rFonts w:ascii="Century Gothic" w:hAnsi="Century Gothic"/>
                <w:color w:val="000000"/>
                <w:sz w:val="18"/>
                <w:szCs w:val="18"/>
                <w:lang w:val="es-ES"/>
              </w:rPr>
              <w:t>412</w:t>
            </w:r>
          </w:p>
        </w:tc>
        <w:tc>
          <w:tcPr>
            <w:tcW w:w="547" w:type="pct"/>
            <w:shd w:val="clear" w:color="auto" w:fill="auto"/>
            <w:noWrap/>
            <w:vAlign w:val="center"/>
          </w:tcPr>
          <w:p w14:paraId="1077DECB" w14:textId="457FAC24" w:rsidR="00601383" w:rsidRPr="00154101" w:rsidRDefault="00B95743" w:rsidP="0060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154</w:t>
            </w:r>
            <w:r w:rsidR="008E5976" w:rsidRPr="00154101">
              <w:rPr>
                <w:rFonts w:ascii="Century Gothic" w:hAnsi="Century Gothic"/>
                <w:color w:val="000000"/>
                <w:sz w:val="18"/>
                <w:szCs w:val="18"/>
                <w:lang w:val="es-ES"/>
              </w:rPr>
              <w:t>.</w:t>
            </w:r>
            <w:r w:rsidR="00601383" w:rsidRPr="00154101">
              <w:rPr>
                <w:rFonts w:ascii="Century Gothic" w:hAnsi="Century Gothic"/>
                <w:color w:val="000000"/>
                <w:sz w:val="18"/>
                <w:szCs w:val="18"/>
                <w:lang w:val="es-ES"/>
              </w:rPr>
              <w:t>213</w:t>
            </w:r>
          </w:p>
        </w:tc>
        <w:tc>
          <w:tcPr>
            <w:tcW w:w="557" w:type="pct"/>
            <w:shd w:val="clear" w:color="auto" w:fill="auto"/>
            <w:noWrap/>
            <w:vAlign w:val="center"/>
          </w:tcPr>
          <w:p w14:paraId="61AAD614" w14:textId="45FD0B39" w:rsidR="00601383" w:rsidRPr="00154101" w:rsidRDefault="008E5976" w:rsidP="0060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129.</w:t>
            </w:r>
            <w:r w:rsidR="00601383" w:rsidRPr="00154101">
              <w:rPr>
                <w:rFonts w:ascii="Century Gothic" w:hAnsi="Century Gothic"/>
                <w:color w:val="000000"/>
                <w:sz w:val="18"/>
                <w:szCs w:val="18"/>
                <w:lang w:val="es-ES"/>
              </w:rPr>
              <w:t>958</w:t>
            </w:r>
          </w:p>
        </w:tc>
      </w:tr>
      <w:tr w:rsidR="00601383" w:rsidRPr="00154101" w14:paraId="3B3AFA0E" w14:textId="77777777" w:rsidTr="00CA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6" w:type="pct"/>
            <w:tcBorders>
              <w:left w:val="none" w:sz="0" w:space="0" w:color="auto"/>
              <w:bottom w:val="none" w:sz="0" w:space="0" w:color="auto"/>
            </w:tcBorders>
            <w:shd w:val="clear" w:color="auto" w:fill="C2D69B" w:themeFill="accent3" w:themeFillTint="99"/>
            <w:noWrap/>
            <w:vAlign w:val="center"/>
            <w:hideMark/>
          </w:tcPr>
          <w:p w14:paraId="46EE8D07" w14:textId="77777777" w:rsidR="00601383" w:rsidRPr="00154101" w:rsidRDefault="00601383" w:rsidP="0023391B">
            <w:pPr>
              <w:spacing w:line="276" w:lineRule="auto"/>
              <w:rPr>
                <w:rFonts w:ascii="Century Gothic" w:hAnsi="Century Gothic"/>
                <w:bCs w:val="0"/>
                <w:color w:val="000000"/>
                <w:sz w:val="18"/>
                <w:szCs w:val="18"/>
                <w:lang w:val="es-ES"/>
              </w:rPr>
            </w:pPr>
            <w:r w:rsidRPr="00154101">
              <w:rPr>
                <w:rFonts w:ascii="Century Gothic" w:hAnsi="Century Gothic"/>
                <w:bCs w:val="0"/>
                <w:color w:val="000000"/>
                <w:sz w:val="18"/>
                <w:szCs w:val="18"/>
                <w:lang w:val="es-ES"/>
              </w:rPr>
              <w:t>Cubrimiento</w:t>
            </w:r>
          </w:p>
        </w:tc>
        <w:tc>
          <w:tcPr>
            <w:tcW w:w="548" w:type="pct"/>
            <w:shd w:val="clear" w:color="auto" w:fill="auto"/>
            <w:vAlign w:val="center"/>
          </w:tcPr>
          <w:p w14:paraId="6C7DC337" w14:textId="77338EEF" w:rsidR="00601383" w:rsidRPr="00154101" w:rsidRDefault="00B95743" w:rsidP="00601383">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129,</w:t>
            </w:r>
            <w:r w:rsidR="00601383" w:rsidRPr="00154101">
              <w:rPr>
                <w:rFonts w:ascii="Century Gothic" w:hAnsi="Century Gothic"/>
                <w:color w:val="000000"/>
                <w:sz w:val="18"/>
                <w:szCs w:val="18"/>
                <w:lang w:val="es-ES"/>
              </w:rPr>
              <w:t>46%</w:t>
            </w:r>
          </w:p>
        </w:tc>
        <w:tc>
          <w:tcPr>
            <w:tcW w:w="548" w:type="pct"/>
            <w:shd w:val="clear" w:color="auto" w:fill="auto"/>
            <w:vAlign w:val="center"/>
          </w:tcPr>
          <w:p w14:paraId="48A51B7C" w14:textId="60EFD9A7" w:rsidR="00601383" w:rsidRPr="00154101" w:rsidRDefault="0060138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130,23%</w:t>
            </w:r>
          </w:p>
        </w:tc>
        <w:tc>
          <w:tcPr>
            <w:tcW w:w="548" w:type="pct"/>
            <w:shd w:val="clear" w:color="auto" w:fill="auto"/>
            <w:noWrap/>
            <w:vAlign w:val="center"/>
          </w:tcPr>
          <w:p w14:paraId="011C4B01" w14:textId="3D7D70D6"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136,</w:t>
            </w:r>
            <w:r w:rsidR="00601383" w:rsidRPr="00154101">
              <w:rPr>
                <w:rFonts w:ascii="Century Gothic" w:hAnsi="Century Gothic"/>
                <w:color w:val="000000"/>
                <w:sz w:val="18"/>
                <w:szCs w:val="18"/>
                <w:lang w:val="es-ES"/>
              </w:rPr>
              <w:t>17%</w:t>
            </w:r>
          </w:p>
        </w:tc>
        <w:tc>
          <w:tcPr>
            <w:tcW w:w="548" w:type="pct"/>
            <w:shd w:val="clear" w:color="auto" w:fill="auto"/>
            <w:noWrap/>
            <w:vAlign w:val="center"/>
          </w:tcPr>
          <w:p w14:paraId="35760881" w14:textId="2BBD10C7"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139,</w:t>
            </w:r>
            <w:r w:rsidR="00601383" w:rsidRPr="00154101">
              <w:rPr>
                <w:rFonts w:ascii="Century Gothic" w:hAnsi="Century Gothic"/>
                <w:color w:val="000000"/>
                <w:sz w:val="18"/>
                <w:szCs w:val="18"/>
                <w:lang w:val="es-ES"/>
              </w:rPr>
              <w:t>25%</w:t>
            </w:r>
          </w:p>
        </w:tc>
        <w:tc>
          <w:tcPr>
            <w:tcW w:w="548" w:type="pct"/>
            <w:shd w:val="clear" w:color="auto" w:fill="auto"/>
            <w:noWrap/>
            <w:vAlign w:val="center"/>
          </w:tcPr>
          <w:p w14:paraId="0C311DFA" w14:textId="04A97A24" w:rsidR="00601383" w:rsidRPr="00154101" w:rsidRDefault="00B95743"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123,</w:t>
            </w:r>
            <w:r w:rsidR="00601383" w:rsidRPr="00154101">
              <w:rPr>
                <w:rFonts w:ascii="Century Gothic" w:hAnsi="Century Gothic"/>
                <w:color w:val="000000"/>
                <w:sz w:val="18"/>
                <w:szCs w:val="18"/>
                <w:lang w:val="es-ES"/>
              </w:rPr>
              <w:t>95%</w:t>
            </w:r>
          </w:p>
        </w:tc>
        <w:tc>
          <w:tcPr>
            <w:tcW w:w="547" w:type="pct"/>
            <w:shd w:val="clear" w:color="auto" w:fill="auto"/>
            <w:noWrap/>
            <w:vAlign w:val="center"/>
          </w:tcPr>
          <w:p w14:paraId="5357A7FB" w14:textId="5540DF66" w:rsidR="00601383" w:rsidRPr="00154101" w:rsidRDefault="008E5976"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70,</w:t>
            </w:r>
            <w:r w:rsidR="00601383" w:rsidRPr="00154101">
              <w:rPr>
                <w:rFonts w:ascii="Century Gothic" w:hAnsi="Century Gothic"/>
                <w:color w:val="000000"/>
                <w:sz w:val="18"/>
                <w:szCs w:val="18"/>
                <w:lang w:val="es-ES"/>
              </w:rPr>
              <w:t>60%</w:t>
            </w:r>
          </w:p>
        </w:tc>
        <w:tc>
          <w:tcPr>
            <w:tcW w:w="557" w:type="pct"/>
            <w:shd w:val="clear" w:color="auto" w:fill="auto"/>
            <w:noWrap/>
            <w:vAlign w:val="center"/>
          </w:tcPr>
          <w:p w14:paraId="64D42FCF" w14:textId="253EB1AD" w:rsidR="00601383" w:rsidRPr="00154101" w:rsidRDefault="008E5976" w:rsidP="00601383">
            <w:pPr>
              <w:spacing w:line="276" w:lineRule="auto"/>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8"/>
                <w:szCs w:val="18"/>
                <w:lang w:val="es-ES"/>
              </w:rPr>
            </w:pPr>
            <w:r w:rsidRPr="00154101">
              <w:rPr>
                <w:rFonts w:ascii="Century Gothic" w:hAnsi="Century Gothic"/>
                <w:color w:val="000000"/>
                <w:sz w:val="18"/>
                <w:szCs w:val="18"/>
                <w:lang w:val="es-ES"/>
              </w:rPr>
              <w:t>89,</w:t>
            </w:r>
            <w:r w:rsidR="00601383" w:rsidRPr="00154101">
              <w:rPr>
                <w:rFonts w:ascii="Century Gothic" w:hAnsi="Century Gothic"/>
                <w:color w:val="000000"/>
                <w:sz w:val="18"/>
                <w:szCs w:val="18"/>
                <w:lang w:val="es-ES"/>
              </w:rPr>
              <w:t>58%</w:t>
            </w:r>
          </w:p>
        </w:tc>
      </w:tr>
    </w:tbl>
    <w:p w14:paraId="6097CD77" w14:textId="2F04AEB2" w:rsidR="00CF1058" w:rsidRPr="00154101" w:rsidRDefault="00CF1058" w:rsidP="00046092">
      <w:pPr>
        <w:spacing w:after="240"/>
        <w:ind w:left="-426"/>
        <w:jc w:val="center"/>
        <w:rPr>
          <w:rFonts w:ascii="Century Gothic" w:hAnsi="Century Gothic"/>
          <w:sz w:val="20"/>
          <w:szCs w:val="20"/>
          <w:lang w:val="es-ES"/>
        </w:rPr>
      </w:pPr>
      <w:r w:rsidRPr="00154101">
        <w:rPr>
          <w:rFonts w:ascii="Century Gothic" w:hAnsi="Century Gothic"/>
          <w:sz w:val="20"/>
          <w:szCs w:val="20"/>
          <w:lang w:val="es-ES"/>
        </w:rPr>
        <w:t xml:space="preserve">Fuente: </w:t>
      </w:r>
      <w:r w:rsidR="004A674F" w:rsidRPr="00154101">
        <w:rPr>
          <w:rFonts w:ascii="Century Gothic" w:hAnsi="Century Gothic"/>
          <w:sz w:val="20"/>
          <w:szCs w:val="20"/>
          <w:lang w:val="es-ES"/>
        </w:rPr>
        <w:t>Fondo Territorial de Pensiones, 2018</w:t>
      </w:r>
    </w:p>
    <w:p w14:paraId="2E4FF359" w14:textId="254EA681" w:rsidR="00CF1058" w:rsidRPr="00154101" w:rsidRDefault="002541B4" w:rsidP="008436C7">
      <w:pPr>
        <w:pStyle w:val="Epgrafe"/>
        <w:spacing w:after="0" w:line="276" w:lineRule="auto"/>
        <w:jc w:val="center"/>
        <w:rPr>
          <w:rFonts w:ascii="Century Gothic" w:hAnsi="Century Gothic"/>
          <w:b w:val="0"/>
          <w:color w:val="auto"/>
          <w:sz w:val="22"/>
          <w:szCs w:val="22"/>
          <w:lang w:val="es-ES"/>
        </w:rPr>
      </w:pPr>
      <w:bookmarkStart w:id="68" w:name="_Toc532566067"/>
      <w:r w:rsidRPr="00154101">
        <w:rPr>
          <w:rFonts w:ascii="Century Gothic" w:hAnsi="Century Gothic"/>
          <w:b w:val="0"/>
          <w:color w:val="auto"/>
          <w:sz w:val="22"/>
          <w:szCs w:val="22"/>
          <w:lang w:val="es-ES"/>
        </w:rPr>
        <w:t xml:space="preserve">Gráfica </w:t>
      </w:r>
      <w:r w:rsidRPr="00154101">
        <w:rPr>
          <w:rFonts w:ascii="Century Gothic" w:hAnsi="Century Gothic"/>
          <w:b w:val="0"/>
          <w:color w:val="auto"/>
          <w:sz w:val="22"/>
          <w:szCs w:val="22"/>
          <w:lang w:val="es-ES"/>
        </w:rPr>
        <w:fldChar w:fldCharType="begin"/>
      </w:r>
      <w:r w:rsidRPr="00154101">
        <w:rPr>
          <w:rFonts w:ascii="Century Gothic" w:hAnsi="Century Gothic"/>
          <w:b w:val="0"/>
          <w:color w:val="auto"/>
          <w:sz w:val="22"/>
          <w:szCs w:val="22"/>
          <w:lang w:val="es-ES"/>
        </w:rPr>
        <w:instrText xml:space="preserve"> SEQ Gráfica \* ARABIC </w:instrText>
      </w:r>
      <w:r w:rsidRPr="00154101">
        <w:rPr>
          <w:rFonts w:ascii="Century Gothic" w:hAnsi="Century Gothic"/>
          <w:b w:val="0"/>
          <w:color w:val="auto"/>
          <w:sz w:val="22"/>
          <w:szCs w:val="22"/>
          <w:lang w:val="es-ES"/>
        </w:rPr>
        <w:fldChar w:fldCharType="separate"/>
      </w:r>
      <w:r w:rsidR="004A2E30" w:rsidRPr="00154101">
        <w:rPr>
          <w:rFonts w:ascii="Century Gothic" w:hAnsi="Century Gothic"/>
          <w:b w:val="0"/>
          <w:noProof/>
          <w:color w:val="auto"/>
          <w:sz w:val="22"/>
          <w:szCs w:val="22"/>
          <w:lang w:val="es-ES"/>
        </w:rPr>
        <w:t>14</w:t>
      </w:r>
      <w:r w:rsidRPr="00154101">
        <w:rPr>
          <w:rFonts w:ascii="Century Gothic" w:hAnsi="Century Gothic"/>
          <w:b w:val="0"/>
          <w:color w:val="auto"/>
          <w:sz w:val="22"/>
          <w:szCs w:val="22"/>
          <w:lang w:val="es-ES"/>
        </w:rPr>
        <w:fldChar w:fldCharType="end"/>
      </w:r>
      <w:r w:rsidRPr="00154101">
        <w:rPr>
          <w:rFonts w:ascii="Century Gothic" w:hAnsi="Century Gothic"/>
          <w:b w:val="0"/>
          <w:color w:val="auto"/>
          <w:sz w:val="22"/>
          <w:szCs w:val="22"/>
          <w:lang w:val="es-ES"/>
        </w:rPr>
        <w:t>. Pasivo pensional territorial</w:t>
      </w:r>
      <w:r w:rsidR="008436C7" w:rsidRPr="00154101">
        <w:rPr>
          <w:rFonts w:ascii="Century Gothic" w:hAnsi="Century Gothic"/>
          <w:b w:val="0"/>
          <w:color w:val="auto"/>
          <w:sz w:val="22"/>
          <w:szCs w:val="22"/>
          <w:lang w:val="es-ES"/>
        </w:rPr>
        <w:t>, cubrimiento pasivo pensional territorial</w:t>
      </w:r>
      <w:bookmarkEnd w:id="68"/>
      <w:r w:rsidR="008436C7" w:rsidRPr="00154101">
        <w:rPr>
          <w:rFonts w:ascii="Century Gothic" w:hAnsi="Century Gothic"/>
          <w:b w:val="0"/>
          <w:color w:val="auto"/>
          <w:sz w:val="22"/>
          <w:szCs w:val="22"/>
          <w:lang w:val="es-ES"/>
        </w:rPr>
        <w:t xml:space="preserve"> </w:t>
      </w:r>
    </w:p>
    <w:p w14:paraId="4C375740" w14:textId="71F78D88" w:rsidR="00CF1058" w:rsidRPr="00154101" w:rsidRDefault="008436C7" w:rsidP="008436C7">
      <w:pPr>
        <w:spacing w:after="0"/>
        <w:jc w:val="center"/>
        <w:rPr>
          <w:rFonts w:ascii="Century Gothic" w:hAnsi="Century Gothic"/>
          <w:color w:val="DAEEF3"/>
          <w:lang w:val="es-ES"/>
        </w:rPr>
      </w:pPr>
      <w:r w:rsidRPr="00154101">
        <w:rPr>
          <w:rFonts w:ascii="Century Gothic" w:hAnsi="Century Gothic"/>
          <w:noProof/>
          <w:lang w:val="es-ES" w:eastAsia="es-ES"/>
        </w:rPr>
        <w:drawing>
          <wp:inline distT="0" distB="0" distL="0" distR="0" wp14:anchorId="40FD8315" wp14:editId="23F4FBCB">
            <wp:extent cx="4320540" cy="1493520"/>
            <wp:effectExtent l="0" t="0" r="3810" b="0"/>
            <wp:docPr id="83" name="Grá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D14F263" w14:textId="77777777" w:rsidR="004A674F" w:rsidRPr="00154101" w:rsidRDefault="004A674F" w:rsidP="004A674F">
      <w:pPr>
        <w:spacing w:after="240"/>
        <w:ind w:left="-426"/>
        <w:jc w:val="center"/>
        <w:rPr>
          <w:rFonts w:ascii="Century Gothic" w:hAnsi="Century Gothic"/>
          <w:sz w:val="20"/>
          <w:szCs w:val="20"/>
          <w:lang w:val="es-ES"/>
        </w:rPr>
      </w:pPr>
      <w:r w:rsidRPr="00154101">
        <w:rPr>
          <w:rFonts w:ascii="Century Gothic" w:hAnsi="Century Gothic"/>
          <w:sz w:val="20"/>
          <w:szCs w:val="20"/>
          <w:lang w:val="es-ES"/>
        </w:rPr>
        <w:t>Fuente: Fondo Territorial de Pensiones, 2018</w:t>
      </w:r>
    </w:p>
    <w:p w14:paraId="650464FF" w14:textId="79C6126C" w:rsidR="00CF1058" w:rsidRPr="00154101" w:rsidRDefault="008436C7" w:rsidP="00046092">
      <w:pPr>
        <w:spacing w:after="240"/>
        <w:jc w:val="both"/>
        <w:rPr>
          <w:rFonts w:ascii="Century Gothic" w:hAnsi="Century Gothic"/>
          <w:lang w:val="es-ES"/>
        </w:rPr>
      </w:pPr>
      <w:r w:rsidRPr="00154101">
        <w:rPr>
          <w:rFonts w:ascii="Century Gothic" w:hAnsi="Century Gothic"/>
          <w:lang w:val="es-ES"/>
        </w:rPr>
        <w:t xml:space="preserve">Los retiros de los recursos excedentes efectuados al </w:t>
      </w:r>
      <w:r w:rsidR="00D54630">
        <w:rPr>
          <w:rFonts w:ascii="Century Gothic" w:hAnsi="Century Gothic"/>
          <w:lang w:val="es-ES"/>
        </w:rPr>
        <w:t>FONPET</w:t>
      </w:r>
      <w:r w:rsidRPr="00154101">
        <w:rPr>
          <w:rFonts w:ascii="Century Gothic" w:hAnsi="Century Gothic"/>
          <w:lang w:val="es-ES"/>
        </w:rPr>
        <w:t xml:space="preserve">, durante las vigencias 2016, 2017 y junio de 2018 a favor del </w:t>
      </w:r>
      <w:r w:rsidR="00154101" w:rsidRPr="00154101">
        <w:rPr>
          <w:rFonts w:ascii="Century Gothic" w:hAnsi="Century Gothic"/>
          <w:lang w:val="es-ES"/>
        </w:rPr>
        <w:t>municipio de Pasto</w:t>
      </w:r>
      <w:r w:rsidRPr="00154101">
        <w:rPr>
          <w:rFonts w:ascii="Century Gothic" w:hAnsi="Century Gothic"/>
          <w:lang w:val="es-ES"/>
        </w:rPr>
        <w:t xml:space="preserve">, </w:t>
      </w:r>
      <w:r w:rsidR="00154101" w:rsidRPr="00154101">
        <w:rPr>
          <w:rFonts w:ascii="Century Gothic" w:hAnsi="Century Gothic"/>
          <w:lang w:val="es-ES"/>
        </w:rPr>
        <w:t>fueron lo</w:t>
      </w:r>
      <w:r w:rsidRPr="00154101">
        <w:rPr>
          <w:rFonts w:ascii="Century Gothic" w:hAnsi="Century Gothic"/>
          <w:lang w:val="es-ES"/>
        </w:rPr>
        <w:t xml:space="preserve">s siguientes: </w:t>
      </w:r>
    </w:p>
    <w:p w14:paraId="74A37915" w14:textId="0F0FB468" w:rsidR="00CF1058" w:rsidRPr="00154101" w:rsidRDefault="002541B4" w:rsidP="00E26BB8">
      <w:pPr>
        <w:keepNext/>
        <w:spacing w:after="0"/>
        <w:jc w:val="center"/>
        <w:rPr>
          <w:rFonts w:ascii="Century Gothic" w:hAnsi="Century Gothic"/>
          <w:b/>
          <w:lang w:val="es-ES"/>
        </w:rPr>
      </w:pPr>
      <w:bookmarkStart w:id="69" w:name="_Toc532566068"/>
      <w:r w:rsidRPr="00154101">
        <w:rPr>
          <w:rFonts w:ascii="Century Gothic" w:hAnsi="Century Gothic"/>
          <w:lang w:val="es-ES"/>
        </w:rPr>
        <w:t xml:space="preserve">Gráfica </w:t>
      </w:r>
      <w:r w:rsidRPr="00154101">
        <w:rPr>
          <w:rFonts w:ascii="Century Gothic" w:hAnsi="Century Gothic"/>
          <w:lang w:val="es-ES"/>
        </w:rPr>
        <w:fldChar w:fldCharType="begin"/>
      </w:r>
      <w:r w:rsidRPr="00154101">
        <w:rPr>
          <w:rFonts w:ascii="Century Gothic" w:hAnsi="Century Gothic"/>
          <w:lang w:val="es-ES"/>
        </w:rPr>
        <w:instrText xml:space="preserve"> SEQ Gráfica \* ARABIC </w:instrText>
      </w:r>
      <w:r w:rsidRPr="00154101">
        <w:rPr>
          <w:rFonts w:ascii="Century Gothic" w:hAnsi="Century Gothic"/>
          <w:lang w:val="es-ES"/>
        </w:rPr>
        <w:fldChar w:fldCharType="separate"/>
      </w:r>
      <w:r w:rsidR="004A2E30" w:rsidRPr="00154101">
        <w:rPr>
          <w:rFonts w:ascii="Century Gothic" w:hAnsi="Century Gothic"/>
          <w:noProof/>
          <w:lang w:val="es-ES"/>
        </w:rPr>
        <w:t>15</w:t>
      </w:r>
      <w:r w:rsidRPr="00154101">
        <w:rPr>
          <w:rFonts w:ascii="Century Gothic" w:hAnsi="Century Gothic"/>
          <w:lang w:val="es-ES"/>
        </w:rPr>
        <w:fldChar w:fldCharType="end"/>
      </w:r>
      <w:r w:rsidRPr="00154101">
        <w:rPr>
          <w:rFonts w:ascii="Century Gothic" w:hAnsi="Century Gothic"/>
          <w:lang w:val="es-ES"/>
        </w:rPr>
        <w:t>.</w:t>
      </w:r>
      <w:r w:rsidRPr="00154101">
        <w:rPr>
          <w:rFonts w:ascii="Century Gothic" w:hAnsi="Century Gothic"/>
          <w:b/>
          <w:lang w:val="es-ES"/>
        </w:rPr>
        <w:t xml:space="preserve"> </w:t>
      </w:r>
      <w:r w:rsidR="00154101" w:rsidRPr="00154101">
        <w:rPr>
          <w:rFonts w:ascii="Century Gothic" w:hAnsi="Century Gothic"/>
          <w:lang w:val="es-ES"/>
        </w:rPr>
        <w:t xml:space="preserve">Relación de recursos excedentes retirados del </w:t>
      </w:r>
      <w:r w:rsidR="00D54630">
        <w:rPr>
          <w:rFonts w:ascii="Century Gothic" w:hAnsi="Century Gothic"/>
          <w:lang w:val="es-ES"/>
        </w:rPr>
        <w:t>FONPET</w:t>
      </w:r>
      <w:bookmarkEnd w:id="69"/>
    </w:p>
    <w:tbl>
      <w:tblPr>
        <w:tblStyle w:val="Tabladecuadrcula5oscura-nfasis11"/>
        <w:tblW w:w="8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1559"/>
        <w:gridCol w:w="1559"/>
        <w:gridCol w:w="1418"/>
        <w:gridCol w:w="1390"/>
      </w:tblGrid>
      <w:tr w:rsidR="008436C7" w:rsidRPr="00154101" w14:paraId="517C7DA9" w14:textId="77777777" w:rsidTr="00154101">
        <w:trPr>
          <w:cnfStyle w:val="100000000000" w:firstRow="1" w:lastRow="0" w:firstColumn="0" w:lastColumn="0" w:oddVBand="0" w:evenVBand="0" w:oddHBand="0" w:evenHBand="0" w:firstRowFirstColumn="0" w:firstRowLastColumn="0" w:lastRowFirstColumn="0" w:lastRowLastColumn="0"/>
          <w:trHeight w:val="241"/>
          <w:tblHeader/>
          <w:jc w:val="center"/>
        </w:trPr>
        <w:tc>
          <w:tcPr>
            <w:cnfStyle w:val="001000000000" w:firstRow="0" w:lastRow="0" w:firstColumn="1" w:lastColumn="0" w:oddVBand="0" w:evenVBand="0" w:oddHBand="0" w:evenHBand="0" w:firstRowFirstColumn="0" w:firstRowLastColumn="0" w:lastRowFirstColumn="0" w:lastRowLastColumn="0"/>
            <w:tcW w:w="2476" w:type="dxa"/>
            <w:tcBorders>
              <w:top w:val="none" w:sz="0" w:space="0" w:color="auto"/>
              <w:left w:val="none" w:sz="0" w:space="0" w:color="auto"/>
              <w:right w:val="none" w:sz="0" w:space="0" w:color="auto"/>
            </w:tcBorders>
            <w:shd w:val="clear" w:color="auto" w:fill="C2D69B" w:themeFill="accent3" w:themeFillTint="99"/>
            <w:noWrap/>
            <w:hideMark/>
          </w:tcPr>
          <w:p w14:paraId="60485CE8" w14:textId="2C9BF17D" w:rsidR="008436C7" w:rsidRPr="00154101" w:rsidRDefault="008436C7">
            <w:pPr>
              <w:jc w:val="center"/>
              <w:rPr>
                <w:rFonts w:ascii="Century Gothic" w:hAnsi="Century Gothic" w:cs="Arial"/>
                <w:bCs w:val="0"/>
                <w:color w:val="auto"/>
                <w:sz w:val="20"/>
                <w:szCs w:val="20"/>
                <w:lang w:val="es-ES"/>
              </w:rPr>
            </w:pPr>
            <w:r w:rsidRPr="00154101">
              <w:rPr>
                <w:rFonts w:ascii="Century Gothic" w:hAnsi="Century Gothic" w:cs="Arial"/>
                <w:bCs w:val="0"/>
                <w:color w:val="auto"/>
                <w:sz w:val="20"/>
                <w:szCs w:val="20"/>
                <w:lang w:val="es-ES"/>
              </w:rPr>
              <w:t>Sector / año</w:t>
            </w:r>
          </w:p>
        </w:tc>
        <w:tc>
          <w:tcPr>
            <w:tcW w:w="1559" w:type="dxa"/>
            <w:tcBorders>
              <w:top w:val="none" w:sz="0" w:space="0" w:color="auto"/>
              <w:left w:val="none" w:sz="0" w:space="0" w:color="auto"/>
              <w:right w:val="none" w:sz="0" w:space="0" w:color="auto"/>
            </w:tcBorders>
            <w:shd w:val="clear" w:color="auto" w:fill="C2D69B" w:themeFill="accent3" w:themeFillTint="99"/>
            <w:noWrap/>
            <w:hideMark/>
          </w:tcPr>
          <w:p w14:paraId="53211AE7" w14:textId="77777777" w:rsidR="008436C7" w:rsidRPr="00154101" w:rsidRDefault="008436C7">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Cs w:val="0"/>
                <w:color w:val="auto"/>
                <w:sz w:val="20"/>
                <w:szCs w:val="20"/>
                <w:lang w:val="es-ES"/>
              </w:rPr>
            </w:pPr>
            <w:r w:rsidRPr="00154101">
              <w:rPr>
                <w:rFonts w:ascii="Century Gothic" w:hAnsi="Century Gothic" w:cs="Arial"/>
                <w:bCs w:val="0"/>
                <w:color w:val="auto"/>
                <w:sz w:val="20"/>
                <w:szCs w:val="20"/>
                <w:lang w:val="es-ES"/>
              </w:rPr>
              <w:t>2016-12</w:t>
            </w:r>
          </w:p>
        </w:tc>
        <w:tc>
          <w:tcPr>
            <w:tcW w:w="1559" w:type="dxa"/>
            <w:tcBorders>
              <w:top w:val="none" w:sz="0" w:space="0" w:color="auto"/>
              <w:left w:val="none" w:sz="0" w:space="0" w:color="auto"/>
              <w:right w:val="none" w:sz="0" w:space="0" w:color="auto"/>
            </w:tcBorders>
            <w:shd w:val="clear" w:color="auto" w:fill="C2D69B" w:themeFill="accent3" w:themeFillTint="99"/>
            <w:noWrap/>
            <w:hideMark/>
          </w:tcPr>
          <w:p w14:paraId="3811FBF7" w14:textId="77777777" w:rsidR="008436C7" w:rsidRPr="00154101" w:rsidRDefault="008436C7">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Cs w:val="0"/>
                <w:color w:val="auto"/>
                <w:sz w:val="20"/>
                <w:szCs w:val="20"/>
                <w:lang w:val="es-ES"/>
              </w:rPr>
            </w:pPr>
            <w:r w:rsidRPr="00154101">
              <w:rPr>
                <w:rFonts w:ascii="Century Gothic" w:hAnsi="Century Gothic" w:cs="Arial"/>
                <w:bCs w:val="0"/>
                <w:color w:val="auto"/>
                <w:sz w:val="20"/>
                <w:szCs w:val="20"/>
                <w:lang w:val="es-ES"/>
              </w:rPr>
              <w:t>2017-12</w:t>
            </w:r>
          </w:p>
        </w:tc>
        <w:tc>
          <w:tcPr>
            <w:tcW w:w="1418" w:type="dxa"/>
            <w:tcBorders>
              <w:top w:val="none" w:sz="0" w:space="0" w:color="auto"/>
              <w:left w:val="none" w:sz="0" w:space="0" w:color="auto"/>
              <w:right w:val="none" w:sz="0" w:space="0" w:color="auto"/>
            </w:tcBorders>
            <w:shd w:val="clear" w:color="auto" w:fill="C2D69B" w:themeFill="accent3" w:themeFillTint="99"/>
            <w:noWrap/>
            <w:hideMark/>
          </w:tcPr>
          <w:p w14:paraId="24FC09B9" w14:textId="77777777" w:rsidR="008436C7" w:rsidRPr="00154101" w:rsidRDefault="008436C7">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Cs w:val="0"/>
                <w:color w:val="auto"/>
                <w:sz w:val="20"/>
                <w:szCs w:val="20"/>
                <w:lang w:val="es-ES"/>
              </w:rPr>
            </w:pPr>
            <w:r w:rsidRPr="00154101">
              <w:rPr>
                <w:rFonts w:ascii="Century Gothic" w:hAnsi="Century Gothic" w:cs="Arial"/>
                <w:bCs w:val="0"/>
                <w:color w:val="auto"/>
                <w:sz w:val="20"/>
                <w:szCs w:val="20"/>
                <w:lang w:val="es-ES"/>
              </w:rPr>
              <w:t>2018-06</w:t>
            </w:r>
          </w:p>
        </w:tc>
        <w:tc>
          <w:tcPr>
            <w:tcW w:w="1390" w:type="dxa"/>
            <w:tcBorders>
              <w:top w:val="none" w:sz="0" w:space="0" w:color="auto"/>
              <w:left w:val="none" w:sz="0" w:space="0" w:color="auto"/>
              <w:right w:val="none" w:sz="0" w:space="0" w:color="auto"/>
            </w:tcBorders>
            <w:shd w:val="clear" w:color="auto" w:fill="C2D69B" w:themeFill="accent3" w:themeFillTint="99"/>
            <w:noWrap/>
            <w:hideMark/>
          </w:tcPr>
          <w:p w14:paraId="740DD39F" w14:textId="6D9FD42E" w:rsidR="008436C7" w:rsidRPr="00154101" w:rsidRDefault="00154101" w:rsidP="00154101">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Cs w:val="0"/>
                <w:color w:val="auto"/>
                <w:sz w:val="20"/>
                <w:szCs w:val="20"/>
                <w:lang w:val="es-ES"/>
              </w:rPr>
            </w:pPr>
            <w:r w:rsidRPr="00154101">
              <w:rPr>
                <w:rFonts w:ascii="Century Gothic" w:hAnsi="Century Gothic" w:cs="Arial"/>
                <w:bCs w:val="0"/>
                <w:color w:val="auto"/>
                <w:sz w:val="20"/>
                <w:szCs w:val="20"/>
                <w:lang w:val="es-ES"/>
              </w:rPr>
              <w:t>Total</w:t>
            </w:r>
          </w:p>
        </w:tc>
      </w:tr>
      <w:tr w:rsidR="008436C7" w:rsidRPr="00154101" w14:paraId="12881139" w14:textId="77777777" w:rsidTr="00154101">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476" w:type="dxa"/>
            <w:tcBorders>
              <w:left w:val="none" w:sz="0" w:space="0" w:color="auto"/>
            </w:tcBorders>
            <w:shd w:val="clear" w:color="auto" w:fill="C2D69B" w:themeFill="accent3" w:themeFillTint="99"/>
            <w:noWrap/>
            <w:hideMark/>
          </w:tcPr>
          <w:p w14:paraId="2FEDA2D3" w14:textId="195EA1B4" w:rsidR="008436C7" w:rsidRPr="00154101" w:rsidRDefault="008436C7">
            <w:pPr>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Salud</w:t>
            </w:r>
          </w:p>
        </w:tc>
        <w:tc>
          <w:tcPr>
            <w:tcW w:w="1559" w:type="dxa"/>
            <w:shd w:val="clear" w:color="auto" w:fill="auto"/>
            <w:noWrap/>
            <w:vAlign w:val="center"/>
            <w:hideMark/>
          </w:tcPr>
          <w:p w14:paraId="4A8C37BE" w14:textId="77777777" w:rsidR="008436C7" w:rsidRPr="00154101" w:rsidRDefault="008436C7" w:rsidP="008436C7">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0"/>
                <w:szCs w:val="20"/>
                <w:lang w:val="es-ES"/>
              </w:rPr>
            </w:pPr>
          </w:p>
        </w:tc>
        <w:tc>
          <w:tcPr>
            <w:tcW w:w="1559" w:type="dxa"/>
            <w:shd w:val="clear" w:color="auto" w:fill="auto"/>
            <w:noWrap/>
            <w:vAlign w:val="center"/>
            <w:hideMark/>
          </w:tcPr>
          <w:p w14:paraId="00434B9E" w14:textId="6C14DB84"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7.</w:t>
            </w:r>
            <w:r w:rsidR="008436C7" w:rsidRPr="00154101">
              <w:rPr>
                <w:rFonts w:ascii="Century Gothic" w:hAnsi="Century Gothic" w:cs="Arial"/>
                <w:color w:val="000000"/>
                <w:sz w:val="20"/>
                <w:szCs w:val="20"/>
                <w:lang w:val="es-ES"/>
              </w:rPr>
              <w:t>336</w:t>
            </w:r>
          </w:p>
        </w:tc>
        <w:tc>
          <w:tcPr>
            <w:tcW w:w="1418" w:type="dxa"/>
            <w:shd w:val="clear" w:color="auto" w:fill="auto"/>
            <w:noWrap/>
            <w:vAlign w:val="center"/>
            <w:hideMark/>
          </w:tcPr>
          <w:p w14:paraId="30B8ACD7" w14:textId="5D7DF17B"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9.</w:t>
            </w:r>
            <w:r w:rsidR="008436C7" w:rsidRPr="00154101">
              <w:rPr>
                <w:rFonts w:ascii="Century Gothic" w:hAnsi="Century Gothic" w:cs="Arial"/>
                <w:color w:val="000000"/>
                <w:sz w:val="20"/>
                <w:szCs w:val="20"/>
                <w:lang w:val="es-ES"/>
              </w:rPr>
              <w:t>151</w:t>
            </w:r>
          </w:p>
        </w:tc>
        <w:tc>
          <w:tcPr>
            <w:tcW w:w="1390" w:type="dxa"/>
            <w:shd w:val="clear" w:color="auto" w:fill="auto"/>
            <w:noWrap/>
            <w:vAlign w:val="center"/>
            <w:hideMark/>
          </w:tcPr>
          <w:p w14:paraId="37CB6FAD" w14:textId="1E301E4B"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16.</w:t>
            </w:r>
            <w:r w:rsidR="00E26BB8" w:rsidRPr="00154101">
              <w:rPr>
                <w:rFonts w:ascii="Century Gothic" w:hAnsi="Century Gothic" w:cs="Arial"/>
                <w:color w:val="000000"/>
                <w:sz w:val="20"/>
                <w:szCs w:val="20"/>
                <w:lang w:val="es-ES"/>
              </w:rPr>
              <w:t>488</w:t>
            </w:r>
          </w:p>
        </w:tc>
      </w:tr>
      <w:tr w:rsidR="008436C7" w:rsidRPr="00154101" w14:paraId="5443B8FA" w14:textId="77777777" w:rsidTr="00154101">
        <w:trPr>
          <w:trHeight w:val="241"/>
          <w:jc w:val="center"/>
        </w:trPr>
        <w:tc>
          <w:tcPr>
            <w:cnfStyle w:val="001000000000" w:firstRow="0" w:lastRow="0" w:firstColumn="1" w:lastColumn="0" w:oddVBand="0" w:evenVBand="0" w:oddHBand="0" w:evenHBand="0" w:firstRowFirstColumn="0" w:firstRowLastColumn="0" w:lastRowFirstColumn="0" w:lastRowLastColumn="0"/>
            <w:tcW w:w="2476" w:type="dxa"/>
            <w:tcBorders>
              <w:left w:val="none" w:sz="0" w:space="0" w:color="auto"/>
            </w:tcBorders>
            <w:shd w:val="clear" w:color="auto" w:fill="C2D69B" w:themeFill="accent3" w:themeFillTint="99"/>
            <w:noWrap/>
            <w:hideMark/>
          </w:tcPr>
          <w:p w14:paraId="0909753A" w14:textId="3A5180E6" w:rsidR="008436C7" w:rsidRPr="00154101" w:rsidRDefault="008436C7">
            <w:pPr>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Educación</w:t>
            </w:r>
          </w:p>
        </w:tc>
        <w:tc>
          <w:tcPr>
            <w:tcW w:w="1559" w:type="dxa"/>
            <w:shd w:val="clear" w:color="auto" w:fill="auto"/>
            <w:noWrap/>
            <w:vAlign w:val="center"/>
            <w:hideMark/>
          </w:tcPr>
          <w:p w14:paraId="4AE2EA6B" w14:textId="2E052AA3" w:rsidR="008436C7" w:rsidRPr="00154101" w:rsidRDefault="008E5976" w:rsidP="00E26BB8">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51.</w:t>
            </w:r>
            <w:r w:rsidR="00E26BB8" w:rsidRPr="00154101">
              <w:rPr>
                <w:rFonts w:ascii="Century Gothic" w:hAnsi="Century Gothic" w:cs="Arial"/>
                <w:color w:val="000000"/>
                <w:sz w:val="20"/>
                <w:szCs w:val="20"/>
                <w:lang w:val="es-ES"/>
              </w:rPr>
              <w:t>178</w:t>
            </w:r>
          </w:p>
        </w:tc>
        <w:tc>
          <w:tcPr>
            <w:tcW w:w="1559" w:type="dxa"/>
            <w:shd w:val="clear" w:color="auto" w:fill="auto"/>
            <w:noWrap/>
            <w:vAlign w:val="center"/>
            <w:hideMark/>
          </w:tcPr>
          <w:p w14:paraId="7E47D51F" w14:textId="12E1F1A8" w:rsidR="008436C7" w:rsidRPr="00154101" w:rsidRDefault="008E5976" w:rsidP="00E26BB8">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32.</w:t>
            </w:r>
            <w:r w:rsidR="00E26BB8" w:rsidRPr="00154101">
              <w:rPr>
                <w:rFonts w:ascii="Century Gothic" w:hAnsi="Century Gothic" w:cs="Arial"/>
                <w:color w:val="000000"/>
                <w:sz w:val="20"/>
                <w:szCs w:val="20"/>
                <w:lang w:val="es-ES"/>
              </w:rPr>
              <w:t>546</w:t>
            </w:r>
          </w:p>
        </w:tc>
        <w:tc>
          <w:tcPr>
            <w:tcW w:w="1418" w:type="dxa"/>
            <w:shd w:val="clear" w:color="auto" w:fill="auto"/>
            <w:noWrap/>
            <w:vAlign w:val="center"/>
            <w:hideMark/>
          </w:tcPr>
          <w:p w14:paraId="24C806B1" w14:textId="77777777" w:rsidR="008436C7" w:rsidRPr="00154101" w:rsidRDefault="008436C7" w:rsidP="008436C7">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0"/>
                <w:szCs w:val="20"/>
                <w:lang w:val="es-ES"/>
              </w:rPr>
            </w:pPr>
          </w:p>
        </w:tc>
        <w:tc>
          <w:tcPr>
            <w:tcW w:w="1390" w:type="dxa"/>
            <w:shd w:val="clear" w:color="auto" w:fill="auto"/>
            <w:noWrap/>
            <w:vAlign w:val="center"/>
            <w:hideMark/>
          </w:tcPr>
          <w:p w14:paraId="28B57484" w14:textId="2A79C4B8" w:rsidR="008436C7" w:rsidRPr="00154101" w:rsidRDefault="008E5976" w:rsidP="00E26BB8">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83.</w:t>
            </w:r>
            <w:r w:rsidR="00E26BB8" w:rsidRPr="00154101">
              <w:rPr>
                <w:rFonts w:ascii="Century Gothic" w:hAnsi="Century Gothic" w:cs="Arial"/>
                <w:color w:val="000000"/>
                <w:sz w:val="20"/>
                <w:szCs w:val="20"/>
                <w:lang w:val="es-ES"/>
              </w:rPr>
              <w:t>724</w:t>
            </w:r>
          </w:p>
        </w:tc>
      </w:tr>
      <w:tr w:rsidR="008436C7" w:rsidRPr="00154101" w14:paraId="46C0EEA8" w14:textId="77777777" w:rsidTr="00154101">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476" w:type="dxa"/>
            <w:tcBorders>
              <w:left w:val="none" w:sz="0" w:space="0" w:color="auto"/>
            </w:tcBorders>
            <w:shd w:val="clear" w:color="auto" w:fill="C2D69B" w:themeFill="accent3" w:themeFillTint="99"/>
            <w:noWrap/>
            <w:hideMark/>
          </w:tcPr>
          <w:p w14:paraId="451C4488" w14:textId="5B7691FE" w:rsidR="008436C7" w:rsidRPr="00154101" w:rsidRDefault="008436C7">
            <w:pPr>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Propósito general</w:t>
            </w:r>
          </w:p>
        </w:tc>
        <w:tc>
          <w:tcPr>
            <w:tcW w:w="1559" w:type="dxa"/>
            <w:vMerge w:val="restart"/>
            <w:shd w:val="clear" w:color="auto" w:fill="auto"/>
            <w:noWrap/>
            <w:vAlign w:val="center"/>
            <w:hideMark/>
          </w:tcPr>
          <w:p w14:paraId="687DFCF4" w14:textId="77777777" w:rsidR="008436C7" w:rsidRPr="00154101" w:rsidRDefault="008436C7" w:rsidP="008436C7">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0"/>
                <w:szCs w:val="20"/>
                <w:lang w:val="es-ES"/>
              </w:rPr>
            </w:pPr>
          </w:p>
        </w:tc>
        <w:tc>
          <w:tcPr>
            <w:tcW w:w="1559" w:type="dxa"/>
            <w:vMerge w:val="restart"/>
            <w:shd w:val="clear" w:color="auto" w:fill="auto"/>
            <w:noWrap/>
            <w:vAlign w:val="center"/>
            <w:hideMark/>
          </w:tcPr>
          <w:p w14:paraId="445E1DE4" w14:textId="5B00DBB8"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1.</w:t>
            </w:r>
            <w:r w:rsidR="008436C7" w:rsidRPr="00154101">
              <w:rPr>
                <w:rFonts w:ascii="Century Gothic" w:hAnsi="Century Gothic" w:cs="Arial"/>
                <w:color w:val="000000"/>
                <w:sz w:val="20"/>
                <w:szCs w:val="20"/>
                <w:lang w:val="es-ES"/>
              </w:rPr>
              <w:t>037</w:t>
            </w:r>
          </w:p>
        </w:tc>
        <w:tc>
          <w:tcPr>
            <w:tcW w:w="1418" w:type="dxa"/>
            <w:vMerge w:val="restart"/>
            <w:shd w:val="clear" w:color="auto" w:fill="auto"/>
            <w:noWrap/>
            <w:vAlign w:val="center"/>
            <w:hideMark/>
          </w:tcPr>
          <w:p w14:paraId="69AD9A54" w14:textId="77777777" w:rsidR="008436C7" w:rsidRPr="00154101" w:rsidRDefault="008436C7" w:rsidP="008436C7">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0"/>
                <w:szCs w:val="20"/>
                <w:lang w:val="es-ES"/>
              </w:rPr>
            </w:pPr>
          </w:p>
        </w:tc>
        <w:tc>
          <w:tcPr>
            <w:tcW w:w="1390" w:type="dxa"/>
            <w:vMerge w:val="restart"/>
            <w:shd w:val="clear" w:color="auto" w:fill="auto"/>
            <w:noWrap/>
            <w:vAlign w:val="center"/>
            <w:hideMark/>
          </w:tcPr>
          <w:p w14:paraId="440674F0" w14:textId="6FAEE777"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1.</w:t>
            </w:r>
            <w:r w:rsidR="00E26BB8" w:rsidRPr="00154101">
              <w:rPr>
                <w:rFonts w:ascii="Century Gothic" w:hAnsi="Century Gothic" w:cs="Arial"/>
                <w:color w:val="000000"/>
                <w:sz w:val="20"/>
                <w:szCs w:val="20"/>
                <w:lang w:val="es-ES"/>
              </w:rPr>
              <w:t>037</w:t>
            </w:r>
          </w:p>
        </w:tc>
      </w:tr>
      <w:tr w:rsidR="008436C7" w:rsidRPr="00154101" w14:paraId="5E7FD8CC" w14:textId="77777777" w:rsidTr="00154101">
        <w:trPr>
          <w:trHeight w:val="241"/>
          <w:jc w:val="center"/>
        </w:trPr>
        <w:tc>
          <w:tcPr>
            <w:cnfStyle w:val="001000000000" w:firstRow="0" w:lastRow="0" w:firstColumn="1" w:lastColumn="0" w:oddVBand="0" w:evenVBand="0" w:oddHBand="0" w:evenHBand="0" w:firstRowFirstColumn="0" w:firstRowLastColumn="0" w:lastRowFirstColumn="0" w:lastRowLastColumn="0"/>
            <w:tcW w:w="2476" w:type="dxa"/>
            <w:tcBorders>
              <w:left w:val="none" w:sz="0" w:space="0" w:color="auto"/>
            </w:tcBorders>
            <w:shd w:val="clear" w:color="auto" w:fill="C2D69B" w:themeFill="accent3" w:themeFillTint="99"/>
            <w:noWrap/>
            <w:hideMark/>
          </w:tcPr>
          <w:p w14:paraId="72908A34" w14:textId="77777777" w:rsidR="008436C7" w:rsidRPr="00154101" w:rsidRDefault="008436C7">
            <w:pPr>
              <w:rPr>
                <w:rFonts w:ascii="Century Gothic" w:hAnsi="Century Gothic" w:cs="Arial"/>
                <w:color w:val="000000"/>
                <w:sz w:val="20"/>
                <w:szCs w:val="20"/>
                <w:lang w:val="es-ES"/>
              </w:rPr>
            </w:pPr>
            <w:r w:rsidRPr="00154101">
              <w:rPr>
                <w:rFonts w:ascii="Century Gothic" w:hAnsi="Century Gothic" w:cs="Arial"/>
                <w:color w:val="000000"/>
                <w:sz w:val="20"/>
                <w:szCs w:val="20"/>
                <w:lang w:val="es-ES"/>
              </w:rPr>
              <w:t>(Bonos Pensionales)</w:t>
            </w:r>
          </w:p>
        </w:tc>
        <w:tc>
          <w:tcPr>
            <w:tcW w:w="1559" w:type="dxa"/>
            <w:vMerge/>
            <w:shd w:val="clear" w:color="auto" w:fill="auto"/>
            <w:vAlign w:val="center"/>
            <w:hideMark/>
          </w:tcPr>
          <w:p w14:paraId="2E12F1AA" w14:textId="77777777" w:rsidR="008436C7" w:rsidRPr="00154101" w:rsidRDefault="008436C7" w:rsidP="008436C7">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0"/>
                <w:szCs w:val="20"/>
                <w:lang w:val="es-ES"/>
              </w:rPr>
            </w:pPr>
          </w:p>
        </w:tc>
        <w:tc>
          <w:tcPr>
            <w:tcW w:w="1559" w:type="dxa"/>
            <w:vMerge/>
            <w:shd w:val="clear" w:color="auto" w:fill="auto"/>
            <w:vAlign w:val="center"/>
            <w:hideMark/>
          </w:tcPr>
          <w:p w14:paraId="27CDDB81" w14:textId="77777777" w:rsidR="008436C7" w:rsidRPr="00154101" w:rsidRDefault="008436C7" w:rsidP="008436C7">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0"/>
                <w:szCs w:val="20"/>
                <w:lang w:val="es-ES"/>
              </w:rPr>
            </w:pPr>
          </w:p>
        </w:tc>
        <w:tc>
          <w:tcPr>
            <w:tcW w:w="1418" w:type="dxa"/>
            <w:vMerge/>
            <w:shd w:val="clear" w:color="auto" w:fill="auto"/>
            <w:vAlign w:val="center"/>
            <w:hideMark/>
          </w:tcPr>
          <w:p w14:paraId="1F6AA80D" w14:textId="77777777" w:rsidR="008436C7" w:rsidRPr="00154101" w:rsidRDefault="008436C7" w:rsidP="008436C7">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0"/>
                <w:szCs w:val="20"/>
                <w:lang w:val="es-ES"/>
              </w:rPr>
            </w:pPr>
          </w:p>
        </w:tc>
        <w:tc>
          <w:tcPr>
            <w:tcW w:w="1390" w:type="dxa"/>
            <w:vMerge/>
            <w:shd w:val="clear" w:color="auto" w:fill="auto"/>
            <w:vAlign w:val="center"/>
            <w:hideMark/>
          </w:tcPr>
          <w:p w14:paraId="59BDB970" w14:textId="77777777" w:rsidR="008436C7" w:rsidRPr="00154101" w:rsidRDefault="008436C7" w:rsidP="008436C7">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0"/>
                <w:szCs w:val="20"/>
                <w:lang w:val="es-ES"/>
              </w:rPr>
            </w:pPr>
          </w:p>
        </w:tc>
      </w:tr>
      <w:tr w:rsidR="0039763E" w:rsidRPr="00154101" w14:paraId="7EF0870D" w14:textId="77777777" w:rsidTr="00154101">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476" w:type="dxa"/>
            <w:tcBorders>
              <w:left w:val="none" w:sz="0" w:space="0" w:color="auto"/>
              <w:bottom w:val="none" w:sz="0" w:space="0" w:color="auto"/>
            </w:tcBorders>
            <w:shd w:val="clear" w:color="auto" w:fill="C2D69B" w:themeFill="accent3" w:themeFillTint="99"/>
            <w:noWrap/>
            <w:hideMark/>
          </w:tcPr>
          <w:p w14:paraId="69AD0584" w14:textId="028284D3" w:rsidR="008436C7" w:rsidRPr="00154101" w:rsidRDefault="008436C7">
            <w:pPr>
              <w:jc w:val="center"/>
              <w:rPr>
                <w:rFonts w:ascii="Century Gothic" w:hAnsi="Century Gothic" w:cs="Arial"/>
                <w:b w:val="0"/>
                <w:bCs w:val="0"/>
                <w:color w:val="000000"/>
                <w:sz w:val="20"/>
                <w:szCs w:val="20"/>
                <w:lang w:val="es-ES"/>
              </w:rPr>
            </w:pPr>
            <w:r w:rsidRPr="00154101">
              <w:rPr>
                <w:rFonts w:ascii="Century Gothic" w:hAnsi="Century Gothic" w:cs="Arial"/>
                <w:bCs w:val="0"/>
                <w:color w:val="000000"/>
                <w:sz w:val="20"/>
                <w:szCs w:val="20"/>
                <w:lang w:val="es-ES"/>
              </w:rPr>
              <w:t>Totales</w:t>
            </w:r>
          </w:p>
        </w:tc>
        <w:tc>
          <w:tcPr>
            <w:tcW w:w="1559" w:type="dxa"/>
            <w:shd w:val="clear" w:color="auto" w:fill="C2D69B" w:themeFill="accent3" w:themeFillTint="99"/>
            <w:noWrap/>
            <w:vAlign w:val="center"/>
            <w:hideMark/>
          </w:tcPr>
          <w:p w14:paraId="2DB97903" w14:textId="4946347E"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b/>
                <w:bCs/>
                <w:color w:val="000000"/>
                <w:sz w:val="20"/>
                <w:szCs w:val="20"/>
                <w:lang w:val="es-ES"/>
              </w:rPr>
            </w:pPr>
            <w:r w:rsidRPr="00154101">
              <w:rPr>
                <w:rFonts w:ascii="Century Gothic" w:hAnsi="Century Gothic" w:cs="Arial"/>
                <w:b/>
                <w:bCs/>
                <w:color w:val="000000"/>
                <w:sz w:val="20"/>
                <w:szCs w:val="20"/>
                <w:lang w:val="es-ES"/>
              </w:rPr>
              <w:t>51.</w:t>
            </w:r>
            <w:r w:rsidR="00E26BB8" w:rsidRPr="00154101">
              <w:rPr>
                <w:rFonts w:ascii="Century Gothic" w:hAnsi="Century Gothic" w:cs="Arial"/>
                <w:b/>
                <w:bCs/>
                <w:color w:val="000000"/>
                <w:sz w:val="20"/>
                <w:szCs w:val="20"/>
                <w:lang w:val="es-ES"/>
              </w:rPr>
              <w:t>178</w:t>
            </w:r>
          </w:p>
        </w:tc>
        <w:tc>
          <w:tcPr>
            <w:tcW w:w="1559" w:type="dxa"/>
            <w:shd w:val="clear" w:color="auto" w:fill="C2D69B" w:themeFill="accent3" w:themeFillTint="99"/>
            <w:noWrap/>
            <w:vAlign w:val="center"/>
            <w:hideMark/>
          </w:tcPr>
          <w:p w14:paraId="3F643CAF" w14:textId="35D18E6B"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b/>
                <w:bCs/>
                <w:color w:val="000000"/>
                <w:sz w:val="20"/>
                <w:szCs w:val="20"/>
                <w:lang w:val="es-ES"/>
              </w:rPr>
            </w:pPr>
            <w:r w:rsidRPr="00154101">
              <w:rPr>
                <w:rFonts w:ascii="Century Gothic" w:hAnsi="Century Gothic" w:cs="Arial"/>
                <w:b/>
                <w:bCs/>
                <w:color w:val="000000"/>
                <w:sz w:val="20"/>
                <w:szCs w:val="20"/>
                <w:lang w:val="es-ES"/>
              </w:rPr>
              <w:t>40.</w:t>
            </w:r>
            <w:r w:rsidR="008436C7" w:rsidRPr="00154101">
              <w:rPr>
                <w:rFonts w:ascii="Century Gothic" w:hAnsi="Century Gothic" w:cs="Arial"/>
                <w:b/>
                <w:bCs/>
                <w:color w:val="000000"/>
                <w:sz w:val="20"/>
                <w:szCs w:val="20"/>
                <w:lang w:val="es-ES"/>
              </w:rPr>
              <w:t>920</w:t>
            </w:r>
          </w:p>
        </w:tc>
        <w:tc>
          <w:tcPr>
            <w:tcW w:w="1418" w:type="dxa"/>
            <w:shd w:val="clear" w:color="auto" w:fill="C2D69B" w:themeFill="accent3" w:themeFillTint="99"/>
            <w:noWrap/>
            <w:vAlign w:val="center"/>
            <w:hideMark/>
          </w:tcPr>
          <w:p w14:paraId="0378E231" w14:textId="75DE06E0"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b/>
                <w:bCs/>
                <w:color w:val="000000"/>
                <w:sz w:val="20"/>
                <w:szCs w:val="20"/>
                <w:lang w:val="es-ES"/>
              </w:rPr>
            </w:pPr>
            <w:r w:rsidRPr="00154101">
              <w:rPr>
                <w:rFonts w:ascii="Century Gothic" w:hAnsi="Century Gothic" w:cs="Arial"/>
                <w:b/>
                <w:bCs/>
                <w:color w:val="000000"/>
                <w:sz w:val="20"/>
                <w:szCs w:val="20"/>
                <w:lang w:val="es-ES"/>
              </w:rPr>
              <w:t>9.</w:t>
            </w:r>
            <w:r w:rsidR="00E26BB8" w:rsidRPr="00154101">
              <w:rPr>
                <w:rFonts w:ascii="Century Gothic" w:hAnsi="Century Gothic" w:cs="Arial"/>
                <w:b/>
                <w:bCs/>
                <w:color w:val="000000"/>
                <w:sz w:val="20"/>
                <w:szCs w:val="20"/>
                <w:lang w:val="es-ES"/>
              </w:rPr>
              <w:t>151</w:t>
            </w:r>
          </w:p>
        </w:tc>
        <w:tc>
          <w:tcPr>
            <w:tcW w:w="1390" w:type="dxa"/>
            <w:shd w:val="clear" w:color="auto" w:fill="C2D69B" w:themeFill="accent3" w:themeFillTint="99"/>
            <w:noWrap/>
            <w:vAlign w:val="center"/>
            <w:hideMark/>
          </w:tcPr>
          <w:p w14:paraId="4F8A1265" w14:textId="5D580B98" w:rsidR="008436C7" w:rsidRPr="00154101" w:rsidRDefault="008E5976" w:rsidP="00E26BB8">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s="Arial"/>
                <w:b/>
                <w:bCs/>
                <w:color w:val="000000"/>
                <w:sz w:val="20"/>
                <w:szCs w:val="20"/>
                <w:lang w:val="es-ES"/>
              </w:rPr>
            </w:pPr>
            <w:r w:rsidRPr="00154101">
              <w:rPr>
                <w:rFonts w:ascii="Century Gothic" w:hAnsi="Century Gothic" w:cs="Arial"/>
                <w:b/>
                <w:bCs/>
                <w:color w:val="000000"/>
                <w:sz w:val="20"/>
                <w:szCs w:val="20"/>
                <w:lang w:val="es-ES"/>
              </w:rPr>
              <w:t>101.</w:t>
            </w:r>
            <w:r w:rsidR="00E26BB8" w:rsidRPr="00154101">
              <w:rPr>
                <w:rFonts w:ascii="Century Gothic" w:hAnsi="Century Gothic" w:cs="Arial"/>
                <w:b/>
                <w:bCs/>
                <w:color w:val="000000"/>
                <w:sz w:val="20"/>
                <w:szCs w:val="20"/>
                <w:lang w:val="es-ES"/>
              </w:rPr>
              <w:t>250</w:t>
            </w:r>
          </w:p>
        </w:tc>
      </w:tr>
    </w:tbl>
    <w:p w14:paraId="47A37756" w14:textId="77777777" w:rsidR="004A674F" w:rsidRPr="00154101" w:rsidRDefault="004A674F" w:rsidP="004A674F">
      <w:pPr>
        <w:spacing w:after="240"/>
        <w:ind w:left="-426"/>
        <w:jc w:val="center"/>
        <w:rPr>
          <w:rFonts w:ascii="Century Gothic" w:hAnsi="Century Gothic"/>
          <w:sz w:val="20"/>
          <w:szCs w:val="20"/>
          <w:lang w:val="es-ES"/>
        </w:rPr>
      </w:pPr>
      <w:r w:rsidRPr="00154101">
        <w:rPr>
          <w:rFonts w:ascii="Century Gothic" w:hAnsi="Century Gothic"/>
          <w:sz w:val="20"/>
          <w:szCs w:val="20"/>
          <w:lang w:val="es-ES"/>
        </w:rPr>
        <w:t>Fuente: Fondo Territorial de Pensiones, 2018</w:t>
      </w:r>
    </w:p>
    <w:p w14:paraId="23AD1B8B" w14:textId="5F7122E1" w:rsidR="0039763E" w:rsidRPr="00154101" w:rsidRDefault="0039763E" w:rsidP="0039763E">
      <w:pPr>
        <w:spacing w:after="240"/>
        <w:jc w:val="both"/>
        <w:rPr>
          <w:rFonts w:ascii="Century Gothic" w:hAnsi="Century Gothic"/>
          <w:lang w:val="es-ES"/>
        </w:rPr>
      </w:pPr>
      <w:r w:rsidRPr="00154101">
        <w:rPr>
          <w:rFonts w:ascii="Century Gothic" w:hAnsi="Century Gothic"/>
          <w:lang w:val="es-ES"/>
        </w:rPr>
        <w:lastRenderedPageBreak/>
        <w:t xml:space="preserve">Los recursos </w:t>
      </w:r>
      <w:r w:rsidR="00154101" w:rsidRPr="00154101">
        <w:rPr>
          <w:rFonts w:ascii="Century Gothic" w:hAnsi="Century Gothic"/>
          <w:lang w:val="es-ES"/>
        </w:rPr>
        <w:t xml:space="preserve">del desahorro </w:t>
      </w:r>
      <w:r w:rsidR="00D54630">
        <w:rPr>
          <w:rFonts w:ascii="Century Gothic" w:hAnsi="Century Gothic"/>
          <w:lang w:val="es-ES"/>
        </w:rPr>
        <w:t>FONPET</w:t>
      </w:r>
      <w:r w:rsidR="00154101" w:rsidRPr="00154101">
        <w:rPr>
          <w:rFonts w:ascii="Century Gothic" w:hAnsi="Century Gothic"/>
          <w:lang w:val="es-ES"/>
        </w:rPr>
        <w:t xml:space="preserve"> con destino al sector salud</w:t>
      </w:r>
      <w:r w:rsidRPr="00154101">
        <w:rPr>
          <w:rFonts w:ascii="Century Gothic" w:hAnsi="Century Gothic"/>
          <w:lang w:val="es-ES"/>
        </w:rPr>
        <w:t xml:space="preserve">, se </w:t>
      </w:r>
      <w:r w:rsidR="00154101" w:rsidRPr="00154101">
        <w:rPr>
          <w:rFonts w:ascii="Century Gothic" w:hAnsi="Century Gothic"/>
          <w:lang w:val="es-ES"/>
        </w:rPr>
        <w:t>utilizar par</w:t>
      </w:r>
      <w:r w:rsidRPr="00154101">
        <w:rPr>
          <w:rFonts w:ascii="Century Gothic" w:hAnsi="Century Gothic"/>
          <w:lang w:val="es-ES"/>
        </w:rPr>
        <w:t>a la cofinanciación del aseguramiento en el Régimen Subsidiado y pasaron directamente a la Administradora de los Recursos del Sistema General de la Seguridad Social en Salud (ADRES).</w:t>
      </w:r>
    </w:p>
    <w:p w14:paraId="65E738C1" w14:textId="5B4D4F11" w:rsidR="0039763E" w:rsidRPr="009A2127" w:rsidRDefault="0039763E" w:rsidP="0039763E">
      <w:pPr>
        <w:spacing w:after="240"/>
        <w:jc w:val="both"/>
        <w:rPr>
          <w:rFonts w:ascii="Century Gothic" w:hAnsi="Century Gothic"/>
          <w:lang w:val="es-ES"/>
        </w:rPr>
      </w:pPr>
      <w:r w:rsidRPr="00154101">
        <w:rPr>
          <w:rFonts w:ascii="Century Gothic" w:hAnsi="Century Gothic"/>
          <w:lang w:val="es-ES"/>
        </w:rPr>
        <w:t xml:space="preserve">Los recursos excedentes </w:t>
      </w:r>
      <w:r w:rsidR="00154101" w:rsidRPr="00154101">
        <w:rPr>
          <w:rFonts w:ascii="Century Gothic" w:hAnsi="Century Gothic"/>
          <w:lang w:val="es-ES"/>
        </w:rPr>
        <w:t xml:space="preserve">retirados para el sector educación, fueron destinados </w:t>
      </w:r>
      <w:r w:rsidRPr="00154101">
        <w:rPr>
          <w:rFonts w:ascii="Century Gothic" w:hAnsi="Century Gothic"/>
          <w:lang w:val="es-ES"/>
        </w:rPr>
        <w:t xml:space="preserve">para financiar proyectos de </w:t>
      </w:r>
      <w:r w:rsidR="00154101" w:rsidRPr="00154101">
        <w:rPr>
          <w:rFonts w:ascii="Century Gothic" w:hAnsi="Century Gothic"/>
          <w:lang w:val="es-ES"/>
        </w:rPr>
        <w:t xml:space="preserve">inversión </w:t>
      </w:r>
      <w:r w:rsidRPr="00154101">
        <w:rPr>
          <w:rFonts w:ascii="Century Gothic" w:hAnsi="Century Gothic"/>
          <w:lang w:val="es-ES"/>
        </w:rPr>
        <w:t>en e</w:t>
      </w:r>
      <w:r w:rsidR="00154101" w:rsidRPr="00154101">
        <w:rPr>
          <w:rFonts w:ascii="Century Gothic" w:hAnsi="Century Gothic"/>
          <w:lang w:val="es-ES"/>
        </w:rPr>
        <w:t>ste sector</w:t>
      </w:r>
      <w:r w:rsidRPr="00154101">
        <w:rPr>
          <w:rFonts w:ascii="Century Gothic" w:hAnsi="Century Gothic"/>
          <w:lang w:val="es-ES"/>
        </w:rPr>
        <w:t>, teniendo en cuenta los lineamientos estable</w:t>
      </w:r>
      <w:r w:rsidR="00154101" w:rsidRPr="00154101">
        <w:rPr>
          <w:rFonts w:ascii="Century Gothic" w:hAnsi="Century Gothic"/>
          <w:lang w:val="es-ES"/>
        </w:rPr>
        <w:t xml:space="preserve">cidos por </w:t>
      </w:r>
      <w:r w:rsidRPr="00154101">
        <w:rPr>
          <w:rFonts w:ascii="Century Gothic" w:hAnsi="Century Gothic"/>
          <w:lang w:val="es-ES"/>
        </w:rPr>
        <w:t>el Ministerio de Educación Nacional y la destinación específica de la fuente</w:t>
      </w:r>
      <w:r w:rsidR="00154101" w:rsidRPr="00154101">
        <w:rPr>
          <w:rFonts w:ascii="Century Gothic" w:hAnsi="Century Gothic"/>
          <w:lang w:val="es-ES"/>
        </w:rPr>
        <w:t>,</w:t>
      </w:r>
      <w:r w:rsidRPr="00154101">
        <w:rPr>
          <w:rFonts w:ascii="Century Gothic" w:hAnsi="Century Gothic"/>
          <w:lang w:val="es-ES"/>
        </w:rPr>
        <w:t xml:space="preserve"> de la cual</w:t>
      </w:r>
      <w:r w:rsidR="00154101" w:rsidRPr="00154101">
        <w:rPr>
          <w:rFonts w:ascii="Century Gothic" w:hAnsi="Century Gothic"/>
          <w:lang w:val="es-ES"/>
        </w:rPr>
        <w:t>,</w:t>
      </w:r>
      <w:r w:rsidRPr="00154101">
        <w:rPr>
          <w:rFonts w:ascii="Century Gothic" w:hAnsi="Century Gothic"/>
          <w:lang w:val="es-ES"/>
        </w:rPr>
        <w:t xml:space="preserve"> provienen esos recursos, de acuerdo con lo señalado en el inciso 5º del Artículo 147 de la Ley 1753 y en el Articulo 2.12.3.8.3.7 del Decreto 117 </w:t>
      </w:r>
      <w:r w:rsidRPr="009A2127">
        <w:rPr>
          <w:rFonts w:ascii="Century Gothic" w:hAnsi="Century Gothic"/>
          <w:lang w:val="es-ES"/>
        </w:rPr>
        <w:t>de 2017.</w:t>
      </w:r>
    </w:p>
    <w:p w14:paraId="47C1F67C" w14:textId="51A65C7D" w:rsidR="0039763E" w:rsidRPr="009A2127" w:rsidRDefault="0039763E" w:rsidP="0039763E">
      <w:pPr>
        <w:spacing w:after="240"/>
        <w:jc w:val="both"/>
        <w:rPr>
          <w:rFonts w:ascii="Century Gothic" w:hAnsi="Century Gothic"/>
          <w:lang w:val="es-ES"/>
        </w:rPr>
      </w:pPr>
      <w:r w:rsidRPr="009A2127">
        <w:rPr>
          <w:rFonts w:ascii="Century Gothic" w:hAnsi="Century Gothic"/>
          <w:lang w:val="es-ES"/>
        </w:rPr>
        <w:t xml:space="preserve">En cuanto a los recursos retirados del Sector Propósito General, la Administración Municipal los destinó para el pago de </w:t>
      </w:r>
      <w:r w:rsidR="009A2127" w:rsidRPr="009A2127">
        <w:rPr>
          <w:rFonts w:ascii="Century Gothic" w:hAnsi="Century Gothic"/>
          <w:lang w:val="es-ES"/>
        </w:rPr>
        <w:t xml:space="preserve">bonos pensionales emitidos y reconocidos </w:t>
      </w:r>
      <w:r w:rsidRPr="009A2127">
        <w:rPr>
          <w:rFonts w:ascii="Century Gothic" w:hAnsi="Century Gothic"/>
          <w:lang w:val="es-ES"/>
        </w:rPr>
        <w:t>a favor de COLPENSIONES.</w:t>
      </w:r>
    </w:p>
    <w:p w14:paraId="15D6A62E" w14:textId="77777777" w:rsidR="002541B4" w:rsidRPr="009A2127" w:rsidRDefault="002541B4" w:rsidP="00046092">
      <w:pPr>
        <w:pStyle w:val="Ttulo5"/>
        <w:spacing w:after="240" w:line="276" w:lineRule="auto"/>
        <w:rPr>
          <w:lang w:val="es-ES"/>
        </w:rPr>
      </w:pPr>
      <w:r w:rsidRPr="009A2127">
        <w:rPr>
          <w:lang w:val="es-ES"/>
        </w:rPr>
        <w:t>Pasivos contingentes en operaciones de crédito público</w:t>
      </w:r>
    </w:p>
    <w:p w14:paraId="65828DDD" w14:textId="4E06A5AA" w:rsidR="00D73B13" w:rsidRPr="009A2127" w:rsidRDefault="00D73B13" w:rsidP="00046092">
      <w:pPr>
        <w:spacing w:after="240"/>
        <w:jc w:val="both"/>
        <w:rPr>
          <w:rFonts w:ascii="Century Gothic" w:hAnsi="Century Gothic"/>
          <w:lang w:val="es-ES"/>
        </w:rPr>
      </w:pPr>
      <w:r w:rsidRPr="009A2127">
        <w:rPr>
          <w:rFonts w:ascii="Century Gothic" w:hAnsi="Century Gothic"/>
          <w:lang w:val="es-ES"/>
        </w:rPr>
        <w:t xml:space="preserve">Para analizar el impacto generado por los pasivos contingentes en la capacidad de pago del </w:t>
      </w:r>
      <w:r w:rsidR="009A2127" w:rsidRPr="009A2127">
        <w:rPr>
          <w:rFonts w:ascii="Century Gothic" w:hAnsi="Century Gothic"/>
          <w:lang w:val="es-ES"/>
        </w:rPr>
        <w:t xml:space="preserve">municipio </w:t>
      </w:r>
      <w:r w:rsidRPr="009A2127">
        <w:rPr>
          <w:rFonts w:ascii="Century Gothic" w:hAnsi="Century Gothic"/>
          <w:lang w:val="es-ES"/>
        </w:rPr>
        <w:t>de Pasto, establecid</w:t>
      </w:r>
      <w:r w:rsidR="009A2127" w:rsidRPr="009A2127">
        <w:rPr>
          <w:rFonts w:ascii="Century Gothic" w:hAnsi="Century Gothic"/>
          <w:lang w:val="es-ES"/>
        </w:rPr>
        <w:t>os en la Ley 358 de 1997, se toma</w:t>
      </w:r>
      <w:r w:rsidRPr="009A2127">
        <w:rPr>
          <w:rFonts w:ascii="Century Gothic" w:hAnsi="Century Gothic"/>
          <w:lang w:val="es-ES"/>
        </w:rPr>
        <w:t xml:space="preserve"> los resultados de los indicadores de sostenibilidad y solvencia, incluyendo las partidas anuales que el aplicativo estima como pasivo contingente para cada uno de los años que conforman el Marco Fiscal de Mediano Plazo 201</w:t>
      </w:r>
      <w:r w:rsidR="009A2127" w:rsidRPr="009A2127">
        <w:rPr>
          <w:rFonts w:ascii="Century Gothic" w:hAnsi="Century Gothic"/>
          <w:lang w:val="es-ES"/>
        </w:rPr>
        <w:t>9</w:t>
      </w:r>
      <w:r w:rsidRPr="009A2127">
        <w:rPr>
          <w:rFonts w:ascii="Century Gothic" w:hAnsi="Century Gothic"/>
          <w:lang w:val="es-ES"/>
        </w:rPr>
        <w:t xml:space="preserve"> – 202</w:t>
      </w:r>
      <w:r w:rsidR="009A2127" w:rsidRPr="009A2127">
        <w:rPr>
          <w:rFonts w:ascii="Century Gothic" w:hAnsi="Century Gothic"/>
          <w:lang w:val="es-ES"/>
        </w:rPr>
        <w:t>8</w:t>
      </w:r>
      <w:r w:rsidRPr="009A2127">
        <w:rPr>
          <w:rFonts w:ascii="Century Gothic" w:hAnsi="Century Gothic"/>
          <w:lang w:val="es-ES"/>
        </w:rPr>
        <w:t xml:space="preserve"> aplicando las fórmulas que se citan a continuación: </w:t>
      </w:r>
    </w:p>
    <w:p w14:paraId="5411B780" w14:textId="5C894C8C" w:rsidR="002541B4" w:rsidRPr="009A2127" w:rsidRDefault="002541B4" w:rsidP="00046092">
      <w:pPr>
        <w:spacing w:after="240"/>
        <w:jc w:val="both"/>
        <w:rPr>
          <w:rFonts w:ascii="Century Gothic" w:hAnsi="Century Gothic"/>
          <w:b/>
          <w:lang w:val="es-ES"/>
        </w:rPr>
      </w:pPr>
      <w:r w:rsidRPr="009A2127">
        <w:rPr>
          <w:rFonts w:ascii="Century Gothic" w:hAnsi="Century Gothic"/>
          <w:b/>
          <w:lang w:val="es-ES"/>
        </w:rPr>
        <w:t xml:space="preserve">Formula de Indicadores sin pasivos contingentes: </w:t>
      </w:r>
    </w:p>
    <w:p w14:paraId="5A1242AF" w14:textId="1293A048" w:rsidR="002541B4" w:rsidRPr="009A2127" w:rsidRDefault="000C2358" w:rsidP="00046092">
      <w:pPr>
        <w:spacing w:after="240"/>
        <w:jc w:val="both"/>
        <w:rPr>
          <w:rFonts w:ascii="Century Gothic" w:hAnsi="Century Gothic"/>
          <w:lang w:val="es-ES"/>
        </w:rPr>
      </w:pPr>
      <w:r w:rsidRPr="009A2127">
        <w:rPr>
          <w:rFonts w:ascii="Century Gothic" w:hAnsi="Century Gothic"/>
          <w:lang w:val="es-ES"/>
        </w:rPr>
        <w:t>Solvencia</w:t>
      </w:r>
      <w:r w:rsidR="002541B4" w:rsidRPr="009A2127">
        <w:rPr>
          <w:rFonts w:ascii="Century Gothic" w:hAnsi="Century Gothic"/>
          <w:lang w:val="es-ES"/>
        </w:rPr>
        <w:t>:</w:t>
      </w:r>
      <w:r>
        <w:rPr>
          <w:rFonts w:ascii="Century Gothic" w:hAnsi="Century Gothic"/>
          <w:lang w:val="es-ES"/>
        </w:rPr>
        <w:t xml:space="preserve"> </w:t>
      </w:r>
      <w:r w:rsidR="002541B4" w:rsidRPr="009A2127">
        <w:rPr>
          <w:rFonts w:ascii="Century Gothic" w:hAnsi="Century Gothic"/>
          <w:lang w:val="es-ES"/>
        </w:rPr>
        <w:t xml:space="preserve">Intereses de la vigencia / Ahorro operacional </w:t>
      </w:r>
    </w:p>
    <w:p w14:paraId="09951EF3" w14:textId="77777777" w:rsidR="002541B4" w:rsidRPr="009A2127" w:rsidRDefault="002541B4" w:rsidP="00046092">
      <w:pPr>
        <w:spacing w:after="240"/>
        <w:jc w:val="both"/>
        <w:rPr>
          <w:rFonts w:ascii="Century Gothic" w:hAnsi="Century Gothic"/>
          <w:lang w:val="es-ES"/>
        </w:rPr>
      </w:pPr>
      <w:r w:rsidRPr="009A2127">
        <w:rPr>
          <w:rFonts w:ascii="Century Gothic" w:hAnsi="Century Gothic"/>
          <w:lang w:val="es-ES"/>
        </w:rPr>
        <w:t xml:space="preserve">Ahorro operacional = (Ingresos corrientes - Vigencias Futuras) - Gastos corrientes; según Ley 358 de 1997. </w:t>
      </w:r>
    </w:p>
    <w:p w14:paraId="47362184" w14:textId="44789C6F" w:rsidR="002541B4" w:rsidRPr="009A2127" w:rsidRDefault="000C2358" w:rsidP="00046092">
      <w:pPr>
        <w:spacing w:after="240"/>
        <w:jc w:val="both"/>
        <w:rPr>
          <w:rFonts w:ascii="Century Gothic" w:hAnsi="Century Gothic"/>
          <w:lang w:val="es-ES"/>
        </w:rPr>
      </w:pPr>
      <w:r w:rsidRPr="009A2127">
        <w:rPr>
          <w:rFonts w:ascii="Century Gothic" w:hAnsi="Century Gothic"/>
          <w:lang w:val="es-ES"/>
        </w:rPr>
        <w:t>Sostenibilidad</w:t>
      </w:r>
      <w:r w:rsidR="002541B4" w:rsidRPr="009A2127">
        <w:rPr>
          <w:rFonts w:ascii="Century Gothic" w:hAnsi="Century Gothic"/>
          <w:lang w:val="es-ES"/>
        </w:rPr>
        <w:t xml:space="preserve">: Saldo de la Deuda / (Ingreso Corriente según Ley 358 de 1997 - Vigencias futuras) </w:t>
      </w:r>
    </w:p>
    <w:p w14:paraId="02B09E1F" w14:textId="77777777" w:rsidR="002541B4" w:rsidRPr="009A2127" w:rsidRDefault="002541B4" w:rsidP="00046092">
      <w:pPr>
        <w:spacing w:after="240"/>
        <w:jc w:val="both"/>
        <w:rPr>
          <w:rFonts w:ascii="Century Gothic" w:hAnsi="Century Gothic"/>
          <w:b/>
          <w:lang w:val="es-ES"/>
        </w:rPr>
      </w:pPr>
      <w:r w:rsidRPr="009A2127">
        <w:rPr>
          <w:rFonts w:ascii="Century Gothic" w:hAnsi="Century Gothic"/>
          <w:b/>
          <w:lang w:val="es-ES"/>
        </w:rPr>
        <w:t xml:space="preserve">Fórmulas de indicadores con Pasivos Contingentes: </w:t>
      </w:r>
    </w:p>
    <w:p w14:paraId="4CAEC495" w14:textId="75CE7F21" w:rsidR="002541B4" w:rsidRPr="009A2127" w:rsidRDefault="00F9168A" w:rsidP="00046092">
      <w:pPr>
        <w:spacing w:after="240"/>
        <w:jc w:val="both"/>
        <w:rPr>
          <w:rFonts w:ascii="Century Gothic" w:hAnsi="Century Gothic"/>
          <w:lang w:val="es-ES"/>
        </w:rPr>
      </w:pPr>
      <w:r w:rsidRPr="00F9168A">
        <w:rPr>
          <w:rFonts w:ascii="Century Gothic" w:hAnsi="Century Gothic"/>
          <w:b/>
          <w:lang w:val="es-ES"/>
        </w:rPr>
        <w:t>Solvencia</w:t>
      </w:r>
      <w:r w:rsidR="002541B4" w:rsidRPr="009A2127">
        <w:rPr>
          <w:rFonts w:ascii="Century Gothic" w:hAnsi="Century Gothic"/>
          <w:lang w:val="es-ES"/>
        </w:rPr>
        <w:t xml:space="preserve">: (Intereses de la vigencia + Pasivo contingente + </w:t>
      </w:r>
      <w:proofErr w:type="spellStart"/>
      <w:r w:rsidR="002541B4" w:rsidRPr="009A2127">
        <w:rPr>
          <w:rFonts w:ascii="Century Gothic" w:hAnsi="Century Gothic"/>
          <w:lang w:val="es-ES"/>
        </w:rPr>
        <w:t>CxP</w:t>
      </w:r>
      <w:proofErr w:type="spellEnd"/>
      <w:r w:rsidR="002541B4" w:rsidRPr="009A2127">
        <w:rPr>
          <w:rFonts w:ascii="Century Gothic" w:hAnsi="Century Gothic"/>
          <w:lang w:val="es-ES"/>
        </w:rPr>
        <w:t xml:space="preserve">) / Ahorro Operacional </w:t>
      </w:r>
    </w:p>
    <w:p w14:paraId="67B8603F" w14:textId="465A8366" w:rsidR="002541B4" w:rsidRPr="009A2127" w:rsidRDefault="00F9168A" w:rsidP="00046092">
      <w:pPr>
        <w:spacing w:after="240"/>
        <w:jc w:val="both"/>
        <w:rPr>
          <w:rFonts w:ascii="Century Gothic" w:hAnsi="Century Gothic"/>
          <w:lang w:val="es-ES"/>
        </w:rPr>
      </w:pPr>
      <w:r w:rsidRPr="00F9168A">
        <w:rPr>
          <w:rFonts w:ascii="Century Gothic" w:hAnsi="Century Gothic"/>
          <w:b/>
          <w:lang w:val="es-ES"/>
        </w:rPr>
        <w:lastRenderedPageBreak/>
        <w:t>Sostenibilidad</w:t>
      </w:r>
      <w:r w:rsidR="002541B4" w:rsidRPr="009A2127">
        <w:rPr>
          <w:rFonts w:ascii="Century Gothic" w:hAnsi="Century Gothic"/>
          <w:lang w:val="es-ES"/>
        </w:rPr>
        <w:t xml:space="preserve">: Saldo de la Deuda / (Ingreso Corriente según Ley 358 de 1997 - Vigencias Futuras) </w:t>
      </w:r>
    </w:p>
    <w:p w14:paraId="275132BF" w14:textId="77777777" w:rsidR="002541B4" w:rsidRPr="00CD4415" w:rsidRDefault="002541B4" w:rsidP="00046092">
      <w:pPr>
        <w:spacing w:after="240"/>
        <w:jc w:val="both"/>
        <w:rPr>
          <w:rFonts w:ascii="Century Gothic" w:hAnsi="Century Gothic"/>
          <w:lang w:val="es-ES"/>
        </w:rPr>
      </w:pPr>
      <w:r w:rsidRPr="009A2127">
        <w:rPr>
          <w:rFonts w:ascii="Century Gothic" w:hAnsi="Century Gothic"/>
          <w:lang w:val="es-ES"/>
        </w:rPr>
        <w:t xml:space="preserve">De esta manera se mide el impacto de los pasivos contingentes en la capacidad </w:t>
      </w:r>
      <w:r w:rsidRPr="00CD4415">
        <w:rPr>
          <w:rFonts w:ascii="Century Gothic" w:hAnsi="Century Gothic"/>
          <w:lang w:val="es-ES"/>
        </w:rPr>
        <w:t>de pago.</w:t>
      </w:r>
    </w:p>
    <w:p w14:paraId="71148567" w14:textId="424083BB" w:rsidR="002541B4" w:rsidRPr="00CD4415" w:rsidRDefault="00671D53" w:rsidP="00046092">
      <w:pPr>
        <w:spacing w:after="240"/>
        <w:jc w:val="both"/>
        <w:rPr>
          <w:rFonts w:ascii="Century Gothic" w:hAnsi="Century Gothic"/>
          <w:lang w:val="es-ES"/>
        </w:rPr>
      </w:pPr>
      <w:r w:rsidRPr="00CD4415">
        <w:rPr>
          <w:rFonts w:ascii="Century Gothic" w:hAnsi="Century Gothic"/>
          <w:lang w:val="es-ES"/>
        </w:rPr>
        <w:t xml:space="preserve">En el cálculo de los indicadores de capacidad de pago en un horizonte de 10 años, con la incorporación de los valores por concepto de </w:t>
      </w:r>
      <w:r w:rsidR="009A2127" w:rsidRPr="00CD4415">
        <w:rPr>
          <w:rFonts w:ascii="Century Gothic" w:hAnsi="Century Gothic"/>
          <w:lang w:val="es-ES"/>
        </w:rPr>
        <w:t xml:space="preserve">pasivos contingentes, el indicador de solvencia se </w:t>
      </w:r>
      <w:r w:rsidR="00D45D11" w:rsidRPr="00CD4415">
        <w:rPr>
          <w:rFonts w:ascii="Century Gothic" w:hAnsi="Century Gothic"/>
          <w:lang w:val="es-ES"/>
        </w:rPr>
        <w:t>mantien</w:t>
      </w:r>
      <w:r w:rsidRPr="00CD4415">
        <w:rPr>
          <w:rFonts w:ascii="Century Gothic" w:hAnsi="Century Gothic"/>
          <w:lang w:val="es-ES"/>
        </w:rPr>
        <w:t>e por debajo del máximo establecido por Ley (40%), lo cual permite continuar la instancia de autonomía para la celebración de operaciones de crédito público.</w:t>
      </w:r>
    </w:p>
    <w:p w14:paraId="716DDADD" w14:textId="532446C0" w:rsidR="00671D53" w:rsidRPr="00D23C40" w:rsidRDefault="00671D53" w:rsidP="00671D53">
      <w:pPr>
        <w:spacing w:after="240"/>
        <w:jc w:val="both"/>
        <w:rPr>
          <w:rFonts w:ascii="Century Gothic" w:hAnsi="Century Gothic"/>
          <w:lang w:val="es-ES"/>
        </w:rPr>
      </w:pPr>
      <w:r w:rsidRPr="00D23C40">
        <w:rPr>
          <w:rFonts w:ascii="Century Gothic" w:hAnsi="Century Gothic"/>
          <w:lang w:val="es-ES"/>
        </w:rPr>
        <w:t xml:space="preserve">Por su parte, el indicador de </w:t>
      </w:r>
      <w:r w:rsidR="009A2127" w:rsidRPr="00D23C40">
        <w:rPr>
          <w:rFonts w:ascii="Century Gothic" w:hAnsi="Century Gothic"/>
          <w:lang w:val="es-ES"/>
        </w:rPr>
        <w:t xml:space="preserve">sostenibilidad </w:t>
      </w:r>
      <w:r w:rsidRPr="00D23C40">
        <w:rPr>
          <w:rFonts w:ascii="Century Gothic" w:hAnsi="Century Gothic"/>
          <w:lang w:val="es-ES"/>
        </w:rPr>
        <w:t>para la vigencia 2017, se ubic</w:t>
      </w:r>
      <w:r w:rsidR="009A2127" w:rsidRPr="00D23C40">
        <w:rPr>
          <w:rFonts w:ascii="Century Gothic" w:hAnsi="Century Gothic"/>
          <w:lang w:val="es-ES"/>
        </w:rPr>
        <w:t>ó</w:t>
      </w:r>
      <w:r w:rsidRPr="00D23C40">
        <w:rPr>
          <w:rFonts w:ascii="Century Gothic" w:hAnsi="Century Gothic"/>
          <w:lang w:val="es-ES"/>
        </w:rPr>
        <w:t xml:space="preserve"> por debajo </w:t>
      </w:r>
      <w:r w:rsidR="009A2127" w:rsidRPr="00D23C40">
        <w:rPr>
          <w:rFonts w:ascii="Century Gothic" w:hAnsi="Century Gothic"/>
          <w:lang w:val="es-ES"/>
        </w:rPr>
        <w:t>de</w:t>
      </w:r>
      <w:r w:rsidRPr="00D23C40">
        <w:rPr>
          <w:rFonts w:ascii="Century Gothic" w:hAnsi="Century Gothic"/>
          <w:lang w:val="es-ES"/>
        </w:rPr>
        <w:t>l límite de 80</w:t>
      </w:r>
      <w:r w:rsidR="004F5BDD" w:rsidRPr="00D23C40">
        <w:rPr>
          <w:rFonts w:ascii="Century Gothic" w:hAnsi="Century Gothic"/>
          <w:lang w:val="es-ES"/>
        </w:rPr>
        <w:t xml:space="preserve"> por ciento</w:t>
      </w:r>
      <w:r w:rsidR="009A2127" w:rsidRPr="00D23C40">
        <w:rPr>
          <w:rFonts w:ascii="Century Gothic" w:hAnsi="Century Gothic"/>
          <w:lang w:val="es-ES"/>
        </w:rPr>
        <w:t>,</w:t>
      </w:r>
      <w:r w:rsidRPr="00D23C40">
        <w:rPr>
          <w:rFonts w:ascii="Century Gothic" w:hAnsi="Century Gothic"/>
          <w:lang w:val="es-ES"/>
        </w:rPr>
        <w:t xml:space="preserve"> debido a la aplicación de la Ley 1483 de 2011, la cual establece que</w:t>
      </w:r>
      <w:r w:rsidR="009A2127" w:rsidRPr="00D23C40">
        <w:rPr>
          <w:rFonts w:ascii="Century Gothic" w:hAnsi="Century Gothic"/>
          <w:lang w:val="es-ES"/>
        </w:rPr>
        <w:t>:</w:t>
      </w:r>
      <w:r w:rsidRPr="00D23C40">
        <w:rPr>
          <w:rFonts w:ascii="Century Gothic" w:hAnsi="Century Gothic"/>
          <w:lang w:val="es-ES"/>
        </w:rPr>
        <w:t xml:space="preserve"> “Los montos que se comprometan por parte de las entidades territoriales como vigencias futuras ordinarias y excepcionales, se descontarán de los ingresos que sirven de base para el cálculo de la capacidad de endeudamiento, teniendo en cuenta la inflexibilidad que se genera en la aprobación de los presupuestos de las vigencias afectadas con los gastos aprobados de manera anticipada”. </w:t>
      </w:r>
    </w:p>
    <w:p w14:paraId="1E7243FA" w14:textId="24E4D025" w:rsidR="00671D53" w:rsidRPr="00D23C40" w:rsidRDefault="00671D53" w:rsidP="00671D53">
      <w:pPr>
        <w:spacing w:after="240"/>
        <w:jc w:val="both"/>
        <w:rPr>
          <w:rFonts w:ascii="Century Gothic" w:hAnsi="Century Gothic"/>
          <w:lang w:val="es-ES"/>
        </w:rPr>
      </w:pPr>
      <w:r w:rsidRPr="00D23C40">
        <w:rPr>
          <w:rFonts w:ascii="Century Gothic" w:hAnsi="Century Gothic"/>
          <w:lang w:val="es-ES"/>
        </w:rPr>
        <w:t>Lo anterior</w:t>
      </w:r>
      <w:r w:rsidR="00D23C40" w:rsidRPr="00D23C40">
        <w:rPr>
          <w:rFonts w:ascii="Century Gothic" w:hAnsi="Century Gothic"/>
          <w:lang w:val="es-ES"/>
        </w:rPr>
        <w:t>,</w:t>
      </w:r>
      <w:r w:rsidRPr="00D23C40">
        <w:rPr>
          <w:rFonts w:ascii="Century Gothic" w:hAnsi="Century Gothic"/>
          <w:lang w:val="es-ES"/>
        </w:rPr>
        <w:t xml:space="preserve"> genera una disminución en los ingresos corrientes para la base de cálculo del ahorro operacional, ante la necesidad de la administración de comprometer vigencias futuras para la ejecución de los programas y proyectos de las siguientes vigencias. </w:t>
      </w:r>
    </w:p>
    <w:p w14:paraId="4B430B08" w14:textId="20A692AF" w:rsidR="002541B4" w:rsidRPr="00D23C40" w:rsidRDefault="00671D53" w:rsidP="00671D53">
      <w:pPr>
        <w:spacing w:after="240"/>
        <w:jc w:val="both"/>
        <w:rPr>
          <w:rFonts w:ascii="Century Gothic" w:hAnsi="Century Gothic"/>
          <w:lang w:val="es-ES"/>
        </w:rPr>
      </w:pPr>
      <w:r w:rsidRPr="00D23C40">
        <w:rPr>
          <w:rFonts w:ascii="Century Gothic" w:hAnsi="Century Gothic"/>
          <w:lang w:val="es-ES"/>
        </w:rPr>
        <w:t>Estos resultados indican que, como parte del proceso de planeación financiera, la Administración Municipal incorpora en sus cálculos y partidas presupuestales de gastos, los recursos suficientes para atender las contingencias derivadas de acciones legales que cursan en contra del Municipio.</w:t>
      </w:r>
    </w:p>
    <w:p w14:paraId="660B1230" w14:textId="5E48FF12" w:rsidR="00C41966" w:rsidRPr="00D23C40" w:rsidRDefault="00C41966" w:rsidP="00671D53">
      <w:pPr>
        <w:pStyle w:val="Ttulo4"/>
        <w:spacing w:after="240" w:line="276" w:lineRule="auto"/>
        <w:rPr>
          <w:rStyle w:val="Ttulo4Car"/>
          <w:bCs/>
          <w:i/>
          <w:iCs/>
          <w:lang w:val="es-ES"/>
        </w:rPr>
      </w:pPr>
      <w:r w:rsidRPr="00D23C40">
        <w:rPr>
          <w:rStyle w:val="Ttulo4Car"/>
          <w:bCs/>
          <w:i/>
          <w:iCs/>
          <w:lang w:val="es-ES"/>
        </w:rPr>
        <w:t xml:space="preserve">Pasivo contingente </w:t>
      </w:r>
      <w:r w:rsidR="00D23C40" w:rsidRPr="00D23C40">
        <w:rPr>
          <w:rStyle w:val="Ttulo4Car"/>
          <w:bCs/>
          <w:i/>
          <w:iCs/>
          <w:lang w:val="es-ES"/>
        </w:rPr>
        <w:t>del orden</w:t>
      </w:r>
      <w:r w:rsidRPr="00D23C40">
        <w:rPr>
          <w:rStyle w:val="Ttulo4Car"/>
          <w:bCs/>
          <w:i/>
          <w:iCs/>
          <w:lang w:val="es-ES"/>
        </w:rPr>
        <w:t xml:space="preserve"> descentralizado</w:t>
      </w:r>
    </w:p>
    <w:p w14:paraId="13D1B0E1" w14:textId="5CE94AE8" w:rsidR="00671D53" w:rsidRPr="00D23C40" w:rsidRDefault="00671D53" w:rsidP="00671D53">
      <w:pPr>
        <w:spacing w:after="240"/>
        <w:jc w:val="both"/>
        <w:rPr>
          <w:rFonts w:ascii="Century Gothic" w:hAnsi="Century Gothic"/>
          <w:lang w:val="es-ES"/>
        </w:rPr>
      </w:pPr>
      <w:r w:rsidRPr="00D23C40">
        <w:rPr>
          <w:rFonts w:ascii="Century Gothic" w:hAnsi="Century Gothic"/>
          <w:lang w:val="es-ES"/>
        </w:rPr>
        <w:t xml:space="preserve">La </w:t>
      </w:r>
      <w:r w:rsidR="00D23C40" w:rsidRPr="00D23C40">
        <w:rPr>
          <w:rFonts w:ascii="Century Gothic" w:hAnsi="Century Gothic"/>
          <w:lang w:val="es-ES"/>
        </w:rPr>
        <w:t xml:space="preserve">política implementada </w:t>
      </w:r>
      <w:r w:rsidRPr="00D23C40">
        <w:rPr>
          <w:rFonts w:ascii="Century Gothic" w:hAnsi="Century Gothic"/>
          <w:lang w:val="es-ES"/>
        </w:rPr>
        <w:t xml:space="preserve">por el </w:t>
      </w:r>
      <w:r w:rsidR="00D23C40" w:rsidRPr="00D23C40">
        <w:rPr>
          <w:rFonts w:ascii="Century Gothic" w:hAnsi="Century Gothic"/>
          <w:lang w:val="es-ES"/>
        </w:rPr>
        <w:t xml:space="preserve">municipio </w:t>
      </w:r>
      <w:r w:rsidRPr="00D23C40">
        <w:rPr>
          <w:rFonts w:ascii="Century Gothic" w:hAnsi="Century Gothic"/>
          <w:lang w:val="es-ES"/>
        </w:rPr>
        <w:t>de Pasto, le permitirá a sus diferentes entidades</w:t>
      </w:r>
      <w:r w:rsidR="00D23C40" w:rsidRPr="00D23C40">
        <w:rPr>
          <w:rFonts w:ascii="Century Gothic" w:hAnsi="Century Gothic"/>
          <w:lang w:val="es-ES"/>
        </w:rPr>
        <w:t>,</w:t>
      </w:r>
      <w:r w:rsidRPr="00D23C40">
        <w:rPr>
          <w:rFonts w:ascii="Century Gothic" w:hAnsi="Century Gothic"/>
          <w:lang w:val="es-ES"/>
        </w:rPr>
        <w:t xml:space="preserve"> contar con el acompañamiento para la valoración del riesgo de las demandas que actualmente cursan en su contra, las cuales les permitirán adoptar medidas para el manejo de las obligaciones contingentes y contar con una proyección más ajustada para la apropiación del monto a destinar en cada vigencia en el rubro de fallos, sentencias y conciliaciones.</w:t>
      </w:r>
    </w:p>
    <w:p w14:paraId="0F7526FD" w14:textId="61F79F24" w:rsidR="00671D53" w:rsidRPr="00D23C40" w:rsidRDefault="00671D53" w:rsidP="00671D53">
      <w:pPr>
        <w:spacing w:after="240"/>
        <w:jc w:val="both"/>
        <w:rPr>
          <w:rFonts w:ascii="Century Gothic" w:hAnsi="Century Gothic"/>
          <w:lang w:val="es-ES"/>
        </w:rPr>
      </w:pPr>
      <w:r w:rsidRPr="00D23C40">
        <w:rPr>
          <w:rFonts w:ascii="Century Gothic" w:hAnsi="Century Gothic"/>
          <w:lang w:val="es-ES"/>
        </w:rPr>
        <w:lastRenderedPageBreak/>
        <w:t>El Municipio tiene como Institutos descentralizados</w:t>
      </w:r>
      <w:r w:rsidR="00D23C40">
        <w:rPr>
          <w:rFonts w:ascii="Century Gothic" w:hAnsi="Century Gothic"/>
          <w:lang w:val="es-ES"/>
        </w:rPr>
        <w:t>: el</w:t>
      </w:r>
      <w:r w:rsidRPr="00D23C40">
        <w:rPr>
          <w:rFonts w:ascii="Century Gothic" w:hAnsi="Century Gothic"/>
          <w:lang w:val="es-ES"/>
        </w:rPr>
        <w:t xml:space="preserve"> Instituto Municipal de la Reforma Urbana y Vivienda de Pasto - INVIPASTO y el Instituto Municipal para la Recreación y el Deporte </w:t>
      </w:r>
      <w:r w:rsidR="00D23C40">
        <w:rPr>
          <w:rFonts w:ascii="Century Gothic" w:hAnsi="Century Gothic"/>
          <w:lang w:val="es-ES"/>
        </w:rPr>
        <w:t>–</w:t>
      </w:r>
      <w:r w:rsidRPr="00D23C40">
        <w:rPr>
          <w:rFonts w:ascii="Century Gothic" w:hAnsi="Century Gothic"/>
          <w:lang w:val="es-ES"/>
        </w:rPr>
        <w:t xml:space="preserve"> Pasto Deporte: </w:t>
      </w:r>
    </w:p>
    <w:p w14:paraId="351281D6" w14:textId="1C772C58" w:rsidR="00671D53" w:rsidRPr="00D23C40" w:rsidRDefault="00671D53" w:rsidP="00671D53">
      <w:pPr>
        <w:spacing w:after="240"/>
        <w:jc w:val="both"/>
        <w:rPr>
          <w:rFonts w:ascii="Century Gothic" w:hAnsi="Century Gothic"/>
          <w:lang w:val="es-ES"/>
        </w:rPr>
      </w:pPr>
      <w:r w:rsidRPr="00D23C40">
        <w:rPr>
          <w:rFonts w:ascii="Century Gothic" w:hAnsi="Century Gothic"/>
          <w:lang w:val="es-ES"/>
        </w:rPr>
        <w:t>El Instituto Municipal de la Reforma Urbana y Vivienda de Pasto INVIPASTO, es la entidad encargada de coordinar la política de vivienda del Municipio de Pasto</w:t>
      </w:r>
      <w:r w:rsidR="00D23C40">
        <w:rPr>
          <w:rFonts w:ascii="Century Gothic" w:hAnsi="Century Gothic"/>
          <w:lang w:val="es-ES"/>
        </w:rPr>
        <w:t xml:space="preserve"> contribuyendo </w:t>
      </w:r>
      <w:r w:rsidRPr="00D23C40">
        <w:rPr>
          <w:rFonts w:ascii="Century Gothic" w:hAnsi="Century Gothic"/>
          <w:lang w:val="es-ES"/>
        </w:rPr>
        <w:t>al desarrollo y mejoramiento habitacional urbano y rural a través de la implementación de programas integrales de desarrollo urbano y la gestión de programas de construcción y mejoramiento de vivienda de interés social. Son funciones de INVIPASTO las siguientes:</w:t>
      </w:r>
    </w:p>
    <w:p w14:paraId="220BCFED"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Velar por el cumplimiento de las normas legales en lo de su competencia, especialmente las Leyes 09 de 1989, 02 y 03 de 1991 y demás disposiciones reglamentarias y complementarias.</w:t>
      </w:r>
    </w:p>
    <w:p w14:paraId="3A348121"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Fijar las políticas reglamentarias generales para el desarrollo de proyectos de vivienda de interés social en el Municipio de Pasto.</w:t>
      </w:r>
    </w:p>
    <w:p w14:paraId="0B4A9427"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Coordinar acciones con las Cajas de Compensación Familiar y demás entidades integrantes del Sistema Nacional de Vivienda de Interés Social para la ejecución de sus políticas.</w:t>
      </w:r>
    </w:p>
    <w:p w14:paraId="47224262"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Canalizar recursos provenientes del Subsidio Familiar de Vivienda para los programas adelantados por el Municipio de Pasto.</w:t>
      </w:r>
    </w:p>
    <w:p w14:paraId="08597582"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Integrar el Sistema Nacional de Vivienda de Interés Social, en los subsistemas de fomento o ejecución, asistencia técnica y promoción a la organización social a nivel del Municipio de Pasto.</w:t>
      </w:r>
    </w:p>
    <w:p w14:paraId="6AFDAFC6"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Suscribir convenios que den aplicación al Sistema Nacional de Vivienda de Interés Social con entidades públicas y/o privadas.</w:t>
      </w:r>
    </w:p>
    <w:p w14:paraId="214D3DEF"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Desarrollar directamente o en asocio con entidades públicas o privadas, proyectos, programas de construcción, mejoramiento, reubicación de asentamientos humanos localizados en zonas de alto riesgo, rehabilitación de inquilinatos y legalización de títulos en urbanizaciones de hecho o ilegales de vivienda de interés social.</w:t>
      </w:r>
    </w:p>
    <w:p w14:paraId="2B4DCF2B" w14:textId="77777777" w:rsidR="00671D53" w:rsidRPr="00D23C40" w:rsidRDefault="00671D53" w:rsidP="00671D53">
      <w:pPr>
        <w:pStyle w:val="Prrafodelista"/>
        <w:numPr>
          <w:ilvl w:val="0"/>
          <w:numId w:val="42"/>
        </w:numPr>
        <w:spacing w:after="240" w:line="276" w:lineRule="auto"/>
        <w:ind w:left="0" w:firstLine="284"/>
        <w:rPr>
          <w:lang w:val="es-ES"/>
        </w:rPr>
      </w:pPr>
      <w:r w:rsidRPr="00D23C40">
        <w:rPr>
          <w:lang w:val="es-ES"/>
        </w:rPr>
        <w:t xml:space="preserve">Ejercer las funciones de Inspección y Vigilancia sobre las personas naturales y jurídicas dedicadas al desarrollo de actividades de enajenación de inmuebles destinados a vivienda y de los planes y programas de vivienda realizados por el </w:t>
      </w:r>
      <w:r w:rsidRPr="00D23C40">
        <w:rPr>
          <w:lang w:val="es-ES"/>
        </w:rPr>
        <w:lastRenderedPageBreak/>
        <w:t>sistema de Autoconstrucción y de las actividades de Enajenación de las soluciones de Vivienda resultantes de los mismos, en los términos de la Ley 66 de 1968, del Decreto Ley 2610 de 1979, sus disposiciones reglamentarias y modificatorias, del Decreto Municipal No. 0743 de Octubre 6 de 1994.</w:t>
      </w:r>
    </w:p>
    <w:p w14:paraId="080DBECC" w14:textId="63117A30" w:rsidR="003619AF" w:rsidRPr="00D23C40" w:rsidRDefault="00671D53" w:rsidP="00671D53">
      <w:pPr>
        <w:spacing w:after="240"/>
        <w:jc w:val="both"/>
        <w:rPr>
          <w:rFonts w:ascii="Century Gothic" w:hAnsi="Century Gothic"/>
          <w:lang w:val="es-ES"/>
        </w:rPr>
      </w:pPr>
      <w:r w:rsidRPr="00D23C40">
        <w:rPr>
          <w:rFonts w:ascii="Century Gothic" w:hAnsi="Century Gothic"/>
          <w:lang w:val="es-ES"/>
        </w:rPr>
        <w:t>El Instituto presenta en su ejecución presupuestal al cierre de la vigencia Pasivos Exigibles así:</w:t>
      </w:r>
    </w:p>
    <w:p w14:paraId="757EE5BC" w14:textId="4C436CBD" w:rsidR="00671D53" w:rsidRPr="00D23C40" w:rsidRDefault="00671D53" w:rsidP="00671D53">
      <w:pPr>
        <w:spacing w:after="0"/>
        <w:jc w:val="center"/>
        <w:rPr>
          <w:rFonts w:ascii="Century Gothic" w:hAnsi="Century Gothic"/>
          <w:lang w:val="es-ES"/>
        </w:rPr>
      </w:pPr>
      <w:bookmarkStart w:id="70" w:name="_Toc532570524"/>
      <w:r w:rsidRPr="00D23C40">
        <w:rPr>
          <w:rFonts w:ascii="Century Gothic" w:hAnsi="Century Gothic"/>
          <w:lang w:val="es-ES"/>
        </w:rPr>
        <w:t xml:space="preserve">Tabla </w:t>
      </w:r>
      <w:r w:rsidRPr="00D23C40">
        <w:rPr>
          <w:rFonts w:ascii="Century Gothic" w:hAnsi="Century Gothic"/>
          <w:lang w:val="es-ES"/>
        </w:rPr>
        <w:fldChar w:fldCharType="begin"/>
      </w:r>
      <w:r w:rsidRPr="00D23C40">
        <w:rPr>
          <w:rFonts w:ascii="Century Gothic" w:hAnsi="Century Gothic"/>
          <w:lang w:val="es-ES"/>
        </w:rPr>
        <w:instrText xml:space="preserve"> SEQ Tabla \* ARABIC </w:instrText>
      </w:r>
      <w:r w:rsidRPr="00D23C40">
        <w:rPr>
          <w:rFonts w:ascii="Century Gothic" w:hAnsi="Century Gothic"/>
          <w:lang w:val="es-ES"/>
        </w:rPr>
        <w:fldChar w:fldCharType="separate"/>
      </w:r>
      <w:r w:rsidR="00501551">
        <w:rPr>
          <w:rFonts w:ascii="Century Gothic" w:hAnsi="Century Gothic"/>
          <w:noProof/>
          <w:lang w:val="es-ES"/>
        </w:rPr>
        <w:t>33</w:t>
      </w:r>
      <w:r w:rsidRPr="00D23C40">
        <w:rPr>
          <w:rFonts w:ascii="Century Gothic" w:hAnsi="Century Gothic"/>
          <w:lang w:val="es-ES"/>
        </w:rPr>
        <w:fldChar w:fldCharType="end"/>
      </w:r>
      <w:r w:rsidRPr="00D23C40">
        <w:rPr>
          <w:rFonts w:ascii="Century Gothic" w:hAnsi="Century Gothic"/>
          <w:lang w:val="es-ES"/>
        </w:rPr>
        <w:t>.</w:t>
      </w:r>
      <w:r w:rsidRPr="00D23C40">
        <w:rPr>
          <w:rFonts w:ascii="Century Gothic" w:hAnsi="Century Gothic"/>
          <w:b/>
          <w:lang w:val="es-ES"/>
        </w:rPr>
        <w:t xml:space="preserve"> </w:t>
      </w:r>
      <w:r w:rsidRPr="00D23C40">
        <w:rPr>
          <w:rFonts w:ascii="Century Gothic" w:hAnsi="Century Gothic" w:cs="Arial"/>
          <w:color w:val="444242"/>
          <w:lang w:val="es-ES"/>
        </w:rPr>
        <w:t>Ejecución presupuestal de INVIPASTO, año 2017</w:t>
      </w:r>
      <w:bookmarkEnd w:id="70"/>
    </w:p>
    <w:tbl>
      <w:tblPr>
        <w:tblStyle w:val="Tablaconcuadrcula4-nfasis31"/>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833"/>
      </w:tblGrid>
      <w:tr w:rsidR="00671D53" w:rsidRPr="00D23C40" w14:paraId="3F3D6F02" w14:textId="77777777" w:rsidTr="00671D53">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265" w:type="dxa"/>
            <w:tcBorders>
              <w:top w:val="none" w:sz="0" w:space="0" w:color="auto"/>
              <w:left w:val="none" w:sz="0" w:space="0" w:color="auto"/>
              <w:bottom w:val="none" w:sz="0" w:space="0" w:color="auto"/>
              <w:right w:val="none" w:sz="0" w:space="0" w:color="auto"/>
            </w:tcBorders>
            <w:shd w:val="clear" w:color="auto" w:fill="C2D69B" w:themeFill="accent3" w:themeFillTint="99"/>
            <w:hideMark/>
          </w:tcPr>
          <w:p w14:paraId="44FDD36C" w14:textId="2F3DFC77" w:rsidR="00671D53" w:rsidRPr="00D23C40" w:rsidRDefault="00671D53" w:rsidP="00671D53">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Total, ejecutado cuentas por pagar</w:t>
            </w:r>
          </w:p>
        </w:tc>
        <w:tc>
          <w:tcPr>
            <w:tcW w:w="833" w:type="dxa"/>
            <w:tcBorders>
              <w:top w:val="none" w:sz="0" w:space="0" w:color="auto"/>
              <w:left w:val="none" w:sz="0" w:space="0" w:color="auto"/>
              <w:bottom w:val="none" w:sz="0" w:space="0" w:color="auto"/>
              <w:right w:val="none" w:sz="0" w:space="0" w:color="auto"/>
            </w:tcBorders>
            <w:shd w:val="clear" w:color="auto" w:fill="C2D69B" w:themeFill="accent3" w:themeFillTint="99"/>
            <w:noWrap/>
            <w:hideMark/>
          </w:tcPr>
          <w:p w14:paraId="58A4A43C" w14:textId="77777777" w:rsidR="00671D53" w:rsidRPr="00D23C40" w:rsidRDefault="00671D53">
            <w:pPr>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17.976</w:t>
            </w:r>
          </w:p>
        </w:tc>
      </w:tr>
      <w:tr w:rsidR="00671D53" w:rsidRPr="00D23C40" w14:paraId="7E3AC6E8" w14:textId="77777777" w:rsidTr="00671D5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265" w:type="dxa"/>
            <w:shd w:val="clear" w:color="auto" w:fill="C2D69B" w:themeFill="accent3" w:themeFillTint="99"/>
            <w:hideMark/>
          </w:tcPr>
          <w:p w14:paraId="32D87811" w14:textId="5F005493" w:rsidR="00671D53" w:rsidRPr="00D23C40" w:rsidRDefault="00671D53">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Funcionamiento</w:t>
            </w:r>
          </w:p>
        </w:tc>
        <w:tc>
          <w:tcPr>
            <w:tcW w:w="833" w:type="dxa"/>
            <w:shd w:val="clear" w:color="auto" w:fill="auto"/>
            <w:noWrap/>
            <w:hideMark/>
          </w:tcPr>
          <w:p w14:paraId="358303EF" w14:textId="77777777" w:rsidR="00671D53" w:rsidRPr="00D23C40" w:rsidRDefault="00671D53">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0</w:t>
            </w:r>
          </w:p>
        </w:tc>
      </w:tr>
      <w:tr w:rsidR="00671D53" w:rsidRPr="00D23C40" w14:paraId="329BC21E" w14:textId="77777777" w:rsidTr="00671D53">
        <w:trPr>
          <w:trHeight w:val="240"/>
          <w:jc w:val="center"/>
        </w:trPr>
        <w:tc>
          <w:tcPr>
            <w:cnfStyle w:val="001000000000" w:firstRow="0" w:lastRow="0" w:firstColumn="1" w:lastColumn="0" w:oddVBand="0" w:evenVBand="0" w:oddHBand="0" w:evenHBand="0" w:firstRowFirstColumn="0" w:firstRowLastColumn="0" w:lastRowFirstColumn="0" w:lastRowLastColumn="0"/>
            <w:tcW w:w="4265" w:type="dxa"/>
            <w:shd w:val="clear" w:color="auto" w:fill="C2D69B" w:themeFill="accent3" w:themeFillTint="99"/>
            <w:hideMark/>
          </w:tcPr>
          <w:p w14:paraId="2FED9F61" w14:textId="004F6ED0" w:rsidR="00671D53" w:rsidRPr="00D23C40" w:rsidRDefault="00671D53">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Inversión</w:t>
            </w:r>
          </w:p>
        </w:tc>
        <w:tc>
          <w:tcPr>
            <w:tcW w:w="833" w:type="dxa"/>
            <w:shd w:val="clear" w:color="auto" w:fill="auto"/>
            <w:noWrap/>
            <w:hideMark/>
          </w:tcPr>
          <w:p w14:paraId="4A0811B2" w14:textId="77777777" w:rsidR="00671D53" w:rsidRPr="00D23C40" w:rsidRDefault="00671D53">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17.976</w:t>
            </w:r>
          </w:p>
        </w:tc>
      </w:tr>
    </w:tbl>
    <w:p w14:paraId="204059E8" w14:textId="6857C396" w:rsidR="00671D53" w:rsidRPr="00D23C40" w:rsidRDefault="00671D53" w:rsidP="00671D53">
      <w:pPr>
        <w:spacing w:after="240"/>
        <w:jc w:val="center"/>
        <w:rPr>
          <w:rFonts w:ascii="Century Gothic" w:hAnsi="Century Gothic"/>
          <w:sz w:val="20"/>
          <w:lang w:val="es-ES"/>
        </w:rPr>
      </w:pPr>
      <w:r w:rsidRPr="00D23C40">
        <w:rPr>
          <w:rFonts w:ascii="Century Gothic" w:hAnsi="Century Gothic"/>
          <w:sz w:val="20"/>
          <w:lang w:val="es-ES"/>
        </w:rPr>
        <w:t xml:space="preserve">Fuente: INVIPASTO. Ejecución Presupuestal 31 de diciembre 2017, 2018 </w:t>
      </w:r>
    </w:p>
    <w:p w14:paraId="2AF79878" w14:textId="420F1E63" w:rsidR="00F04478" w:rsidRPr="00D23C40" w:rsidRDefault="00F04478" w:rsidP="00F04478">
      <w:pPr>
        <w:spacing w:after="240"/>
        <w:jc w:val="both"/>
        <w:rPr>
          <w:rFonts w:ascii="Century Gothic" w:hAnsi="Century Gothic"/>
          <w:lang w:val="es-ES"/>
        </w:rPr>
      </w:pPr>
      <w:r w:rsidRPr="00D23C40">
        <w:rPr>
          <w:rFonts w:ascii="Century Gothic" w:hAnsi="Century Gothic"/>
          <w:lang w:val="es-ES"/>
        </w:rPr>
        <w:t>Por su parte, el Instituto Municipal para la Recreación y el Deporte – PASTO DEPORTE contribuye a la formación y el desarrollo del ser humano a través de la práctica del deporte, la actividad física, la recreación y el buen uso del tiempo libre.</w:t>
      </w:r>
    </w:p>
    <w:p w14:paraId="77A104BD" w14:textId="77777777" w:rsidR="00F04478" w:rsidRPr="00D23C40" w:rsidRDefault="00F04478" w:rsidP="00F04478">
      <w:pPr>
        <w:jc w:val="both"/>
        <w:rPr>
          <w:rFonts w:ascii="Century Gothic" w:hAnsi="Century Gothic"/>
          <w:lang w:val="es-ES"/>
        </w:rPr>
      </w:pPr>
      <w:r w:rsidRPr="00D23C40">
        <w:rPr>
          <w:rFonts w:ascii="Century Gothic" w:hAnsi="Century Gothic"/>
          <w:lang w:val="es-ES"/>
        </w:rPr>
        <w:t>El Instituto Municipal Para la Recreación y El Deporte de Pasto “PASTO DEPORTE”, dentro de su misión institucional atiende a la población de estratos 1,2,3 del Municipio de Pasto teniendo en cuenta que la práctica del deporte, la recreación y la actividad física contribuyen al disfrute, la creación y libertad de los seres humanos, facilitando el desarrollo de sus potencialidades, su realización, mejoramiento de la calidad de vida, al desarrollo humano, la convivencia, la construcción de paz, la formación y adopción de estilos de vida saludable y sano aprovechamiento del tiempo libre, la formación en valores, el trabajo en equipo y procesos de superación de las personas, adquiriendo una dimensión prioritaria en la gestión integral del “buen vivir”</w:t>
      </w:r>
    </w:p>
    <w:p w14:paraId="631C10B5" w14:textId="453B531D" w:rsidR="00F04478" w:rsidRPr="00D23C40" w:rsidRDefault="00F04478" w:rsidP="00F04478">
      <w:pPr>
        <w:jc w:val="both"/>
        <w:rPr>
          <w:rFonts w:ascii="Century Gothic" w:hAnsi="Century Gothic"/>
          <w:lang w:val="es-ES"/>
        </w:rPr>
      </w:pPr>
      <w:r w:rsidRPr="00D23C40">
        <w:rPr>
          <w:rFonts w:ascii="Century Gothic" w:hAnsi="Century Gothic"/>
          <w:lang w:val="es-ES"/>
        </w:rPr>
        <w:t>De igual manera el Instituto Pasto Deporte, contemplo las siguientes acciones para atender a la población con discapacidad tanto del sector urbano como del sector rural:</w:t>
      </w:r>
    </w:p>
    <w:p w14:paraId="46B9DF52" w14:textId="284CD91A" w:rsidR="00F04478" w:rsidRPr="00D23C40" w:rsidRDefault="00F04478" w:rsidP="00F04478">
      <w:pPr>
        <w:pStyle w:val="Prrafodelista"/>
        <w:numPr>
          <w:ilvl w:val="0"/>
          <w:numId w:val="43"/>
        </w:numPr>
        <w:spacing w:after="200" w:line="276" w:lineRule="auto"/>
        <w:ind w:left="0" w:firstLine="426"/>
        <w:rPr>
          <w:lang w:val="es-ES"/>
        </w:rPr>
      </w:pPr>
      <w:r w:rsidRPr="00D23C40">
        <w:rPr>
          <w:lang w:val="es-ES"/>
        </w:rPr>
        <w:t>Atender en el cuatrienio a 32 Organizaciones de población con discapacidad que, durante cada año se está atendiendo a 8 fundaciones que están legalmente.</w:t>
      </w:r>
    </w:p>
    <w:p w14:paraId="63B93862" w14:textId="77777777" w:rsidR="00F04478" w:rsidRPr="00D23C40" w:rsidRDefault="00F04478" w:rsidP="00F04478">
      <w:pPr>
        <w:pStyle w:val="Prrafodelista"/>
        <w:numPr>
          <w:ilvl w:val="0"/>
          <w:numId w:val="43"/>
        </w:numPr>
        <w:spacing w:after="200" w:line="276" w:lineRule="auto"/>
        <w:ind w:left="0" w:firstLine="426"/>
        <w:rPr>
          <w:lang w:val="es-ES"/>
        </w:rPr>
      </w:pPr>
      <w:r w:rsidRPr="00D23C40">
        <w:rPr>
          <w:lang w:val="es-ES"/>
        </w:rPr>
        <w:t xml:space="preserve">La comunidad de los corregimientos y de la ciudad de Pasto se benefició en el aprovechamiento del tiempo libre, utilizando diferentes medios de transporte como es la bicicleta, patines, caminar, trotar, correr. Además, la </w:t>
      </w:r>
      <w:r w:rsidRPr="00D23C40">
        <w:rPr>
          <w:lang w:val="es-ES"/>
        </w:rPr>
        <w:lastRenderedPageBreak/>
        <w:t>población sale a realizar ejercicio con su grupo familiar y sus mascotas.</w:t>
      </w:r>
    </w:p>
    <w:p w14:paraId="53B50182" w14:textId="0CD4CBCB" w:rsidR="00F04478" w:rsidRPr="00D23C40" w:rsidRDefault="00F04478" w:rsidP="00F04478">
      <w:pPr>
        <w:pStyle w:val="Prrafodelista"/>
        <w:numPr>
          <w:ilvl w:val="0"/>
          <w:numId w:val="43"/>
        </w:numPr>
        <w:spacing w:after="200" w:line="276" w:lineRule="auto"/>
        <w:ind w:left="0" w:firstLine="426"/>
        <w:rPr>
          <w:lang w:val="es-ES"/>
        </w:rPr>
      </w:pPr>
      <w:r w:rsidRPr="00D23C40">
        <w:rPr>
          <w:lang w:val="es-ES"/>
        </w:rPr>
        <w:t>Las personas que se benefician de este programa, se les practica inicialmente un Tamizaje (mediciones directas), Registro al Sistema Nacional de Monitoreo del Deporte, Campañas de alimentación saludable.</w:t>
      </w:r>
    </w:p>
    <w:p w14:paraId="6207C65F" w14:textId="1B50E1EC" w:rsidR="00F04478" w:rsidRPr="00D23C40" w:rsidRDefault="00F04478" w:rsidP="00F04478">
      <w:pPr>
        <w:pStyle w:val="Prrafodelista"/>
        <w:numPr>
          <w:ilvl w:val="0"/>
          <w:numId w:val="43"/>
        </w:numPr>
        <w:spacing w:after="200" w:line="276" w:lineRule="auto"/>
        <w:ind w:left="0" w:firstLine="426"/>
        <w:rPr>
          <w:lang w:val="es-ES"/>
        </w:rPr>
      </w:pPr>
      <w:r w:rsidRPr="00D23C40">
        <w:rPr>
          <w:lang w:val="es-ES"/>
        </w:rPr>
        <w:t>Trabajo Social con las personas mayores del municipio de Pasto. Ejecución de actividades masivas de carácter recreativo, cultural, ecológico, entre otros. Mejorar calidad de vida de las personas mayores. Propender a un envejecimiento activo y saludable.</w:t>
      </w:r>
    </w:p>
    <w:p w14:paraId="5F5204CC" w14:textId="531AAA49" w:rsidR="00F04478" w:rsidRPr="00D23C40" w:rsidRDefault="00F04478" w:rsidP="00F04478">
      <w:pPr>
        <w:pStyle w:val="Prrafodelista"/>
        <w:numPr>
          <w:ilvl w:val="0"/>
          <w:numId w:val="43"/>
        </w:numPr>
        <w:spacing w:after="200" w:line="276" w:lineRule="auto"/>
        <w:ind w:left="0" w:firstLine="426"/>
        <w:rPr>
          <w:lang w:val="es-ES"/>
        </w:rPr>
      </w:pPr>
      <w:r w:rsidRPr="00D23C40">
        <w:rPr>
          <w:lang w:val="es-ES"/>
        </w:rPr>
        <w:t>El total de la población atendida en el sector urbano y rural del Municipio de pasto es de 132.000 personas.</w:t>
      </w:r>
    </w:p>
    <w:p w14:paraId="60674967" w14:textId="64CCA07A" w:rsidR="00F04478" w:rsidRPr="00D23C40" w:rsidRDefault="00F04478" w:rsidP="00D45D11">
      <w:pPr>
        <w:spacing w:after="0"/>
        <w:jc w:val="center"/>
        <w:rPr>
          <w:rFonts w:ascii="Century Gothic" w:hAnsi="Century Gothic" w:cs="Arial"/>
          <w:color w:val="444242"/>
          <w:lang w:val="es-ES"/>
        </w:rPr>
      </w:pPr>
      <w:bookmarkStart w:id="71" w:name="_Toc532570525"/>
      <w:r w:rsidRPr="00D23C40">
        <w:rPr>
          <w:rFonts w:ascii="Century Gothic" w:hAnsi="Century Gothic"/>
          <w:lang w:val="es-ES"/>
        </w:rPr>
        <w:t xml:space="preserve">Tabla </w:t>
      </w:r>
      <w:r w:rsidRPr="00D23C40">
        <w:rPr>
          <w:rFonts w:ascii="Century Gothic" w:hAnsi="Century Gothic"/>
          <w:lang w:val="es-ES"/>
        </w:rPr>
        <w:fldChar w:fldCharType="begin"/>
      </w:r>
      <w:r w:rsidRPr="00D23C40">
        <w:rPr>
          <w:rFonts w:ascii="Century Gothic" w:hAnsi="Century Gothic"/>
          <w:lang w:val="es-ES"/>
        </w:rPr>
        <w:instrText xml:space="preserve"> SEQ Tabla \* ARABIC </w:instrText>
      </w:r>
      <w:r w:rsidRPr="00D23C40">
        <w:rPr>
          <w:rFonts w:ascii="Century Gothic" w:hAnsi="Century Gothic"/>
          <w:lang w:val="es-ES"/>
        </w:rPr>
        <w:fldChar w:fldCharType="separate"/>
      </w:r>
      <w:r w:rsidR="00501551">
        <w:rPr>
          <w:rFonts w:ascii="Century Gothic" w:hAnsi="Century Gothic"/>
          <w:noProof/>
          <w:lang w:val="es-ES"/>
        </w:rPr>
        <w:t>34</w:t>
      </w:r>
      <w:r w:rsidRPr="00D23C40">
        <w:rPr>
          <w:rFonts w:ascii="Century Gothic" w:hAnsi="Century Gothic"/>
          <w:lang w:val="es-ES"/>
        </w:rPr>
        <w:fldChar w:fldCharType="end"/>
      </w:r>
      <w:r w:rsidRPr="00D23C40">
        <w:rPr>
          <w:rFonts w:ascii="Century Gothic" w:hAnsi="Century Gothic"/>
          <w:lang w:val="es-ES"/>
        </w:rPr>
        <w:t>.</w:t>
      </w:r>
      <w:r w:rsidRPr="00D23C40">
        <w:rPr>
          <w:rFonts w:ascii="Century Gothic" w:hAnsi="Century Gothic"/>
          <w:b/>
          <w:lang w:val="es-ES"/>
        </w:rPr>
        <w:t xml:space="preserve"> </w:t>
      </w:r>
      <w:r w:rsidRPr="00D23C40">
        <w:rPr>
          <w:rFonts w:ascii="Century Gothic" w:hAnsi="Century Gothic" w:cs="Arial"/>
          <w:color w:val="444242"/>
          <w:lang w:val="es-ES"/>
        </w:rPr>
        <w:t>Ejecución presupuestal Pasto Deporte, 2017</w:t>
      </w:r>
      <w:bookmarkEnd w:id="71"/>
    </w:p>
    <w:tbl>
      <w:tblPr>
        <w:tblStyle w:val="Tablaconcuadrcula4-nfasis31"/>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1652"/>
        <w:gridCol w:w="1441"/>
        <w:gridCol w:w="1543"/>
      </w:tblGrid>
      <w:tr w:rsidR="00F04478" w:rsidRPr="00D23C40" w14:paraId="7ACDA9F2" w14:textId="77777777" w:rsidTr="00FE59EC">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shd w:val="clear" w:color="auto" w:fill="C2D69B" w:themeFill="accent3" w:themeFillTint="99"/>
            <w:noWrap/>
            <w:vAlign w:val="center"/>
            <w:hideMark/>
          </w:tcPr>
          <w:p w14:paraId="60095327" w14:textId="77777777" w:rsidR="00F04478" w:rsidRPr="00D23C40" w:rsidRDefault="00F04478" w:rsidP="00FE59EC">
            <w:pPr>
              <w:jc w:val="center"/>
              <w:rPr>
                <w:rFonts w:ascii="Century Gothic" w:hAnsi="Century Gothic"/>
                <w:color w:val="auto"/>
                <w:sz w:val="20"/>
                <w:szCs w:val="20"/>
              </w:rPr>
            </w:pPr>
            <w:r w:rsidRPr="00D23C40">
              <w:rPr>
                <w:rFonts w:ascii="Century Gothic" w:hAnsi="Century Gothic"/>
                <w:color w:val="auto"/>
                <w:sz w:val="20"/>
                <w:szCs w:val="20"/>
              </w:rPr>
              <w:t>Descripción</w:t>
            </w:r>
          </w:p>
        </w:tc>
        <w:tc>
          <w:tcPr>
            <w:tcW w:w="1652" w:type="dxa"/>
            <w:tcBorders>
              <w:top w:val="none" w:sz="0" w:space="0" w:color="auto"/>
              <w:left w:val="none" w:sz="0" w:space="0" w:color="auto"/>
              <w:bottom w:val="none" w:sz="0" w:space="0" w:color="auto"/>
              <w:right w:val="none" w:sz="0" w:space="0" w:color="auto"/>
            </w:tcBorders>
            <w:shd w:val="clear" w:color="auto" w:fill="C2D69B" w:themeFill="accent3" w:themeFillTint="99"/>
            <w:noWrap/>
            <w:vAlign w:val="center"/>
            <w:hideMark/>
          </w:tcPr>
          <w:p w14:paraId="60C7F70D" w14:textId="77777777" w:rsidR="00F04478" w:rsidRPr="00D23C40" w:rsidRDefault="00F04478" w:rsidP="00FE59E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sz w:val="20"/>
                <w:szCs w:val="20"/>
              </w:rPr>
            </w:pPr>
            <w:r w:rsidRPr="00D23C40">
              <w:rPr>
                <w:rFonts w:ascii="Century Gothic" w:hAnsi="Century Gothic"/>
                <w:color w:val="auto"/>
                <w:sz w:val="20"/>
                <w:szCs w:val="20"/>
              </w:rPr>
              <w:t>Presupuesto</w:t>
            </w:r>
          </w:p>
        </w:tc>
        <w:tc>
          <w:tcPr>
            <w:tcW w:w="1441" w:type="dxa"/>
            <w:tcBorders>
              <w:top w:val="none" w:sz="0" w:space="0" w:color="auto"/>
              <w:left w:val="none" w:sz="0" w:space="0" w:color="auto"/>
              <w:bottom w:val="none" w:sz="0" w:space="0" w:color="auto"/>
              <w:right w:val="none" w:sz="0" w:space="0" w:color="auto"/>
            </w:tcBorders>
            <w:shd w:val="clear" w:color="auto" w:fill="C2D69B" w:themeFill="accent3" w:themeFillTint="99"/>
            <w:noWrap/>
            <w:vAlign w:val="center"/>
            <w:hideMark/>
          </w:tcPr>
          <w:p w14:paraId="725D9F89" w14:textId="77777777" w:rsidR="00F04478" w:rsidRPr="00D23C40" w:rsidRDefault="00F04478" w:rsidP="00FE59E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sz w:val="20"/>
                <w:szCs w:val="20"/>
              </w:rPr>
            </w:pPr>
            <w:r w:rsidRPr="00D23C40">
              <w:rPr>
                <w:rFonts w:ascii="Century Gothic" w:hAnsi="Century Gothic"/>
                <w:color w:val="auto"/>
                <w:sz w:val="20"/>
                <w:szCs w:val="20"/>
              </w:rPr>
              <w:t>Ejecución</w:t>
            </w:r>
          </w:p>
        </w:tc>
        <w:tc>
          <w:tcPr>
            <w:tcW w:w="1543" w:type="dxa"/>
            <w:tcBorders>
              <w:top w:val="none" w:sz="0" w:space="0" w:color="auto"/>
              <w:left w:val="none" w:sz="0" w:space="0" w:color="auto"/>
              <w:bottom w:val="none" w:sz="0" w:space="0" w:color="auto"/>
              <w:right w:val="none" w:sz="0" w:space="0" w:color="auto"/>
            </w:tcBorders>
            <w:shd w:val="clear" w:color="auto" w:fill="C2D69B" w:themeFill="accent3" w:themeFillTint="99"/>
            <w:vAlign w:val="center"/>
            <w:hideMark/>
          </w:tcPr>
          <w:p w14:paraId="0CBE479B" w14:textId="77777777" w:rsidR="00F04478" w:rsidRPr="00D23C40" w:rsidRDefault="00F04478" w:rsidP="00FE59E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sz w:val="20"/>
                <w:szCs w:val="20"/>
              </w:rPr>
            </w:pPr>
            <w:r w:rsidRPr="00D23C40">
              <w:rPr>
                <w:rFonts w:ascii="Century Gothic" w:hAnsi="Century Gothic"/>
                <w:color w:val="auto"/>
                <w:sz w:val="20"/>
                <w:szCs w:val="20"/>
              </w:rPr>
              <w:t>% Ejecución</w:t>
            </w:r>
          </w:p>
        </w:tc>
      </w:tr>
      <w:tr w:rsidR="00F04478" w:rsidRPr="00D23C40" w14:paraId="4409E39D" w14:textId="77777777" w:rsidTr="00FE59E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245" w:type="dxa"/>
            <w:shd w:val="clear" w:color="auto" w:fill="C2D69B" w:themeFill="accent3" w:themeFillTint="99"/>
            <w:noWrap/>
            <w:hideMark/>
          </w:tcPr>
          <w:p w14:paraId="3EFDA24C" w14:textId="77777777" w:rsidR="00F04478" w:rsidRPr="00D23C40" w:rsidRDefault="00F04478" w:rsidP="00FE59EC">
            <w:pPr>
              <w:rPr>
                <w:rFonts w:ascii="Century Gothic" w:hAnsi="Century Gothic"/>
                <w:b w:val="0"/>
                <w:bCs w:val="0"/>
                <w:sz w:val="20"/>
                <w:szCs w:val="20"/>
              </w:rPr>
            </w:pPr>
            <w:r w:rsidRPr="00D23C40">
              <w:rPr>
                <w:rFonts w:ascii="Century Gothic" w:hAnsi="Century Gothic"/>
                <w:sz w:val="20"/>
                <w:szCs w:val="20"/>
              </w:rPr>
              <w:t>Inversión social (transferencia Alcaldía)</w:t>
            </w:r>
          </w:p>
        </w:tc>
        <w:tc>
          <w:tcPr>
            <w:tcW w:w="1652" w:type="dxa"/>
            <w:shd w:val="clear" w:color="auto" w:fill="auto"/>
            <w:noWrap/>
            <w:hideMark/>
          </w:tcPr>
          <w:p w14:paraId="23482157" w14:textId="179D0C0B" w:rsidR="00F04478" w:rsidRPr="00D23C40" w:rsidRDefault="008E5976" w:rsidP="00FE59EC">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D23C40">
              <w:rPr>
                <w:rFonts w:ascii="Century Gothic" w:hAnsi="Century Gothic"/>
                <w:sz w:val="20"/>
                <w:szCs w:val="20"/>
              </w:rPr>
              <w:t>2.</w:t>
            </w:r>
            <w:r w:rsidR="00F04478" w:rsidRPr="00D23C40">
              <w:rPr>
                <w:rFonts w:ascii="Century Gothic" w:hAnsi="Century Gothic"/>
                <w:sz w:val="20"/>
                <w:szCs w:val="20"/>
              </w:rPr>
              <w:t>493</w:t>
            </w:r>
          </w:p>
        </w:tc>
        <w:tc>
          <w:tcPr>
            <w:tcW w:w="1441" w:type="dxa"/>
            <w:shd w:val="clear" w:color="auto" w:fill="auto"/>
            <w:noWrap/>
            <w:hideMark/>
          </w:tcPr>
          <w:p w14:paraId="2133D761" w14:textId="63FBC49A" w:rsidR="00F04478" w:rsidRPr="00D23C40" w:rsidRDefault="00F04478" w:rsidP="008E5976">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D23C40">
              <w:rPr>
                <w:rFonts w:ascii="Century Gothic" w:hAnsi="Century Gothic"/>
                <w:sz w:val="20"/>
                <w:szCs w:val="20"/>
              </w:rPr>
              <w:t>2</w:t>
            </w:r>
            <w:r w:rsidR="008E5976" w:rsidRPr="00D23C40">
              <w:rPr>
                <w:rFonts w:ascii="Century Gothic" w:hAnsi="Century Gothic"/>
                <w:sz w:val="20"/>
                <w:szCs w:val="20"/>
              </w:rPr>
              <w:t>.</w:t>
            </w:r>
            <w:r w:rsidRPr="00D23C40">
              <w:rPr>
                <w:rFonts w:ascii="Century Gothic" w:hAnsi="Century Gothic"/>
                <w:sz w:val="20"/>
                <w:szCs w:val="20"/>
              </w:rPr>
              <w:t>444</w:t>
            </w:r>
          </w:p>
        </w:tc>
        <w:tc>
          <w:tcPr>
            <w:tcW w:w="1543" w:type="dxa"/>
            <w:shd w:val="clear" w:color="auto" w:fill="auto"/>
            <w:noWrap/>
            <w:hideMark/>
          </w:tcPr>
          <w:p w14:paraId="5CDA76BC" w14:textId="77777777" w:rsidR="00F04478" w:rsidRPr="00D23C40" w:rsidRDefault="00F04478" w:rsidP="00FE59E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D23C40">
              <w:rPr>
                <w:rFonts w:ascii="Century Gothic" w:hAnsi="Century Gothic"/>
                <w:sz w:val="20"/>
                <w:szCs w:val="20"/>
              </w:rPr>
              <w:t>98%</w:t>
            </w:r>
          </w:p>
        </w:tc>
      </w:tr>
      <w:tr w:rsidR="00F04478" w:rsidRPr="00D23C40" w14:paraId="160EE903" w14:textId="77777777" w:rsidTr="00FE59EC">
        <w:trPr>
          <w:trHeight w:val="245"/>
        </w:trPr>
        <w:tc>
          <w:tcPr>
            <w:cnfStyle w:val="001000000000" w:firstRow="0" w:lastRow="0" w:firstColumn="1" w:lastColumn="0" w:oddVBand="0" w:evenVBand="0" w:oddHBand="0" w:evenHBand="0" w:firstRowFirstColumn="0" w:firstRowLastColumn="0" w:lastRowFirstColumn="0" w:lastRowLastColumn="0"/>
            <w:tcW w:w="4245" w:type="dxa"/>
            <w:shd w:val="clear" w:color="auto" w:fill="C2D69B" w:themeFill="accent3" w:themeFillTint="99"/>
            <w:noWrap/>
            <w:hideMark/>
          </w:tcPr>
          <w:p w14:paraId="4A6DC54B" w14:textId="77777777" w:rsidR="00F04478" w:rsidRPr="00D23C40" w:rsidRDefault="00F04478" w:rsidP="00FE59EC">
            <w:pPr>
              <w:rPr>
                <w:rFonts w:ascii="Century Gothic" w:hAnsi="Century Gothic"/>
                <w:sz w:val="20"/>
                <w:szCs w:val="20"/>
              </w:rPr>
            </w:pPr>
            <w:r w:rsidRPr="00D23C40">
              <w:rPr>
                <w:rFonts w:ascii="Century Gothic" w:hAnsi="Century Gothic"/>
                <w:sz w:val="20"/>
                <w:szCs w:val="20"/>
              </w:rPr>
              <w:t xml:space="preserve">Recursos propios </w:t>
            </w:r>
          </w:p>
        </w:tc>
        <w:tc>
          <w:tcPr>
            <w:tcW w:w="1652" w:type="dxa"/>
            <w:shd w:val="clear" w:color="auto" w:fill="auto"/>
            <w:noWrap/>
            <w:hideMark/>
          </w:tcPr>
          <w:p w14:paraId="70369E1E" w14:textId="77777777" w:rsidR="00F04478" w:rsidRPr="00D23C40" w:rsidRDefault="00F04478" w:rsidP="00FE59EC">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23C40">
              <w:rPr>
                <w:rFonts w:ascii="Century Gothic" w:hAnsi="Century Gothic"/>
                <w:sz w:val="20"/>
                <w:szCs w:val="20"/>
              </w:rPr>
              <w:t>546</w:t>
            </w:r>
          </w:p>
        </w:tc>
        <w:tc>
          <w:tcPr>
            <w:tcW w:w="1441" w:type="dxa"/>
            <w:shd w:val="clear" w:color="auto" w:fill="auto"/>
            <w:noWrap/>
            <w:hideMark/>
          </w:tcPr>
          <w:p w14:paraId="7A5CD6DC" w14:textId="77777777" w:rsidR="00F04478" w:rsidRPr="00D23C40" w:rsidRDefault="00F04478" w:rsidP="00FE59EC">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23C40">
              <w:rPr>
                <w:rFonts w:ascii="Century Gothic" w:hAnsi="Century Gothic"/>
                <w:sz w:val="20"/>
                <w:szCs w:val="20"/>
              </w:rPr>
              <w:t>228</w:t>
            </w:r>
          </w:p>
        </w:tc>
        <w:tc>
          <w:tcPr>
            <w:tcW w:w="1543" w:type="dxa"/>
            <w:shd w:val="clear" w:color="auto" w:fill="auto"/>
            <w:noWrap/>
            <w:hideMark/>
          </w:tcPr>
          <w:p w14:paraId="56ABC0C3" w14:textId="77777777" w:rsidR="00F04478" w:rsidRPr="00D23C40" w:rsidRDefault="00F04478" w:rsidP="00FE59E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23C40">
              <w:rPr>
                <w:rFonts w:ascii="Century Gothic" w:hAnsi="Century Gothic"/>
                <w:sz w:val="20"/>
                <w:szCs w:val="20"/>
              </w:rPr>
              <w:t>42%</w:t>
            </w:r>
          </w:p>
        </w:tc>
      </w:tr>
    </w:tbl>
    <w:p w14:paraId="7577EE53" w14:textId="2EB5E859" w:rsidR="00F04478" w:rsidRPr="00D23C40" w:rsidRDefault="00F04478" w:rsidP="00F04478">
      <w:pPr>
        <w:spacing w:after="240"/>
        <w:jc w:val="center"/>
        <w:rPr>
          <w:rFonts w:ascii="Century Gothic" w:hAnsi="Century Gothic"/>
          <w:sz w:val="20"/>
          <w:lang w:val="es-ES"/>
        </w:rPr>
      </w:pPr>
      <w:r w:rsidRPr="00D23C40">
        <w:rPr>
          <w:rFonts w:ascii="Century Gothic" w:hAnsi="Century Gothic"/>
          <w:sz w:val="20"/>
          <w:lang w:val="es-ES"/>
        </w:rPr>
        <w:t xml:space="preserve">Fuente: Pasto Deporte. Ejecución Presupuestal 31 de diciembre 2017, 2018 </w:t>
      </w:r>
    </w:p>
    <w:p w14:paraId="72667A1B" w14:textId="7F31429E" w:rsidR="00F04478" w:rsidRPr="00D23C40" w:rsidRDefault="00F04478" w:rsidP="00F04478">
      <w:pPr>
        <w:spacing w:after="240"/>
        <w:jc w:val="both"/>
        <w:rPr>
          <w:rFonts w:ascii="Century Gothic" w:hAnsi="Century Gothic"/>
          <w:lang w:val="es-ES"/>
        </w:rPr>
      </w:pPr>
      <w:r w:rsidRPr="00D23C40">
        <w:rPr>
          <w:rFonts w:ascii="Century Gothic" w:hAnsi="Century Gothic"/>
          <w:lang w:val="es-ES"/>
        </w:rPr>
        <w:t xml:space="preserve">El Instituto PASTO DEPORTE, dentro del presupuesto de la vigencia 2017, no contemplo el rubro de </w:t>
      </w:r>
      <w:r w:rsidR="00D23C40" w:rsidRPr="00D23C40">
        <w:rPr>
          <w:rFonts w:ascii="Century Gothic" w:hAnsi="Century Gothic"/>
          <w:lang w:val="es-ES"/>
        </w:rPr>
        <w:t>pasivos contin</w:t>
      </w:r>
      <w:r w:rsidRPr="00D23C40">
        <w:rPr>
          <w:rFonts w:ascii="Century Gothic" w:hAnsi="Century Gothic"/>
          <w:lang w:val="es-ES"/>
        </w:rPr>
        <w:t>gentes; sus cuentas por pagar al cierre de la vigencia fueron así:</w:t>
      </w:r>
    </w:p>
    <w:p w14:paraId="424F4776" w14:textId="5C342763" w:rsidR="00FE59EC" w:rsidRPr="00D23C40" w:rsidRDefault="00FE59EC" w:rsidP="00D45D11">
      <w:pPr>
        <w:spacing w:after="0"/>
        <w:jc w:val="center"/>
        <w:rPr>
          <w:rFonts w:ascii="Century Gothic" w:hAnsi="Century Gothic"/>
          <w:lang w:val="es-ES"/>
        </w:rPr>
      </w:pPr>
      <w:bookmarkStart w:id="72" w:name="_Toc532570526"/>
      <w:r w:rsidRPr="00D23C40">
        <w:rPr>
          <w:rFonts w:ascii="Century Gothic" w:hAnsi="Century Gothic"/>
          <w:lang w:val="es-ES"/>
        </w:rPr>
        <w:t xml:space="preserve">Tabla </w:t>
      </w:r>
      <w:r w:rsidRPr="00D23C40">
        <w:rPr>
          <w:rFonts w:ascii="Century Gothic" w:hAnsi="Century Gothic"/>
          <w:lang w:val="es-ES"/>
        </w:rPr>
        <w:fldChar w:fldCharType="begin"/>
      </w:r>
      <w:r w:rsidRPr="00D23C40">
        <w:rPr>
          <w:rFonts w:ascii="Century Gothic" w:hAnsi="Century Gothic"/>
          <w:lang w:val="es-ES"/>
        </w:rPr>
        <w:instrText xml:space="preserve"> SEQ Tabla \* ARABIC </w:instrText>
      </w:r>
      <w:r w:rsidRPr="00D23C40">
        <w:rPr>
          <w:rFonts w:ascii="Century Gothic" w:hAnsi="Century Gothic"/>
          <w:lang w:val="es-ES"/>
        </w:rPr>
        <w:fldChar w:fldCharType="separate"/>
      </w:r>
      <w:r w:rsidR="00501551">
        <w:rPr>
          <w:rFonts w:ascii="Century Gothic" w:hAnsi="Century Gothic"/>
          <w:noProof/>
          <w:lang w:val="es-ES"/>
        </w:rPr>
        <w:t>35</w:t>
      </w:r>
      <w:r w:rsidRPr="00D23C40">
        <w:rPr>
          <w:rFonts w:ascii="Century Gothic" w:hAnsi="Century Gothic"/>
          <w:lang w:val="es-ES"/>
        </w:rPr>
        <w:fldChar w:fldCharType="end"/>
      </w:r>
      <w:r w:rsidRPr="00D23C40">
        <w:rPr>
          <w:rFonts w:ascii="Century Gothic" w:hAnsi="Century Gothic"/>
          <w:lang w:val="es-ES"/>
        </w:rPr>
        <w:t>.</w:t>
      </w:r>
      <w:r w:rsidRPr="00D23C40">
        <w:rPr>
          <w:rFonts w:ascii="Century Gothic" w:hAnsi="Century Gothic"/>
          <w:b/>
          <w:lang w:val="es-ES"/>
        </w:rPr>
        <w:t xml:space="preserve"> </w:t>
      </w:r>
      <w:r w:rsidRPr="00D23C40">
        <w:rPr>
          <w:rFonts w:ascii="Century Gothic" w:hAnsi="Century Gothic"/>
          <w:lang w:val="es-ES"/>
        </w:rPr>
        <w:t>Cuentas por pagar</w:t>
      </w:r>
      <w:bookmarkEnd w:id="72"/>
      <w:r w:rsidRPr="00D23C40">
        <w:rPr>
          <w:rFonts w:ascii="Century Gothic" w:hAnsi="Century Gothic"/>
          <w:b/>
          <w:lang w:val="es-ES"/>
        </w:rPr>
        <w:t xml:space="preserve"> </w:t>
      </w:r>
    </w:p>
    <w:tbl>
      <w:tblPr>
        <w:tblStyle w:val="Tablaconcuadrcula4-nfasis31"/>
        <w:tblW w:w="4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709"/>
      </w:tblGrid>
      <w:tr w:rsidR="00F04478" w:rsidRPr="00D23C40" w14:paraId="0AFCD71F" w14:textId="77777777" w:rsidTr="00CA56B0">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838" w:type="dxa"/>
            <w:tcBorders>
              <w:top w:val="none" w:sz="0" w:space="0" w:color="auto"/>
              <w:left w:val="none" w:sz="0" w:space="0" w:color="auto"/>
              <w:bottom w:val="none" w:sz="0" w:space="0" w:color="auto"/>
              <w:right w:val="none" w:sz="0" w:space="0" w:color="auto"/>
            </w:tcBorders>
            <w:shd w:val="clear" w:color="auto" w:fill="C2D69B" w:themeFill="accent3" w:themeFillTint="99"/>
            <w:hideMark/>
          </w:tcPr>
          <w:p w14:paraId="4C1CC2C7" w14:textId="0CE42DD6" w:rsidR="00F04478" w:rsidRPr="00D23C40" w:rsidRDefault="00FE59EC" w:rsidP="00FE59EC">
            <w:pPr>
              <w:rPr>
                <w:rFonts w:ascii="Century Gothic" w:eastAsia="Times New Roman" w:hAnsi="Century Gothic" w:cs="Times New Roman"/>
                <w:color w:val="000000"/>
                <w:sz w:val="20"/>
                <w:szCs w:val="20"/>
              </w:rPr>
            </w:pPr>
            <w:r w:rsidRPr="00D23C40">
              <w:rPr>
                <w:rFonts w:ascii="Century Gothic" w:eastAsia="Times New Roman" w:hAnsi="Century Gothic" w:cs="Times New Roman"/>
                <w:color w:val="000000"/>
                <w:sz w:val="20"/>
                <w:szCs w:val="20"/>
              </w:rPr>
              <w:t>Total, ejecutado cuentas por pagar</w:t>
            </w:r>
          </w:p>
        </w:tc>
        <w:tc>
          <w:tcPr>
            <w:tcW w:w="709" w:type="dxa"/>
            <w:tcBorders>
              <w:top w:val="none" w:sz="0" w:space="0" w:color="auto"/>
              <w:left w:val="none" w:sz="0" w:space="0" w:color="auto"/>
              <w:bottom w:val="none" w:sz="0" w:space="0" w:color="auto"/>
              <w:right w:val="none" w:sz="0" w:space="0" w:color="auto"/>
            </w:tcBorders>
            <w:shd w:val="clear" w:color="auto" w:fill="C2D69B" w:themeFill="accent3" w:themeFillTint="99"/>
            <w:noWrap/>
            <w:hideMark/>
          </w:tcPr>
          <w:p w14:paraId="066926A9" w14:textId="77777777" w:rsidR="00F04478" w:rsidRPr="00D23C40" w:rsidRDefault="00F04478">
            <w:pPr>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rPr>
            </w:pPr>
            <w:r w:rsidRPr="00D23C40">
              <w:rPr>
                <w:rFonts w:ascii="Century Gothic" w:eastAsia="Times New Roman" w:hAnsi="Century Gothic" w:cs="Times New Roman"/>
                <w:color w:val="000000"/>
                <w:sz w:val="20"/>
                <w:szCs w:val="20"/>
              </w:rPr>
              <w:t>226</w:t>
            </w:r>
          </w:p>
        </w:tc>
      </w:tr>
      <w:tr w:rsidR="00F04478" w:rsidRPr="00D23C40" w14:paraId="5E2A0209" w14:textId="77777777" w:rsidTr="00CA56B0">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C2D69B" w:themeFill="accent3" w:themeFillTint="99"/>
            <w:hideMark/>
          </w:tcPr>
          <w:p w14:paraId="20D57CCE" w14:textId="5C010E26" w:rsidR="00F04478" w:rsidRPr="00D23C40" w:rsidRDefault="00FE59EC">
            <w:pPr>
              <w:rPr>
                <w:rFonts w:ascii="Century Gothic" w:eastAsia="Times New Roman" w:hAnsi="Century Gothic" w:cs="Times New Roman"/>
                <w:color w:val="000000"/>
                <w:sz w:val="20"/>
                <w:szCs w:val="20"/>
              </w:rPr>
            </w:pPr>
            <w:r w:rsidRPr="00D23C40">
              <w:rPr>
                <w:rFonts w:ascii="Century Gothic" w:eastAsia="Times New Roman" w:hAnsi="Century Gothic" w:cs="Times New Roman"/>
                <w:color w:val="000000"/>
                <w:sz w:val="20"/>
                <w:szCs w:val="20"/>
              </w:rPr>
              <w:t>Funcionamiento</w:t>
            </w:r>
          </w:p>
        </w:tc>
        <w:tc>
          <w:tcPr>
            <w:tcW w:w="709" w:type="dxa"/>
            <w:shd w:val="clear" w:color="auto" w:fill="auto"/>
            <w:noWrap/>
            <w:hideMark/>
          </w:tcPr>
          <w:p w14:paraId="3921BBAF" w14:textId="77777777" w:rsidR="00F04478" w:rsidRPr="00D23C40" w:rsidRDefault="00F0447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rPr>
            </w:pPr>
            <w:r w:rsidRPr="00D23C40">
              <w:rPr>
                <w:rFonts w:ascii="Century Gothic" w:eastAsia="Times New Roman" w:hAnsi="Century Gothic" w:cs="Times New Roman"/>
                <w:color w:val="000000"/>
                <w:sz w:val="20"/>
                <w:szCs w:val="20"/>
              </w:rPr>
              <w:t>4</w:t>
            </w:r>
          </w:p>
        </w:tc>
      </w:tr>
      <w:tr w:rsidR="00F04478" w:rsidRPr="00D23C40" w14:paraId="63C286A8" w14:textId="77777777" w:rsidTr="00CA56B0">
        <w:trPr>
          <w:trHeight w:val="58"/>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C2D69B" w:themeFill="accent3" w:themeFillTint="99"/>
            <w:hideMark/>
          </w:tcPr>
          <w:p w14:paraId="0C9D0ED4" w14:textId="76743386" w:rsidR="00F04478" w:rsidRPr="00D23C40" w:rsidRDefault="00FE59EC">
            <w:pPr>
              <w:rPr>
                <w:rFonts w:ascii="Century Gothic" w:eastAsia="Times New Roman" w:hAnsi="Century Gothic" w:cs="Times New Roman"/>
                <w:color w:val="000000"/>
                <w:sz w:val="20"/>
                <w:szCs w:val="20"/>
              </w:rPr>
            </w:pPr>
            <w:r w:rsidRPr="00D23C40">
              <w:rPr>
                <w:rFonts w:ascii="Century Gothic" w:eastAsia="Times New Roman" w:hAnsi="Century Gothic" w:cs="Times New Roman"/>
                <w:color w:val="000000"/>
                <w:sz w:val="20"/>
                <w:szCs w:val="20"/>
              </w:rPr>
              <w:t>Inversión</w:t>
            </w:r>
          </w:p>
        </w:tc>
        <w:tc>
          <w:tcPr>
            <w:tcW w:w="709" w:type="dxa"/>
            <w:shd w:val="clear" w:color="auto" w:fill="auto"/>
            <w:noWrap/>
            <w:hideMark/>
          </w:tcPr>
          <w:p w14:paraId="004EA2A7" w14:textId="77777777" w:rsidR="00F04478" w:rsidRPr="00D23C40" w:rsidRDefault="00F0447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rPr>
            </w:pPr>
            <w:r w:rsidRPr="00D23C40">
              <w:rPr>
                <w:rFonts w:ascii="Century Gothic" w:eastAsia="Times New Roman" w:hAnsi="Century Gothic" w:cs="Times New Roman"/>
                <w:color w:val="000000"/>
                <w:sz w:val="20"/>
                <w:szCs w:val="20"/>
              </w:rPr>
              <w:t>222</w:t>
            </w:r>
          </w:p>
        </w:tc>
      </w:tr>
    </w:tbl>
    <w:p w14:paraId="1D675667" w14:textId="78884699" w:rsidR="003619AF" w:rsidRPr="00D23C40" w:rsidRDefault="00FE59EC" w:rsidP="00FE59EC">
      <w:pPr>
        <w:pStyle w:val="Prrafodelista"/>
        <w:tabs>
          <w:tab w:val="left" w:pos="567"/>
        </w:tabs>
        <w:spacing w:after="240" w:line="276" w:lineRule="auto"/>
        <w:ind w:left="0" w:firstLine="0"/>
        <w:jc w:val="center"/>
        <w:rPr>
          <w:lang w:val="es-ES"/>
        </w:rPr>
      </w:pPr>
      <w:r w:rsidRPr="00D23C40">
        <w:rPr>
          <w:sz w:val="20"/>
          <w:lang w:val="es-ES"/>
        </w:rPr>
        <w:t>Fuente: Pasto Deporte, 2018</w:t>
      </w:r>
    </w:p>
    <w:p w14:paraId="206A6F6F" w14:textId="56907200" w:rsidR="00C41966" w:rsidRPr="00D23C40" w:rsidRDefault="00C41966" w:rsidP="00046092">
      <w:pPr>
        <w:pStyle w:val="Ttulo5"/>
        <w:spacing w:after="240" w:line="276" w:lineRule="auto"/>
        <w:rPr>
          <w:lang w:val="es-ES"/>
        </w:rPr>
      </w:pPr>
      <w:r w:rsidRPr="00D23C40">
        <w:rPr>
          <w:lang w:val="es-ES"/>
        </w:rPr>
        <w:t xml:space="preserve">Programa de saneamiento fiscal y financiero de la Empresa Social del Estado </w:t>
      </w:r>
      <w:r w:rsidR="00D23C40">
        <w:rPr>
          <w:lang w:val="es-ES"/>
        </w:rPr>
        <w:t xml:space="preserve">– </w:t>
      </w:r>
      <w:r w:rsidRPr="00D23C40">
        <w:rPr>
          <w:lang w:val="es-ES"/>
        </w:rPr>
        <w:t xml:space="preserve">ESE Pasto Salud. </w:t>
      </w:r>
    </w:p>
    <w:p w14:paraId="64D7DE50" w14:textId="77777777"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 xml:space="preserve">Pasto Salud ESE es una institución del orden municipal y transformada en ESE en el 2006 mediante el Acuerdo No. 013 de agosto 16 de 2006. Cuenta con 22 IPS ubicadas en la zona urbana y rural del municipio de Pasto, cuenta con patrimonio propio y autonomía administrativa y financiera y está adscrita a la Dirección Municipal de Salud. </w:t>
      </w:r>
    </w:p>
    <w:p w14:paraId="5DA32C92" w14:textId="299F8331" w:rsidR="00046092" w:rsidRPr="00D23C40" w:rsidRDefault="00FE59EC" w:rsidP="00FE59EC">
      <w:pPr>
        <w:jc w:val="both"/>
        <w:rPr>
          <w:rFonts w:ascii="Century Gothic" w:hAnsi="Century Gothic"/>
          <w:lang w:val="es-ES"/>
        </w:rPr>
      </w:pPr>
      <w:r w:rsidRPr="00D23C40">
        <w:rPr>
          <w:rFonts w:ascii="Century Gothic" w:hAnsi="Century Gothic" w:cs="Arial"/>
          <w:lang w:val="es-ES"/>
        </w:rPr>
        <w:t xml:space="preserve">La Empresa se encuentra en ejecución del Programa de Saneamiento Fiscal y Financiero (PSFF), desde la vigencia 2017, el cual se </w:t>
      </w:r>
      <w:r w:rsidR="00D23C40">
        <w:rPr>
          <w:rFonts w:ascii="Century Gothic" w:hAnsi="Century Gothic" w:cs="Arial"/>
          <w:lang w:val="es-ES"/>
        </w:rPr>
        <w:t xml:space="preserve">extiende hasta el año 2022 y su </w:t>
      </w:r>
      <w:r w:rsidRPr="00D23C40">
        <w:rPr>
          <w:rFonts w:ascii="Century Gothic" w:hAnsi="Century Gothic" w:cs="Arial"/>
          <w:lang w:val="es-ES"/>
        </w:rPr>
        <w:t>escenario financiero contempla medidas encaminadas al fortalecimiento instituciona</w:t>
      </w:r>
      <w:r w:rsidR="00D23C40">
        <w:rPr>
          <w:rFonts w:ascii="Century Gothic" w:hAnsi="Century Gothic" w:cs="Arial"/>
          <w:lang w:val="es-ES"/>
        </w:rPr>
        <w:t>l, administrativo, y financiero</w:t>
      </w:r>
      <w:r w:rsidRPr="00D23C40">
        <w:rPr>
          <w:rFonts w:ascii="Century Gothic" w:hAnsi="Century Gothic" w:cs="Arial"/>
          <w:lang w:val="es-ES"/>
        </w:rPr>
        <w:t xml:space="preserve">. A continuación, se analiza cada una de </w:t>
      </w:r>
      <w:r w:rsidRPr="00D23C40">
        <w:rPr>
          <w:rFonts w:ascii="Century Gothic" w:hAnsi="Century Gothic" w:cs="Arial"/>
          <w:lang w:val="es-ES"/>
        </w:rPr>
        <w:lastRenderedPageBreak/>
        <w:t>estas variables teniendo en cuenta las diferentes fuentes de financiación de la Empresa.</w:t>
      </w:r>
    </w:p>
    <w:p w14:paraId="535944B3" w14:textId="3830B882" w:rsidR="00FE59EC" w:rsidRPr="00D23C40" w:rsidRDefault="00EA061F" w:rsidP="00FE59EC">
      <w:pPr>
        <w:contextualSpacing/>
        <w:rPr>
          <w:rFonts w:ascii="Century Gothic" w:hAnsi="Century Gothic" w:cs="Arial"/>
          <w:b/>
          <w:lang w:val="es-ES"/>
        </w:rPr>
      </w:pPr>
      <w:r w:rsidRPr="00D23C40">
        <w:rPr>
          <w:rFonts w:ascii="Century Gothic" w:hAnsi="Century Gothic" w:cs="Arial"/>
          <w:b/>
          <w:lang w:val="es-ES"/>
        </w:rPr>
        <w:t>F</w:t>
      </w:r>
      <w:r w:rsidR="00FE59EC" w:rsidRPr="00D23C40">
        <w:rPr>
          <w:rFonts w:ascii="Century Gothic" w:hAnsi="Century Gothic" w:cs="Arial"/>
          <w:b/>
          <w:lang w:val="es-ES"/>
        </w:rPr>
        <w:t>ortalecimiento de los ingresos</w:t>
      </w:r>
    </w:p>
    <w:p w14:paraId="40232918" w14:textId="77777777" w:rsidR="00FE59EC" w:rsidRPr="00D23C40" w:rsidRDefault="00FE59EC" w:rsidP="00FE59EC">
      <w:pPr>
        <w:contextualSpacing/>
        <w:rPr>
          <w:rFonts w:ascii="Century Gothic" w:hAnsi="Century Gothic" w:cs="Arial"/>
          <w:b/>
          <w:lang w:val="es-ES"/>
        </w:rPr>
      </w:pPr>
    </w:p>
    <w:p w14:paraId="49E99EE4" w14:textId="77777777"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 Fortalecimiento del sistema de información y facturación de la ESE: si unos de los elementos planteados de aumento de los ingresos es la venta de servicios por evento, el sistema de información de actividades realizadas y de facturación debe ser optimizado. Toda actividad realizada en la ESE debe ser registrada y facturada.</w:t>
      </w:r>
    </w:p>
    <w:p w14:paraId="0CBEA7DD" w14:textId="2281748F" w:rsidR="00EA061F" w:rsidRPr="00D23C40" w:rsidRDefault="00FE59EC" w:rsidP="00FE59EC">
      <w:pPr>
        <w:jc w:val="both"/>
        <w:rPr>
          <w:rFonts w:ascii="Century Gothic" w:hAnsi="Century Gothic" w:cs="Arial"/>
          <w:lang w:val="es-ES"/>
        </w:rPr>
      </w:pPr>
      <w:r w:rsidRPr="00D23C40">
        <w:rPr>
          <w:rFonts w:ascii="Century Gothic" w:hAnsi="Century Gothic" w:cs="Arial"/>
          <w:lang w:val="es-ES"/>
        </w:rPr>
        <w:t xml:space="preserve">- Fortalecimiento de las áreas de facturación y cartera: la reingeniería debe garantizar personal idóneo en estas áreas. Este proceso debe ser lo más eficiente posible. </w:t>
      </w:r>
      <w:proofErr w:type="gramStart"/>
      <w:r w:rsidRPr="00D23C40">
        <w:rPr>
          <w:rFonts w:ascii="Century Gothic" w:hAnsi="Century Gothic" w:cs="Arial"/>
          <w:lang w:val="es-ES"/>
        </w:rPr>
        <w:t>la</w:t>
      </w:r>
      <w:proofErr w:type="gramEnd"/>
      <w:r w:rsidRPr="00D23C40">
        <w:rPr>
          <w:rFonts w:ascii="Century Gothic" w:hAnsi="Century Gothic" w:cs="Arial"/>
          <w:lang w:val="es-ES"/>
        </w:rPr>
        <w:t xml:space="preserve"> facturación de los servicios con el mínimo de errores para garantizar un porcentaje de glosas inferior al 10 por ciento; La recuperación de cartera debe tener coma objetivo una rotación máxima de 180 días.</w:t>
      </w:r>
    </w:p>
    <w:p w14:paraId="271E307E" w14:textId="5C2CD9C5" w:rsidR="00EA061F" w:rsidRPr="00D23C40" w:rsidRDefault="00EA061F" w:rsidP="00EA061F">
      <w:pPr>
        <w:jc w:val="both"/>
        <w:rPr>
          <w:rFonts w:ascii="Century Gothic" w:hAnsi="Century Gothic" w:cs="Arial"/>
          <w:b/>
          <w:lang w:val="es-ES"/>
        </w:rPr>
      </w:pPr>
      <w:r w:rsidRPr="00D23C40">
        <w:rPr>
          <w:rFonts w:ascii="Century Gothic" w:hAnsi="Century Gothic" w:cs="Arial"/>
          <w:b/>
          <w:lang w:val="es-ES"/>
        </w:rPr>
        <w:t xml:space="preserve">Descripción de la medida o compromiso </w:t>
      </w:r>
    </w:p>
    <w:p w14:paraId="4B965987" w14:textId="1707EE93"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Los ingresos que se tratarán a continuación corresponden a los recaudos efectivamente realizados, así: en el año 2012 se generó $30.535 millones de pesos, en el año 2013 $36.260 millones de pesos, alcanzando un crecimiento de 18,75</w:t>
      </w:r>
      <w:r w:rsidR="004F5BDD" w:rsidRPr="00D23C40">
        <w:rPr>
          <w:rFonts w:ascii="Century Gothic" w:hAnsi="Century Gothic" w:cs="Arial"/>
          <w:lang w:val="es-ES"/>
        </w:rPr>
        <w:t xml:space="preserve"> por ciento</w:t>
      </w:r>
      <w:r w:rsidRPr="00D23C40">
        <w:rPr>
          <w:rFonts w:ascii="Century Gothic" w:hAnsi="Century Gothic" w:cs="Arial"/>
          <w:lang w:val="es-ES"/>
        </w:rPr>
        <w:t>; En el año 2014 se ejecutó ingresos por valor de $36.204 millones, es decir un decrecimiento del -0,15</w:t>
      </w:r>
      <w:r w:rsidR="004F5BDD" w:rsidRPr="00D23C40">
        <w:rPr>
          <w:rFonts w:ascii="Century Gothic" w:hAnsi="Century Gothic" w:cs="Arial"/>
          <w:lang w:val="es-ES"/>
        </w:rPr>
        <w:t xml:space="preserve"> por ciento</w:t>
      </w:r>
      <w:r w:rsidRPr="00D23C40">
        <w:rPr>
          <w:rFonts w:ascii="Century Gothic" w:hAnsi="Century Gothic" w:cs="Arial"/>
          <w:lang w:val="es-ES"/>
        </w:rPr>
        <w:t xml:space="preserve"> con respecto a la vigencia 2013; al cierre de la vigencia 2015 los recaudos ascendieron a $38.991 millones, creciendo 7,70</w:t>
      </w:r>
      <w:r w:rsidR="004F5BDD" w:rsidRPr="00D23C40">
        <w:rPr>
          <w:rFonts w:ascii="Century Gothic" w:hAnsi="Century Gothic" w:cs="Arial"/>
          <w:lang w:val="es-ES"/>
        </w:rPr>
        <w:t xml:space="preserve"> por ciento</w:t>
      </w:r>
      <w:r w:rsidRPr="00D23C40">
        <w:rPr>
          <w:rFonts w:ascii="Century Gothic" w:hAnsi="Century Gothic" w:cs="Arial"/>
          <w:lang w:val="es-ES"/>
        </w:rPr>
        <w:t xml:space="preserve"> con respecto al 2014. Para la vigencia del 2.016, la cifra de recaudo alcanzada fue de $39.620 millones de pesos. </w:t>
      </w:r>
    </w:p>
    <w:p w14:paraId="78271F05" w14:textId="33C5E659" w:rsidR="00EA061F" w:rsidRPr="00D23C40" w:rsidRDefault="00FE59EC" w:rsidP="00FE59EC">
      <w:pPr>
        <w:jc w:val="both"/>
        <w:rPr>
          <w:rFonts w:ascii="Century Gothic" w:hAnsi="Century Gothic" w:cs="Arial"/>
          <w:lang w:val="es-ES"/>
        </w:rPr>
      </w:pPr>
      <w:r w:rsidRPr="00D23C40">
        <w:rPr>
          <w:rFonts w:ascii="Century Gothic" w:hAnsi="Century Gothic" w:cs="Arial"/>
          <w:lang w:val="es-ES"/>
        </w:rPr>
        <w:t xml:space="preserve">Al cierre de la vigencia 2017, primer año de ejecución del Programa de Saneamiento Fiscal y Financiero, el recaudo efectivo ascendió a $48.183 millones de pesos, de los cuales $33.822 millones son el resultado de la operación corriente por venta de servicios de salud de la ESE, presentando un incremento por valor de $8.563 millones respecto a 2016. Siendo la principal razón de fortalecimiento de ingresos, el incremento en la producción de servicios y el cambio en el sistema de contratación de </w:t>
      </w:r>
      <w:r w:rsidR="00F9168A" w:rsidRPr="00D23C40">
        <w:rPr>
          <w:rFonts w:ascii="Century Gothic" w:hAnsi="Century Gothic" w:cs="Arial"/>
          <w:lang w:val="es-ES"/>
        </w:rPr>
        <w:t xml:space="preserve">evento a cápita </w:t>
      </w:r>
      <w:r w:rsidRPr="00D23C40">
        <w:rPr>
          <w:rFonts w:ascii="Century Gothic" w:hAnsi="Century Gothic" w:cs="Arial"/>
          <w:lang w:val="es-ES"/>
        </w:rPr>
        <w:t>en algunos servicios. Para lograr este resultado, es pertinente tener en cuenta las siguientes acciones ejecutas:</w:t>
      </w:r>
    </w:p>
    <w:p w14:paraId="74E3006F" w14:textId="77777777" w:rsidR="00FE59EC" w:rsidRPr="00D23C40" w:rsidRDefault="00FE59EC" w:rsidP="000C2358">
      <w:pPr>
        <w:pStyle w:val="Prrafodelista"/>
        <w:numPr>
          <w:ilvl w:val="0"/>
          <w:numId w:val="44"/>
        </w:numPr>
        <w:spacing w:line="276" w:lineRule="auto"/>
        <w:ind w:left="0" w:firstLine="360"/>
        <w:rPr>
          <w:rFonts w:cs="Arial"/>
          <w:lang w:val="es-ES"/>
        </w:rPr>
      </w:pPr>
      <w:r w:rsidRPr="00D23C40">
        <w:rPr>
          <w:rFonts w:cs="Arial"/>
          <w:lang w:val="es-ES"/>
        </w:rPr>
        <w:t>Mejora en los procesos de facturación, cartera y asistenciales.</w:t>
      </w:r>
    </w:p>
    <w:p w14:paraId="43948588" w14:textId="77777777" w:rsidR="00FE59EC" w:rsidRPr="00D23C40" w:rsidRDefault="00FE59EC" w:rsidP="000C2358">
      <w:pPr>
        <w:pStyle w:val="Prrafodelista"/>
        <w:numPr>
          <w:ilvl w:val="0"/>
          <w:numId w:val="44"/>
        </w:numPr>
        <w:spacing w:line="276" w:lineRule="auto"/>
        <w:ind w:left="0" w:firstLine="360"/>
        <w:rPr>
          <w:rFonts w:cs="Arial"/>
          <w:lang w:val="es-ES"/>
        </w:rPr>
      </w:pPr>
      <w:r w:rsidRPr="00D23C40">
        <w:rPr>
          <w:rFonts w:cs="Arial"/>
          <w:lang w:val="es-ES"/>
        </w:rPr>
        <w:t>Seguimiento permanente a la ejecución de plan de ventas.</w:t>
      </w:r>
    </w:p>
    <w:p w14:paraId="33D378C4" w14:textId="1AC64F1B" w:rsidR="00FE59EC" w:rsidRPr="00D23C40" w:rsidRDefault="00FE59EC" w:rsidP="000C2358">
      <w:pPr>
        <w:pStyle w:val="Prrafodelista"/>
        <w:numPr>
          <w:ilvl w:val="0"/>
          <w:numId w:val="44"/>
        </w:numPr>
        <w:spacing w:line="276" w:lineRule="auto"/>
        <w:ind w:left="0" w:firstLine="360"/>
        <w:rPr>
          <w:rFonts w:cs="Arial"/>
          <w:lang w:val="es-ES"/>
        </w:rPr>
      </w:pPr>
      <w:r w:rsidRPr="00D23C40">
        <w:rPr>
          <w:rFonts w:cs="Arial"/>
          <w:lang w:val="es-ES"/>
        </w:rPr>
        <w:t>Garantizar Personal idóneo en estas áreas para garantizar el mínimo de glosas (5</w:t>
      </w:r>
      <w:r w:rsidR="004F5BDD" w:rsidRPr="00D23C40">
        <w:rPr>
          <w:rFonts w:cs="Arial"/>
          <w:lang w:val="es-ES"/>
        </w:rPr>
        <w:t xml:space="preserve"> por ciento</w:t>
      </w:r>
      <w:r w:rsidRPr="00D23C40">
        <w:rPr>
          <w:rFonts w:cs="Arial"/>
          <w:lang w:val="es-ES"/>
        </w:rPr>
        <w:t xml:space="preserve">). </w:t>
      </w:r>
    </w:p>
    <w:p w14:paraId="52CCC02F" w14:textId="555E1BBA" w:rsidR="00FE59EC" w:rsidRPr="00D23C40" w:rsidRDefault="00FE59EC" w:rsidP="000C2358">
      <w:pPr>
        <w:pStyle w:val="Prrafodelista"/>
        <w:numPr>
          <w:ilvl w:val="0"/>
          <w:numId w:val="44"/>
        </w:numPr>
        <w:spacing w:line="276" w:lineRule="auto"/>
        <w:ind w:left="0" w:firstLine="360"/>
        <w:rPr>
          <w:rFonts w:cs="Arial"/>
          <w:lang w:val="es-ES"/>
        </w:rPr>
      </w:pPr>
      <w:r w:rsidRPr="00D23C40">
        <w:rPr>
          <w:rFonts w:cs="Arial"/>
          <w:lang w:val="es-ES"/>
        </w:rPr>
        <w:lastRenderedPageBreak/>
        <w:t xml:space="preserve">Evaluación </w:t>
      </w:r>
      <w:proofErr w:type="spellStart"/>
      <w:r w:rsidR="0016186A" w:rsidRPr="00D23C40">
        <w:rPr>
          <w:rFonts w:cs="Arial"/>
          <w:lang w:val="es-ES"/>
        </w:rPr>
        <w:t>continúa</w:t>
      </w:r>
      <w:proofErr w:type="spellEnd"/>
      <w:r w:rsidRPr="00D23C40">
        <w:rPr>
          <w:rFonts w:cs="Arial"/>
          <w:lang w:val="es-ES"/>
        </w:rPr>
        <w:t xml:space="preserve"> de adherencia de guías y protocolos. </w:t>
      </w:r>
    </w:p>
    <w:p w14:paraId="13F5A1C5" w14:textId="77777777" w:rsidR="00FE59EC" w:rsidRPr="00D23C40" w:rsidRDefault="00FE59EC" w:rsidP="000C2358">
      <w:pPr>
        <w:pStyle w:val="Prrafodelista"/>
        <w:numPr>
          <w:ilvl w:val="0"/>
          <w:numId w:val="44"/>
        </w:numPr>
        <w:spacing w:line="276" w:lineRule="auto"/>
        <w:ind w:left="0" w:firstLine="360"/>
        <w:rPr>
          <w:rFonts w:cs="Arial"/>
          <w:lang w:val="es-ES"/>
        </w:rPr>
      </w:pPr>
      <w:r w:rsidRPr="00D23C40">
        <w:rPr>
          <w:rFonts w:cs="Arial"/>
          <w:lang w:val="es-ES"/>
        </w:rPr>
        <w:t xml:space="preserve">Rotación de cartera con un máximo de 180 días. </w:t>
      </w:r>
    </w:p>
    <w:p w14:paraId="514BBC1C" w14:textId="77777777" w:rsidR="00FE59EC" w:rsidRPr="00D23C40" w:rsidRDefault="00FE59EC" w:rsidP="000C2358">
      <w:pPr>
        <w:pStyle w:val="Prrafodelista"/>
        <w:numPr>
          <w:ilvl w:val="0"/>
          <w:numId w:val="44"/>
        </w:numPr>
        <w:spacing w:line="276" w:lineRule="auto"/>
        <w:ind w:left="0" w:firstLine="360"/>
        <w:rPr>
          <w:rFonts w:cs="Arial"/>
          <w:lang w:val="es-ES"/>
        </w:rPr>
      </w:pPr>
      <w:r w:rsidRPr="00D23C40">
        <w:rPr>
          <w:rFonts w:cs="Arial"/>
          <w:lang w:val="es-ES"/>
        </w:rPr>
        <w:t xml:space="preserve">Gestión de recuperación de cartera ante las EPS con un equipo interdisciplinario. </w:t>
      </w:r>
    </w:p>
    <w:p w14:paraId="7D291BA7" w14:textId="77777777" w:rsidR="00FE59EC" w:rsidRPr="00D23C40" w:rsidRDefault="00FE59EC" w:rsidP="00FE59EC">
      <w:pPr>
        <w:pStyle w:val="Prrafodelista"/>
        <w:numPr>
          <w:ilvl w:val="0"/>
          <w:numId w:val="44"/>
        </w:numPr>
        <w:spacing w:after="240" w:line="276" w:lineRule="auto"/>
        <w:ind w:left="0" w:firstLine="360"/>
        <w:rPr>
          <w:rFonts w:cs="Arial"/>
          <w:lang w:val="es-ES"/>
        </w:rPr>
      </w:pPr>
      <w:r w:rsidRPr="00D23C40">
        <w:rPr>
          <w:rFonts w:cs="Arial"/>
          <w:lang w:val="es-ES"/>
        </w:rPr>
        <w:t>Análisis de tarifas de APH para ser concertadas de manera oportuna con las EPS y mejorar la contratación con las distintas EAPB.</w:t>
      </w:r>
    </w:p>
    <w:p w14:paraId="5BF8305C" w14:textId="2D16C23E" w:rsidR="00EA061F" w:rsidRPr="00D23C40" w:rsidRDefault="00EA061F" w:rsidP="00FE59EC">
      <w:pPr>
        <w:jc w:val="both"/>
        <w:rPr>
          <w:rFonts w:ascii="Century Gothic" w:hAnsi="Century Gothic" w:cs="Arial"/>
          <w:lang w:val="es-ES"/>
        </w:rPr>
      </w:pPr>
      <w:r w:rsidRPr="00D23C40">
        <w:rPr>
          <w:rFonts w:ascii="Century Gothic" w:hAnsi="Century Gothic" w:cs="Arial"/>
          <w:b/>
          <w:bCs/>
          <w:lang w:val="es-ES"/>
        </w:rPr>
        <w:t xml:space="preserve">Propuestas de ajuste aspectos financieros </w:t>
      </w:r>
    </w:p>
    <w:p w14:paraId="5B642D42" w14:textId="273D78EC" w:rsidR="00EA061F" w:rsidRPr="00D23C40" w:rsidRDefault="00FE59EC" w:rsidP="00EA061F">
      <w:pPr>
        <w:jc w:val="both"/>
        <w:rPr>
          <w:rFonts w:ascii="Century Gothic" w:hAnsi="Century Gothic" w:cs="Arial"/>
          <w:lang w:val="es-ES"/>
        </w:rPr>
      </w:pPr>
      <w:r w:rsidRPr="00D23C40">
        <w:rPr>
          <w:rFonts w:ascii="Century Gothic" w:hAnsi="Century Gothic" w:cs="Arial"/>
          <w:lang w:val="es-ES"/>
        </w:rPr>
        <w:t>El PSFF tiene como objetivo, alcanzar una operación corriente en equilibrio y la sostenibilidad financiera de la Empresa, a través la adecuada administración de ingresos, gastos y pasivos.</w:t>
      </w:r>
    </w:p>
    <w:p w14:paraId="210EAB8B" w14:textId="0957DB26" w:rsidR="00EA061F" w:rsidRPr="00D23C40" w:rsidRDefault="00EA061F" w:rsidP="00EA061F">
      <w:pPr>
        <w:jc w:val="both"/>
        <w:rPr>
          <w:rFonts w:ascii="Century Gothic" w:hAnsi="Century Gothic" w:cs="Arial"/>
          <w:lang w:val="es-ES"/>
        </w:rPr>
      </w:pPr>
      <w:r w:rsidRPr="00D23C40">
        <w:rPr>
          <w:rFonts w:ascii="Century Gothic" w:hAnsi="Century Gothic" w:cs="Arial"/>
          <w:b/>
          <w:bCs/>
          <w:lang w:val="es-ES"/>
        </w:rPr>
        <w:t>Racionalización del gasto</w:t>
      </w:r>
    </w:p>
    <w:p w14:paraId="4AD7AA45" w14:textId="4A578196" w:rsidR="00EA061F" w:rsidRPr="00D23C40" w:rsidRDefault="00EA061F" w:rsidP="00EA061F">
      <w:pPr>
        <w:jc w:val="both"/>
        <w:rPr>
          <w:rFonts w:ascii="Century Gothic" w:hAnsi="Century Gothic" w:cs="Arial"/>
          <w:b/>
          <w:bCs/>
          <w:lang w:val="es-ES"/>
        </w:rPr>
      </w:pPr>
      <w:r w:rsidRPr="00D23C40">
        <w:rPr>
          <w:rFonts w:ascii="Century Gothic" w:hAnsi="Century Gothic" w:cs="Arial"/>
          <w:b/>
          <w:bCs/>
          <w:lang w:val="es-ES"/>
        </w:rPr>
        <w:t>Causa de riesgo</w:t>
      </w:r>
    </w:p>
    <w:p w14:paraId="4EABEA70" w14:textId="3AF62A19" w:rsidR="00EA061F" w:rsidRPr="00D23C40" w:rsidRDefault="00FE59EC" w:rsidP="00EA061F">
      <w:pPr>
        <w:jc w:val="both"/>
        <w:rPr>
          <w:rFonts w:ascii="Century Gothic" w:eastAsia="Arial" w:hAnsi="Century Gothic" w:cs="Arial"/>
          <w:lang w:val="es-ES"/>
        </w:rPr>
      </w:pPr>
      <w:r w:rsidRPr="00D23C40">
        <w:rPr>
          <w:rFonts w:ascii="Century Gothic" w:eastAsia="Arial" w:hAnsi="Century Gothic" w:cs="Arial"/>
          <w:lang w:val="es-ES"/>
        </w:rPr>
        <w:t>Los gastos del 2013 - 2015 se mantuvieron en el mismo nivel, pues la variación fue solo del -0.54</w:t>
      </w:r>
      <w:r w:rsidR="004F5BDD" w:rsidRPr="00D23C40">
        <w:rPr>
          <w:rFonts w:ascii="Century Gothic" w:eastAsia="Arial" w:hAnsi="Century Gothic" w:cs="Arial"/>
          <w:lang w:val="es-ES"/>
        </w:rPr>
        <w:t xml:space="preserve"> por ciento</w:t>
      </w:r>
      <w:r w:rsidRPr="00D23C40">
        <w:rPr>
          <w:rFonts w:ascii="Century Gothic" w:eastAsia="Arial" w:hAnsi="Century Gothic" w:cs="Arial"/>
          <w:lang w:val="es-ES"/>
        </w:rPr>
        <w:t>.  Los Gastos de Funcionamiento crecen en un 29,03</w:t>
      </w:r>
      <w:r w:rsidR="004F5BDD" w:rsidRPr="00D23C40">
        <w:rPr>
          <w:rFonts w:ascii="Century Gothic" w:eastAsia="Arial" w:hAnsi="Century Gothic" w:cs="Arial"/>
          <w:lang w:val="es-ES"/>
        </w:rPr>
        <w:t xml:space="preserve"> por ciento</w:t>
      </w:r>
      <w:r w:rsidRPr="00D23C40">
        <w:rPr>
          <w:rFonts w:ascii="Century Gothic" w:eastAsia="Arial" w:hAnsi="Century Gothic" w:cs="Arial"/>
          <w:lang w:val="es-ES"/>
        </w:rPr>
        <w:t xml:space="preserve"> es decir aumentaron en $6.086 millones de pesos; este rubro representa el 72,62</w:t>
      </w:r>
      <w:r w:rsidR="00AA639F" w:rsidRPr="00D23C40">
        <w:rPr>
          <w:rFonts w:ascii="Century Gothic" w:eastAsia="Arial" w:hAnsi="Century Gothic" w:cs="Arial"/>
          <w:lang w:val="es-ES"/>
        </w:rPr>
        <w:t xml:space="preserve"> por ciento</w:t>
      </w:r>
      <w:r w:rsidRPr="00D23C40">
        <w:rPr>
          <w:rFonts w:ascii="Century Gothic" w:eastAsia="Arial" w:hAnsi="Century Gothic" w:cs="Arial"/>
          <w:lang w:val="es-ES"/>
        </w:rPr>
        <w:t xml:space="preserve"> de gastos y costos de operación.  Los gastos promedio de las vigencias 2012 a 2015 son $25.123 millones, de los cuales Servicios Personales Asociados a la Nómina, representan el 21,40</w:t>
      </w:r>
      <w:r w:rsidR="004F5BDD" w:rsidRPr="00D23C40">
        <w:rPr>
          <w:rFonts w:ascii="Century Gothic" w:eastAsia="Arial" w:hAnsi="Century Gothic" w:cs="Arial"/>
          <w:lang w:val="es-ES"/>
        </w:rPr>
        <w:t xml:space="preserve"> por ciento</w:t>
      </w:r>
      <w:r w:rsidRPr="00D23C40">
        <w:rPr>
          <w:rFonts w:ascii="Century Gothic" w:eastAsia="Arial" w:hAnsi="Century Gothic" w:cs="Arial"/>
          <w:lang w:val="es-ES"/>
        </w:rPr>
        <w:t>, incrementándose durante estos tres años en el del 31,83</w:t>
      </w:r>
      <w:r w:rsidR="004F5BDD" w:rsidRPr="00D23C40">
        <w:rPr>
          <w:rFonts w:ascii="Century Gothic" w:eastAsia="Arial" w:hAnsi="Century Gothic" w:cs="Arial"/>
          <w:lang w:val="es-ES"/>
        </w:rPr>
        <w:t xml:space="preserve"> por ciento</w:t>
      </w:r>
      <w:r w:rsidRPr="00D23C40">
        <w:rPr>
          <w:rFonts w:ascii="Century Gothic" w:eastAsia="Arial" w:hAnsi="Century Gothic" w:cs="Arial"/>
          <w:lang w:val="es-ES"/>
        </w:rPr>
        <w:t xml:space="preserve"> y en particular los gastos por Servicios Personales Indirectos, que representan el 60,59</w:t>
      </w:r>
      <w:r w:rsidR="004F5BDD" w:rsidRPr="00D23C40">
        <w:rPr>
          <w:rFonts w:ascii="Century Gothic" w:eastAsia="Arial" w:hAnsi="Century Gothic" w:cs="Arial"/>
          <w:lang w:val="es-ES"/>
        </w:rPr>
        <w:t xml:space="preserve"> por ciento</w:t>
      </w:r>
      <w:r w:rsidRPr="00D23C40">
        <w:rPr>
          <w:rFonts w:ascii="Century Gothic" w:eastAsia="Arial" w:hAnsi="Century Gothic" w:cs="Arial"/>
          <w:lang w:val="es-ES"/>
        </w:rPr>
        <w:t>.</w:t>
      </w:r>
    </w:p>
    <w:p w14:paraId="344DAE91" w14:textId="5A493159" w:rsidR="00EA061F" w:rsidRPr="00D23C40" w:rsidRDefault="00E94A12" w:rsidP="00EA061F">
      <w:pPr>
        <w:jc w:val="both"/>
        <w:rPr>
          <w:rFonts w:ascii="Century Gothic" w:hAnsi="Century Gothic" w:cs="Arial"/>
          <w:b/>
          <w:bCs/>
          <w:iCs/>
          <w:lang w:val="es-ES"/>
        </w:rPr>
      </w:pPr>
      <w:r w:rsidRPr="00D23C40">
        <w:rPr>
          <w:rFonts w:ascii="Century Gothic" w:hAnsi="Century Gothic" w:cs="Arial"/>
          <w:b/>
          <w:bCs/>
          <w:iCs/>
          <w:lang w:val="es-ES"/>
        </w:rPr>
        <w:t xml:space="preserve">Descripción de la medida o compromiso </w:t>
      </w:r>
    </w:p>
    <w:p w14:paraId="232ECF63" w14:textId="44F71107" w:rsidR="00EA061F" w:rsidRPr="00D23C40" w:rsidRDefault="00E94A12" w:rsidP="00E74FB1">
      <w:pPr>
        <w:spacing w:after="0"/>
        <w:ind w:right="-1"/>
        <w:jc w:val="both"/>
        <w:rPr>
          <w:rFonts w:ascii="Century Gothic" w:eastAsia="Arial" w:hAnsi="Century Gothic" w:cs="Arial"/>
          <w:color w:val="FF0000"/>
          <w:lang w:val="es-ES"/>
        </w:rPr>
      </w:pPr>
      <w:r w:rsidRPr="00D23C40">
        <w:rPr>
          <w:rFonts w:ascii="Century Gothic" w:hAnsi="Century Gothic" w:cs="Arial"/>
          <w:bCs/>
          <w:lang w:val="es-ES"/>
        </w:rPr>
        <w:t xml:space="preserve">- </w:t>
      </w:r>
      <w:r w:rsidR="00EA061F" w:rsidRPr="00D23C40">
        <w:rPr>
          <w:rFonts w:ascii="Century Gothic" w:hAnsi="Century Gothic" w:cs="Arial"/>
          <w:bCs/>
          <w:lang w:val="es-ES"/>
        </w:rPr>
        <w:t xml:space="preserve">Implementación de un sistema de análisis de costos: </w:t>
      </w:r>
      <w:r w:rsidR="00EA061F" w:rsidRPr="00D23C40">
        <w:rPr>
          <w:rFonts w:ascii="Century Gothic" w:eastAsia="Arial" w:hAnsi="Century Gothic" w:cs="Arial"/>
          <w:lang w:val="es-ES"/>
        </w:rPr>
        <w:t>Propender por la modernización del sistema de costos, mediante la adquisición de un software que permita el registro y la consolidación de la información de manera oportuna y de las fuentes que originan los costos, obteniendo así información fidedigna.</w:t>
      </w:r>
    </w:p>
    <w:p w14:paraId="55D6D338" w14:textId="6FB846D8" w:rsidR="00EA061F" w:rsidRPr="00D23C40" w:rsidRDefault="00E94A12" w:rsidP="00E74FB1">
      <w:pPr>
        <w:spacing w:after="0"/>
        <w:jc w:val="both"/>
        <w:rPr>
          <w:rFonts w:ascii="Century Gothic" w:hAnsi="Century Gothic" w:cs="Arial"/>
          <w:lang w:val="es-ES"/>
        </w:rPr>
      </w:pPr>
      <w:r w:rsidRPr="00D23C40">
        <w:rPr>
          <w:rFonts w:ascii="Century Gothic" w:hAnsi="Century Gothic" w:cs="Arial"/>
          <w:bCs/>
          <w:lang w:val="es-ES"/>
        </w:rPr>
        <w:t xml:space="preserve">- </w:t>
      </w:r>
      <w:r w:rsidR="00EA061F" w:rsidRPr="00D23C40">
        <w:rPr>
          <w:rFonts w:ascii="Century Gothic" w:hAnsi="Century Gothic" w:cs="Arial"/>
          <w:bCs/>
          <w:lang w:val="es-ES"/>
        </w:rPr>
        <w:t xml:space="preserve">Mejoramiento de los rendimientos de los profesionales de salud: </w:t>
      </w:r>
      <w:r w:rsidR="00EA061F" w:rsidRPr="00D23C40">
        <w:rPr>
          <w:rFonts w:ascii="Century Gothic" w:hAnsi="Century Gothic" w:cs="Arial"/>
          <w:lang w:val="es-ES"/>
        </w:rPr>
        <w:t xml:space="preserve">diseño e implementación de un plan de mejoramiento de la eficiencia del recurso humano, de las actividades realizadas con el mismo personal. Incluyendo la optimización de agendamientos de consultas, control estricto de horas contratadas y horas laboradas en recurso humano, control de actividades realizadas. </w:t>
      </w:r>
    </w:p>
    <w:p w14:paraId="2D71E569" w14:textId="0B82BE97" w:rsidR="00EA061F" w:rsidRPr="00D23C40" w:rsidRDefault="00E94A12" w:rsidP="00E74FB1">
      <w:pPr>
        <w:spacing w:after="0"/>
        <w:jc w:val="both"/>
        <w:rPr>
          <w:rFonts w:ascii="Century Gothic" w:hAnsi="Century Gothic" w:cs="Arial"/>
          <w:lang w:val="es-ES"/>
        </w:rPr>
      </w:pPr>
      <w:r w:rsidRPr="00D23C40">
        <w:rPr>
          <w:rFonts w:ascii="Century Gothic" w:hAnsi="Century Gothic" w:cs="Arial"/>
          <w:b/>
          <w:bCs/>
          <w:lang w:val="es-ES"/>
        </w:rPr>
        <w:t xml:space="preserve">- </w:t>
      </w:r>
      <w:r w:rsidR="00EA061F" w:rsidRPr="00D23C40">
        <w:rPr>
          <w:rFonts w:ascii="Century Gothic" w:hAnsi="Century Gothic" w:cs="Arial"/>
          <w:bCs/>
          <w:lang w:val="es-ES"/>
        </w:rPr>
        <w:t xml:space="preserve">Mejoramiento de la eficiencia del talento humano de acuerdo a la demanda de los servicios. </w:t>
      </w:r>
      <w:r w:rsidR="00EA061F" w:rsidRPr="00D23C40">
        <w:rPr>
          <w:rFonts w:ascii="Century Gothic" w:hAnsi="Century Gothic" w:cs="Arial"/>
          <w:lang w:val="es-ES"/>
        </w:rPr>
        <w:t xml:space="preserve">Mejoramiento de la eficiencia del talento humano para aumentar las actividades de promoción y prevención y morbilidad (optimización de </w:t>
      </w:r>
      <w:r w:rsidR="00EA061F" w:rsidRPr="00D23C40">
        <w:rPr>
          <w:rFonts w:ascii="Century Gothic" w:hAnsi="Century Gothic" w:cs="Arial"/>
          <w:lang w:val="es-ES"/>
        </w:rPr>
        <w:lastRenderedPageBreak/>
        <w:t xml:space="preserve">agendamiento de consultas, control estricto de horas contratadas/horas laboradas) </w:t>
      </w:r>
    </w:p>
    <w:p w14:paraId="057AAD5D" w14:textId="31D64C8C" w:rsidR="00EA061F" w:rsidRPr="00D23C40" w:rsidRDefault="00E94A12" w:rsidP="00EA061F">
      <w:pPr>
        <w:jc w:val="both"/>
        <w:rPr>
          <w:rFonts w:ascii="Century Gothic" w:hAnsi="Century Gothic" w:cs="Arial"/>
          <w:lang w:val="es-ES"/>
        </w:rPr>
      </w:pPr>
      <w:r w:rsidRPr="00D23C40">
        <w:rPr>
          <w:rFonts w:ascii="Century Gothic" w:hAnsi="Century Gothic" w:cs="Arial"/>
          <w:b/>
          <w:bCs/>
          <w:lang w:val="es-ES"/>
        </w:rPr>
        <w:t xml:space="preserve">- </w:t>
      </w:r>
      <w:r w:rsidR="00EA061F" w:rsidRPr="00D23C40">
        <w:rPr>
          <w:rFonts w:ascii="Century Gothic" w:hAnsi="Century Gothic" w:cs="Arial"/>
          <w:bCs/>
          <w:lang w:val="es-ES"/>
        </w:rPr>
        <w:t xml:space="preserve">Planificación, evaluación y seguimiento al cumplimiento del plan de compras institucional. </w:t>
      </w:r>
      <w:r w:rsidR="00EA061F" w:rsidRPr="00D23C40">
        <w:rPr>
          <w:rFonts w:ascii="Century Gothic" w:hAnsi="Century Gothic" w:cs="Arial"/>
          <w:lang w:val="es-ES"/>
        </w:rPr>
        <w:t xml:space="preserve">Estricto cumplimiento a lo planificado en el plan de compras. </w:t>
      </w:r>
    </w:p>
    <w:p w14:paraId="4E596F73" w14:textId="03A11EBC" w:rsidR="00EA061F" w:rsidRPr="00D23C40" w:rsidRDefault="00EA061F" w:rsidP="00EA061F">
      <w:pPr>
        <w:jc w:val="both"/>
        <w:rPr>
          <w:rFonts w:ascii="Century Gothic" w:hAnsi="Century Gothic" w:cs="Arial"/>
          <w:b/>
          <w:bCs/>
          <w:lang w:val="es-ES"/>
        </w:rPr>
      </w:pPr>
      <w:r w:rsidRPr="00D23C40">
        <w:rPr>
          <w:rFonts w:ascii="Century Gothic" w:hAnsi="Century Gothic" w:cs="Arial"/>
          <w:b/>
          <w:bCs/>
          <w:lang w:val="es-ES"/>
        </w:rPr>
        <w:t>S</w:t>
      </w:r>
      <w:r w:rsidR="00E94A12" w:rsidRPr="00D23C40">
        <w:rPr>
          <w:rFonts w:ascii="Century Gothic" w:hAnsi="Century Gothic" w:cs="Arial"/>
          <w:b/>
          <w:bCs/>
          <w:lang w:val="es-ES"/>
        </w:rPr>
        <w:t>aneamiento de pasivos</w:t>
      </w:r>
    </w:p>
    <w:p w14:paraId="4B65E99A" w14:textId="6B706214"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En el año 2015 el total de pasivos asciende a $8.624 millones, que si se comparan con las cifras correspondientes al año 2.011 ($10.811millones), reflejan una disminución del 20,23</w:t>
      </w:r>
      <w:r w:rsidR="004F5BDD" w:rsidRPr="00D23C40">
        <w:rPr>
          <w:rFonts w:ascii="Century Gothic" w:hAnsi="Century Gothic" w:cs="Arial"/>
          <w:lang w:val="es-ES"/>
        </w:rPr>
        <w:t xml:space="preserve"> por ciento</w:t>
      </w:r>
      <w:r w:rsidRPr="00D23C40">
        <w:rPr>
          <w:rFonts w:ascii="Century Gothic" w:hAnsi="Century Gothic" w:cs="Arial"/>
          <w:lang w:val="es-ES"/>
        </w:rPr>
        <w:t>, generada principalmente por el pago deuda pública por valor de $2.851 millones.</w:t>
      </w:r>
    </w:p>
    <w:p w14:paraId="1FBFA658" w14:textId="2061ED63"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 xml:space="preserve">A junio del año 2016, el Programa de Saneamiento Fiscal y Financiero, incluyó un saldo de pasivos por valor de $10.065 millones, los cuales se incrementaron con respecto al año 2015, debido a las dificultades de recaudo de la cartera, incidiendo directamente en el pago a proveedores. </w:t>
      </w:r>
    </w:p>
    <w:p w14:paraId="165D38F1" w14:textId="0B26432B"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En cumplimiento de lo establecido en el PSFF y para el pago de estos pasivos la Alcaldía Municipal de Pasto, transfirió el valor de $3.543 millones a la Empresa Social del Estado Pasto Salud ESE; estos recursos fueron ejecutados al 100</w:t>
      </w:r>
      <w:r w:rsidR="00AA639F" w:rsidRPr="00D23C40">
        <w:rPr>
          <w:rFonts w:ascii="Century Gothic" w:hAnsi="Century Gothic" w:cs="Arial"/>
          <w:lang w:val="es-ES"/>
        </w:rPr>
        <w:t xml:space="preserve"> por ciento</w:t>
      </w:r>
      <w:r w:rsidRPr="00D23C40">
        <w:rPr>
          <w:rFonts w:ascii="Century Gothic" w:hAnsi="Century Gothic" w:cs="Arial"/>
          <w:lang w:val="es-ES"/>
        </w:rPr>
        <w:t xml:space="preserve"> durante la vigencia 2017 y el resto de pasivos se pagó con recursos propios generados por la operación corriente de la ESE.   </w:t>
      </w:r>
    </w:p>
    <w:p w14:paraId="115E2728" w14:textId="77777777"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A junio de 2018, el salvo de este pasivo es de $2.316 millones, que básicamente corresponde a saldo de deuda pública y rendimientos financieros a favor de terceros y particularmente los generados por los recursos del Proyecto de San Vicente y se deben transferir una vez termine el proyecto, entre otros.</w:t>
      </w:r>
    </w:p>
    <w:p w14:paraId="57F1D646" w14:textId="57609643" w:rsidR="00046092" w:rsidRPr="00D23C40" w:rsidRDefault="00FE59EC" w:rsidP="00FE59EC">
      <w:pPr>
        <w:jc w:val="both"/>
        <w:rPr>
          <w:rFonts w:ascii="Century Gothic" w:hAnsi="Century Gothic"/>
          <w:lang w:val="es-ES"/>
        </w:rPr>
      </w:pPr>
      <w:r w:rsidRPr="00D23C40">
        <w:rPr>
          <w:rFonts w:ascii="Century Gothic" w:hAnsi="Century Gothic" w:cs="Arial"/>
          <w:lang w:val="es-ES"/>
        </w:rPr>
        <w:t>Teniendo en cuenta los nuevos pasivos y la afectación del total del pasivo por la aplicación de las Normas Internacionales de Información Financiera NIFF, a junio del 2018 el saldo de pasivos asciende a $16.625 millones  y se discrimina conforme se detalla en el siguiente cuadro:</w:t>
      </w:r>
    </w:p>
    <w:p w14:paraId="73B61138" w14:textId="6044C76F" w:rsidR="00046092" w:rsidRPr="00D23C40" w:rsidRDefault="00046092" w:rsidP="00E94A12">
      <w:pPr>
        <w:pStyle w:val="Epgrafe"/>
        <w:spacing w:after="0" w:line="276" w:lineRule="auto"/>
        <w:jc w:val="center"/>
        <w:rPr>
          <w:rFonts w:ascii="Century Gothic" w:hAnsi="Century Gothic" w:cs="Century Gothic"/>
          <w:b w:val="0"/>
          <w:bCs w:val="0"/>
          <w:color w:val="auto"/>
          <w:sz w:val="22"/>
          <w:szCs w:val="22"/>
          <w:lang w:val="es-ES"/>
        </w:rPr>
      </w:pPr>
      <w:bookmarkStart w:id="73" w:name="_Toc532570527"/>
      <w:r w:rsidRPr="00D23C40">
        <w:rPr>
          <w:rFonts w:ascii="Century Gothic" w:hAnsi="Century Gothic" w:cs="Century Gothic"/>
          <w:b w:val="0"/>
          <w:bCs w:val="0"/>
          <w:color w:val="auto"/>
          <w:sz w:val="22"/>
          <w:szCs w:val="22"/>
          <w:lang w:val="es-ES"/>
        </w:rPr>
        <w:t xml:space="preserve">Tabla </w:t>
      </w:r>
      <w:r w:rsidRPr="00D23C40">
        <w:rPr>
          <w:rFonts w:ascii="Century Gothic" w:hAnsi="Century Gothic" w:cs="Century Gothic"/>
          <w:b w:val="0"/>
          <w:bCs w:val="0"/>
          <w:color w:val="auto"/>
          <w:sz w:val="22"/>
          <w:szCs w:val="22"/>
          <w:lang w:val="es-ES"/>
        </w:rPr>
        <w:fldChar w:fldCharType="begin"/>
      </w:r>
      <w:r w:rsidRPr="00D23C40">
        <w:rPr>
          <w:rFonts w:ascii="Century Gothic" w:hAnsi="Century Gothic" w:cs="Century Gothic"/>
          <w:b w:val="0"/>
          <w:bCs w:val="0"/>
          <w:color w:val="auto"/>
          <w:sz w:val="22"/>
          <w:szCs w:val="22"/>
          <w:lang w:val="es-ES"/>
        </w:rPr>
        <w:instrText xml:space="preserve"> SEQ Tabla \* ARABIC </w:instrText>
      </w:r>
      <w:r w:rsidRPr="00D23C40">
        <w:rPr>
          <w:rFonts w:ascii="Century Gothic" w:hAnsi="Century Gothic" w:cs="Century Gothic"/>
          <w:b w:val="0"/>
          <w:bCs w:val="0"/>
          <w:color w:val="auto"/>
          <w:sz w:val="22"/>
          <w:szCs w:val="22"/>
          <w:lang w:val="es-ES"/>
        </w:rPr>
        <w:fldChar w:fldCharType="separate"/>
      </w:r>
      <w:r w:rsidR="00501551">
        <w:rPr>
          <w:rFonts w:ascii="Century Gothic" w:hAnsi="Century Gothic" w:cs="Century Gothic"/>
          <w:b w:val="0"/>
          <w:bCs w:val="0"/>
          <w:noProof/>
          <w:color w:val="auto"/>
          <w:sz w:val="22"/>
          <w:szCs w:val="22"/>
          <w:lang w:val="es-ES"/>
        </w:rPr>
        <w:t>36</w:t>
      </w:r>
      <w:r w:rsidRPr="00D23C40">
        <w:rPr>
          <w:rFonts w:ascii="Century Gothic" w:hAnsi="Century Gothic" w:cs="Century Gothic"/>
          <w:b w:val="0"/>
          <w:bCs w:val="0"/>
          <w:color w:val="auto"/>
          <w:sz w:val="22"/>
          <w:szCs w:val="22"/>
          <w:lang w:val="es-ES"/>
        </w:rPr>
        <w:fldChar w:fldCharType="end"/>
      </w:r>
      <w:r w:rsidRPr="00D23C40">
        <w:rPr>
          <w:rFonts w:ascii="Century Gothic" w:hAnsi="Century Gothic" w:cs="Century Gothic"/>
          <w:b w:val="0"/>
          <w:bCs w:val="0"/>
          <w:color w:val="auto"/>
          <w:sz w:val="22"/>
          <w:szCs w:val="22"/>
          <w:lang w:val="es-ES"/>
        </w:rPr>
        <w:t xml:space="preserve">. </w:t>
      </w:r>
      <w:r w:rsidR="00E94A12" w:rsidRPr="00D23C40">
        <w:rPr>
          <w:rFonts w:ascii="Century Gothic" w:hAnsi="Century Gothic" w:cs="Century Gothic"/>
          <w:b w:val="0"/>
          <w:bCs w:val="0"/>
          <w:color w:val="auto"/>
          <w:sz w:val="22"/>
          <w:szCs w:val="22"/>
          <w:lang w:val="es-ES"/>
        </w:rPr>
        <w:t xml:space="preserve">Saldo de pasivos </w:t>
      </w:r>
      <w:r w:rsidR="00D23C40">
        <w:rPr>
          <w:rFonts w:ascii="Century Gothic" w:hAnsi="Century Gothic" w:cs="Century Gothic"/>
          <w:b w:val="0"/>
          <w:bCs w:val="0"/>
          <w:color w:val="auto"/>
          <w:sz w:val="22"/>
          <w:szCs w:val="22"/>
          <w:lang w:val="es-ES"/>
        </w:rPr>
        <w:t>(millones de pesos)</w:t>
      </w:r>
      <w:bookmarkEnd w:id="73"/>
    </w:p>
    <w:tbl>
      <w:tblPr>
        <w:tblStyle w:val="Tabladecuadrcula5oscura-nfasis11"/>
        <w:tblW w:w="8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1870"/>
        <w:gridCol w:w="1842"/>
        <w:gridCol w:w="1087"/>
      </w:tblGrid>
      <w:tr w:rsidR="00E94A12" w:rsidRPr="00D23C40" w14:paraId="219D9760" w14:textId="77777777" w:rsidTr="00BC682E">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top w:val="none" w:sz="0" w:space="0" w:color="auto"/>
              <w:left w:val="none" w:sz="0" w:space="0" w:color="auto"/>
              <w:right w:val="none" w:sz="0" w:space="0" w:color="auto"/>
            </w:tcBorders>
            <w:shd w:val="clear" w:color="auto" w:fill="C2D69B" w:themeFill="accent3" w:themeFillTint="99"/>
            <w:vAlign w:val="center"/>
            <w:hideMark/>
          </w:tcPr>
          <w:p w14:paraId="123C1E67" w14:textId="77777777" w:rsidR="00E94A12" w:rsidRPr="00D23C40" w:rsidRDefault="00E94A12" w:rsidP="00E94A12">
            <w:pPr>
              <w:jc w:val="center"/>
              <w:rPr>
                <w:rFonts w:ascii="Century Gothic" w:eastAsia="Times New Roman" w:hAnsi="Century Gothic" w:cs="Times New Roman"/>
                <w:b w:val="0"/>
                <w:bCs w:val="0"/>
                <w:color w:val="000000"/>
                <w:sz w:val="20"/>
                <w:szCs w:val="20"/>
                <w:lang w:val="es-ES"/>
              </w:rPr>
            </w:pPr>
            <w:r w:rsidRPr="00D23C40">
              <w:rPr>
                <w:rFonts w:ascii="Century Gothic" w:eastAsia="Times New Roman" w:hAnsi="Century Gothic" w:cs="Times New Roman"/>
                <w:color w:val="000000"/>
                <w:sz w:val="20"/>
                <w:szCs w:val="20"/>
                <w:lang w:val="es-ES"/>
              </w:rPr>
              <w:t>Concepto</w:t>
            </w:r>
          </w:p>
        </w:tc>
        <w:tc>
          <w:tcPr>
            <w:tcW w:w="1870" w:type="dxa"/>
            <w:tcBorders>
              <w:top w:val="none" w:sz="0" w:space="0" w:color="auto"/>
              <w:left w:val="none" w:sz="0" w:space="0" w:color="auto"/>
              <w:right w:val="none" w:sz="0" w:space="0" w:color="auto"/>
            </w:tcBorders>
            <w:shd w:val="clear" w:color="auto" w:fill="C2D69B" w:themeFill="accent3" w:themeFillTint="99"/>
            <w:vAlign w:val="center"/>
            <w:hideMark/>
          </w:tcPr>
          <w:p w14:paraId="27670B98" w14:textId="2697211B" w:rsidR="00E94A12" w:rsidRPr="00D23C40" w:rsidRDefault="00FE59EC" w:rsidP="00E94A12">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000000"/>
                <w:sz w:val="20"/>
                <w:szCs w:val="20"/>
                <w:lang w:val="es-ES"/>
              </w:rPr>
            </w:pPr>
            <w:r w:rsidRPr="00D23C40">
              <w:rPr>
                <w:rFonts w:ascii="Century Gothic" w:eastAsia="Times New Roman" w:hAnsi="Century Gothic" w:cs="Times New Roman"/>
                <w:color w:val="000000"/>
                <w:sz w:val="20"/>
                <w:szCs w:val="20"/>
                <w:lang w:val="es-ES"/>
              </w:rPr>
              <w:t>Saldo m</w:t>
            </w:r>
            <w:r w:rsidR="00E94A12" w:rsidRPr="00D23C40">
              <w:rPr>
                <w:rFonts w:ascii="Century Gothic" w:eastAsia="Times New Roman" w:hAnsi="Century Gothic" w:cs="Times New Roman"/>
                <w:color w:val="000000"/>
                <w:sz w:val="20"/>
                <w:szCs w:val="20"/>
                <w:lang w:val="es-ES"/>
              </w:rPr>
              <w:t>ayor 360</w:t>
            </w:r>
          </w:p>
        </w:tc>
        <w:tc>
          <w:tcPr>
            <w:tcW w:w="1842" w:type="dxa"/>
            <w:tcBorders>
              <w:top w:val="none" w:sz="0" w:space="0" w:color="auto"/>
              <w:left w:val="none" w:sz="0" w:space="0" w:color="auto"/>
              <w:right w:val="none" w:sz="0" w:space="0" w:color="auto"/>
            </w:tcBorders>
            <w:shd w:val="clear" w:color="auto" w:fill="C2D69B" w:themeFill="accent3" w:themeFillTint="99"/>
            <w:vAlign w:val="center"/>
            <w:hideMark/>
          </w:tcPr>
          <w:p w14:paraId="37348635" w14:textId="77777777" w:rsidR="00E94A12" w:rsidRPr="00D23C40" w:rsidRDefault="00E94A12" w:rsidP="00E94A12">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000000"/>
                <w:sz w:val="20"/>
                <w:szCs w:val="20"/>
                <w:lang w:val="es-ES"/>
              </w:rPr>
            </w:pPr>
            <w:r w:rsidRPr="00D23C40">
              <w:rPr>
                <w:rFonts w:ascii="Century Gothic" w:eastAsia="Times New Roman" w:hAnsi="Century Gothic" w:cs="Times New Roman"/>
                <w:color w:val="000000"/>
                <w:sz w:val="20"/>
                <w:szCs w:val="20"/>
                <w:lang w:val="es-ES"/>
              </w:rPr>
              <w:t>Saldo menor 360</w:t>
            </w:r>
          </w:p>
        </w:tc>
        <w:tc>
          <w:tcPr>
            <w:tcW w:w="1087" w:type="dxa"/>
            <w:tcBorders>
              <w:top w:val="none" w:sz="0" w:space="0" w:color="auto"/>
              <w:left w:val="none" w:sz="0" w:space="0" w:color="auto"/>
              <w:right w:val="none" w:sz="0" w:space="0" w:color="auto"/>
            </w:tcBorders>
            <w:shd w:val="clear" w:color="auto" w:fill="C2D69B" w:themeFill="accent3" w:themeFillTint="99"/>
            <w:vAlign w:val="center"/>
            <w:hideMark/>
          </w:tcPr>
          <w:p w14:paraId="750D7DBC" w14:textId="77777777" w:rsidR="00E94A12" w:rsidRPr="00D23C40" w:rsidRDefault="00E94A12" w:rsidP="00E94A12">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000000"/>
                <w:sz w:val="20"/>
                <w:szCs w:val="20"/>
                <w:lang w:val="es-ES"/>
              </w:rPr>
            </w:pPr>
            <w:r w:rsidRPr="00D23C40">
              <w:rPr>
                <w:rFonts w:ascii="Century Gothic" w:eastAsia="Times New Roman" w:hAnsi="Century Gothic" w:cs="Times New Roman"/>
                <w:color w:val="000000"/>
                <w:sz w:val="20"/>
                <w:szCs w:val="20"/>
                <w:lang w:val="es-ES"/>
              </w:rPr>
              <w:t>Total</w:t>
            </w:r>
          </w:p>
        </w:tc>
      </w:tr>
      <w:tr w:rsidR="00E94A12" w:rsidRPr="00D23C40" w14:paraId="6505E52A" w14:textId="77777777" w:rsidTr="00BC68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left w:val="none" w:sz="0" w:space="0" w:color="auto"/>
            </w:tcBorders>
            <w:shd w:val="clear" w:color="auto" w:fill="C2D69B" w:themeFill="accent3" w:themeFillTint="99"/>
            <w:hideMark/>
          </w:tcPr>
          <w:p w14:paraId="35C4FDF1" w14:textId="77777777" w:rsidR="00E94A12" w:rsidRPr="00D23C40" w:rsidRDefault="00E94A12" w:rsidP="00E94A12">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23 préstamos por pagar</w:t>
            </w:r>
          </w:p>
        </w:tc>
        <w:tc>
          <w:tcPr>
            <w:tcW w:w="1870" w:type="dxa"/>
            <w:shd w:val="clear" w:color="auto" w:fill="auto"/>
            <w:vAlign w:val="center"/>
            <w:hideMark/>
          </w:tcPr>
          <w:p w14:paraId="614EC5A4" w14:textId="76EF4FEA" w:rsidR="00E94A12" w:rsidRPr="00D23C40" w:rsidRDefault="00E94A12"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654</w:t>
            </w:r>
          </w:p>
        </w:tc>
        <w:tc>
          <w:tcPr>
            <w:tcW w:w="1842" w:type="dxa"/>
            <w:shd w:val="clear" w:color="auto" w:fill="auto"/>
            <w:vAlign w:val="center"/>
            <w:hideMark/>
          </w:tcPr>
          <w:p w14:paraId="2600FC2C" w14:textId="6E4A15E6" w:rsidR="00E94A12" w:rsidRPr="00D23C40" w:rsidRDefault="00E94A12"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254</w:t>
            </w:r>
          </w:p>
        </w:tc>
        <w:tc>
          <w:tcPr>
            <w:tcW w:w="1087" w:type="dxa"/>
            <w:shd w:val="clear" w:color="auto" w:fill="auto"/>
            <w:vAlign w:val="center"/>
            <w:hideMark/>
          </w:tcPr>
          <w:p w14:paraId="0ED6E46D" w14:textId="56EAB21A" w:rsidR="00E94A12" w:rsidRPr="00D23C40" w:rsidRDefault="00D23C40"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909</w:t>
            </w:r>
          </w:p>
        </w:tc>
      </w:tr>
      <w:tr w:rsidR="00E94A12" w:rsidRPr="00D23C40" w14:paraId="5331CD7D" w14:textId="77777777" w:rsidTr="00BC682E">
        <w:trPr>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left w:val="none" w:sz="0" w:space="0" w:color="auto"/>
            </w:tcBorders>
            <w:shd w:val="clear" w:color="auto" w:fill="C2D69B" w:themeFill="accent3" w:themeFillTint="99"/>
            <w:hideMark/>
          </w:tcPr>
          <w:p w14:paraId="2E35659C" w14:textId="77777777" w:rsidR="00E94A12" w:rsidRPr="00D23C40" w:rsidRDefault="00E94A12" w:rsidP="00E94A12">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24 cuentas por pagar</w:t>
            </w:r>
          </w:p>
        </w:tc>
        <w:tc>
          <w:tcPr>
            <w:tcW w:w="1870" w:type="dxa"/>
            <w:shd w:val="clear" w:color="auto" w:fill="auto"/>
            <w:vAlign w:val="center"/>
            <w:hideMark/>
          </w:tcPr>
          <w:p w14:paraId="5187D3FC" w14:textId="77777777" w:rsidR="00E94A12" w:rsidRPr="00D23C40" w:rsidRDefault="00E94A12" w:rsidP="00E94A12">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0</w:t>
            </w:r>
          </w:p>
        </w:tc>
        <w:tc>
          <w:tcPr>
            <w:tcW w:w="1842" w:type="dxa"/>
            <w:shd w:val="clear" w:color="auto" w:fill="auto"/>
            <w:vAlign w:val="center"/>
            <w:hideMark/>
          </w:tcPr>
          <w:p w14:paraId="62DC3ADE" w14:textId="083C79EB"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12.384</w:t>
            </w:r>
          </w:p>
        </w:tc>
        <w:tc>
          <w:tcPr>
            <w:tcW w:w="1087" w:type="dxa"/>
            <w:shd w:val="clear" w:color="auto" w:fill="auto"/>
            <w:vAlign w:val="center"/>
            <w:hideMark/>
          </w:tcPr>
          <w:p w14:paraId="35CB4C10" w14:textId="20A807C3"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12.384</w:t>
            </w:r>
          </w:p>
        </w:tc>
      </w:tr>
      <w:tr w:rsidR="00E94A12" w:rsidRPr="00D23C40" w14:paraId="3ED58D4B" w14:textId="77777777" w:rsidTr="00BC68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left w:val="none" w:sz="0" w:space="0" w:color="auto"/>
            </w:tcBorders>
            <w:shd w:val="clear" w:color="auto" w:fill="C2D69B" w:themeFill="accent3" w:themeFillTint="99"/>
            <w:hideMark/>
          </w:tcPr>
          <w:p w14:paraId="38A51FC8" w14:textId="77777777" w:rsidR="00E94A12" w:rsidRPr="00D23C40" w:rsidRDefault="00E94A12" w:rsidP="00E94A12">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25 beneficios a los empleados</w:t>
            </w:r>
          </w:p>
        </w:tc>
        <w:tc>
          <w:tcPr>
            <w:tcW w:w="1870" w:type="dxa"/>
            <w:shd w:val="clear" w:color="auto" w:fill="auto"/>
            <w:vAlign w:val="center"/>
            <w:hideMark/>
          </w:tcPr>
          <w:p w14:paraId="31C120A9" w14:textId="55465F6E" w:rsidR="00E94A12" w:rsidRPr="00D23C40" w:rsidRDefault="00D23C40"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100</w:t>
            </w:r>
          </w:p>
        </w:tc>
        <w:tc>
          <w:tcPr>
            <w:tcW w:w="1842" w:type="dxa"/>
            <w:shd w:val="clear" w:color="auto" w:fill="auto"/>
            <w:vAlign w:val="center"/>
            <w:hideMark/>
          </w:tcPr>
          <w:p w14:paraId="590EC78A" w14:textId="2AFDEFB8" w:rsidR="00E94A12" w:rsidRPr="00D23C40" w:rsidRDefault="00D23C40"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836</w:t>
            </w:r>
          </w:p>
        </w:tc>
        <w:tc>
          <w:tcPr>
            <w:tcW w:w="1087" w:type="dxa"/>
            <w:shd w:val="clear" w:color="auto" w:fill="auto"/>
            <w:vAlign w:val="center"/>
            <w:hideMark/>
          </w:tcPr>
          <w:p w14:paraId="2709D24D" w14:textId="38D6A5CE" w:rsidR="00E94A12" w:rsidRPr="00D23C40" w:rsidRDefault="00D23C40"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937</w:t>
            </w:r>
          </w:p>
        </w:tc>
      </w:tr>
      <w:tr w:rsidR="00E94A12" w:rsidRPr="00D23C40" w14:paraId="2AD53140" w14:textId="77777777" w:rsidTr="00BC682E">
        <w:trPr>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left w:val="none" w:sz="0" w:space="0" w:color="auto"/>
            </w:tcBorders>
            <w:shd w:val="clear" w:color="auto" w:fill="C2D69B" w:themeFill="accent3" w:themeFillTint="99"/>
            <w:hideMark/>
          </w:tcPr>
          <w:p w14:paraId="219A4E5D" w14:textId="77777777" w:rsidR="00E94A12" w:rsidRPr="00D23C40" w:rsidRDefault="00E94A12" w:rsidP="00E94A12">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27 provisiones</w:t>
            </w:r>
          </w:p>
        </w:tc>
        <w:tc>
          <w:tcPr>
            <w:tcW w:w="1870" w:type="dxa"/>
            <w:shd w:val="clear" w:color="auto" w:fill="auto"/>
            <w:vAlign w:val="center"/>
            <w:hideMark/>
          </w:tcPr>
          <w:p w14:paraId="37BD10A4" w14:textId="300BB173"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1.346</w:t>
            </w:r>
          </w:p>
        </w:tc>
        <w:tc>
          <w:tcPr>
            <w:tcW w:w="1842" w:type="dxa"/>
            <w:shd w:val="clear" w:color="auto" w:fill="auto"/>
            <w:vAlign w:val="center"/>
            <w:hideMark/>
          </w:tcPr>
          <w:p w14:paraId="6B3428A9" w14:textId="32E98FCD"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936</w:t>
            </w:r>
          </w:p>
        </w:tc>
        <w:tc>
          <w:tcPr>
            <w:tcW w:w="1087" w:type="dxa"/>
            <w:shd w:val="clear" w:color="auto" w:fill="auto"/>
            <w:vAlign w:val="center"/>
            <w:hideMark/>
          </w:tcPr>
          <w:p w14:paraId="4B08C75E" w14:textId="234D26E7"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2.283</w:t>
            </w:r>
          </w:p>
        </w:tc>
      </w:tr>
      <w:tr w:rsidR="00E94A12" w:rsidRPr="00D23C40" w14:paraId="2D1D6364" w14:textId="77777777" w:rsidTr="00BC68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left w:val="none" w:sz="0" w:space="0" w:color="auto"/>
            </w:tcBorders>
            <w:shd w:val="clear" w:color="auto" w:fill="C2D69B" w:themeFill="accent3" w:themeFillTint="99"/>
            <w:hideMark/>
          </w:tcPr>
          <w:p w14:paraId="4FCF1E65" w14:textId="77777777" w:rsidR="00E94A12" w:rsidRPr="00D23C40" w:rsidRDefault="00E94A12" w:rsidP="00E94A12">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29 otros Pasivos</w:t>
            </w:r>
          </w:p>
        </w:tc>
        <w:tc>
          <w:tcPr>
            <w:tcW w:w="1870" w:type="dxa"/>
            <w:shd w:val="clear" w:color="auto" w:fill="auto"/>
            <w:vAlign w:val="center"/>
            <w:hideMark/>
          </w:tcPr>
          <w:p w14:paraId="57CDE0BB" w14:textId="77777777" w:rsidR="00E94A12" w:rsidRPr="00D23C40" w:rsidRDefault="00E94A12" w:rsidP="00E94A12">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0</w:t>
            </w:r>
          </w:p>
        </w:tc>
        <w:tc>
          <w:tcPr>
            <w:tcW w:w="1842" w:type="dxa"/>
            <w:shd w:val="clear" w:color="auto" w:fill="auto"/>
            <w:vAlign w:val="center"/>
            <w:hideMark/>
          </w:tcPr>
          <w:p w14:paraId="1033502F" w14:textId="58F51EEE" w:rsidR="00E94A12" w:rsidRPr="00D23C40" w:rsidRDefault="00D23C40"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109</w:t>
            </w:r>
          </w:p>
        </w:tc>
        <w:tc>
          <w:tcPr>
            <w:tcW w:w="1087" w:type="dxa"/>
            <w:shd w:val="clear" w:color="auto" w:fill="auto"/>
            <w:vAlign w:val="center"/>
            <w:hideMark/>
          </w:tcPr>
          <w:p w14:paraId="1B97E448" w14:textId="2D2476FC" w:rsidR="00E94A12" w:rsidRPr="00D23C40" w:rsidRDefault="00D23C40" w:rsidP="00D23C40">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109</w:t>
            </w:r>
          </w:p>
        </w:tc>
      </w:tr>
      <w:tr w:rsidR="00E94A12" w:rsidRPr="00D23C40" w14:paraId="4E3B70CF" w14:textId="77777777" w:rsidTr="00BC682E">
        <w:trPr>
          <w:trHeight w:val="63"/>
          <w:jc w:val="center"/>
        </w:trPr>
        <w:tc>
          <w:tcPr>
            <w:cnfStyle w:val="001000000000" w:firstRow="0" w:lastRow="0" w:firstColumn="1" w:lastColumn="0" w:oddVBand="0" w:evenVBand="0" w:oddHBand="0" w:evenHBand="0" w:firstRowFirstColumn="0" w:firstRowLastColumn="0" w:lastRowFirstColumn="0" w:lastRowLastColumn="0"/>
            <w:tcW w:w="3279" w:type="dxa"/>
            <w:tcBorders>
              <w:left w:val="none" w:sz="0" w:space="0" w:color="auto"/>
              <w:bottom w:val="none" w:sz="0" w:space="0" w:color="auto"/>
            </w:tcBorders>
            <w:shd w:val="clear" w:color="auto" w:fill="C2D69B" w:themeFill="accent3" w:themeFillTint="99"/>
            <w:hideMark/>
          </w:tcPr>
          <w:p w14:paraId="5B7AC6DF" w14:textId="77777777" w:rsidR="00E94A12" w:rsidRPr="00D23C40" w:rsidRDefault="00E94A12" w:rsidP="00E94A12">
            <w:pPr>
              <w:rPr>
                <w:rFonts w:ascii="Century Gothic" w:eastAsia="Times New Roman" w:hAnsi="Century Gothic" w:cs="Times New Roman"/>
                <w:color w:val="000000"/>
                <w:sz w:val="20"/>
                <w:szCs w:val="20"/>
                <w:lang w:val="es-ES"/>
              </w:rPr>
            </w:pPr>
            <w:r w:rsidRPr="00D23C40">
              <w:rPr>
                <w:rFonts w:ascii="Century Gothic" w:eastAsia="Times New Roman" w:hAnsi="Century Gothic" w:cs="Times New Roman"/>
                <w:color w:val="000000"/>
                <w:sz w:val="20"/>
                <w:szCs w:val="20"/>
                <w:lang w:val="es-ES"/>
              </w:rPr>
              <w:t>2 total Pasivos</w:t>
            </w:r>
          </w:p>
        </w:tc>
        <w:tc>
          <w:tcPr>
            <w:tcW w:w="1870" w:type="dxa"/>
            <w:shd w:val="clear" w:color="auto" w:fill="auto"/>
            <w:vAlign w:val="center"/>
            <w:hideMark/>
          </w:tcPr>
          <w:p w14:paraId="102C4729" w14:textId="465A8BD4"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2.102</w:t>
            </w:r>
          </w:p>
        </w:tc>
        <w:tc>
          <w:tcPr>
            <w:tcW w:w="1842" w:type="dxa"/>
            <w:shd w:val="clear" w:color="auto" w:fill="auto"/>
            <w:vAlign w:val="center"/>
            <w:hideMark/>
          </w:tcPr>
          <w:p w14:paraId="0DB2A3D3" w14:textId="507D54AE"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14.522</w:t>
            </w:r>
          </w:p>
        </w:tc>
        <w:tc>
          <w:tcPr>
            <w:tcW w:w="1087" w:type="dxa"/>
            <w:shd w:val="clear" w:color="auto" w:fill="auto"/>
            <w:vAlign w:val="center"/>
            <w:hideMark/>
          </w:tcPr>
          <w:p w14:paraId="19438469" w14:textId="16BAF42A" w:rsidR="00E94A12" w:rsidRPr="00D23C40" w:rsidRDefault="00D23C40" w:rsidP="00D23C40">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s-ES"/>
              </w:rPr>
            </w:pPr>
            <w:r>
              <w:rPr>
                <w:rFonts w:ascii="Century Gothic" w:eastAsia="Times New Roman" w:hAnsi="Century Gothic" w:cs="Times New Roman"/>
                <w:color w:val="000000"/>
                <w:sz w:val="20"/>
                <w:szCs w:val="20"/>
                <w:lang w:val="es-ES"/>
              </w:rPr>
              <w:t>16.625</w:t>
            </w:r>
          </w:p>
        </w:tc>
      </w:tr>
    </w:tbl>
    <w:p w14:paraId="121FDAF5" w14:textId="0B48AA6B" w:rsidR="00046092" w:rsidRPr="00D23C40" w:rsidRDefault="00046092" w:rsidP="00046092">
      <w:pPr>
        <w:spacing w:after="240"/>
        <w:jc w:val="center"/>
        <w:rPr>
          <w:rFonts w:ascii="Century Gothic" w:hAnsi="Century Gothic"/>
          <w:sz w:val="20"/>
          <w:szCs w:val="20"/>
          <w:lang w:val="es-ES"/>
        </w:rPr>
      </w:pPr>
      <w:r w:rsidRPr="00D23C40">
        <w:rPr>
          <w:rFonts w:ascii="Century Gothic" w:hAnsi="Century Gothic"/>
          <w:sz w:val="20"/>
          <w:szCs w:val="20"/>
          <w:lang w:val="es-ES"/>
        </w:rPr>
        <w:t xml:space="preserve">Fuente: Empresa Social </w:t>
      </w:r>
      <w:r w:rsidR="00E94A12" w:rsidRPr="00D23C40">
        <w:rPr>
          <w:rFonts w:ascii="Century Gothic" w:hAnsi="Century Gothic"/>
          <w:sz w:val="20"/>
          <w:szCs w:val="20"/>
          <w:lang w:val="es-ES"/>
        </w:rPr>
        <w:t>del Estado ESE Pasto Salud, 2018</w:t>
      </w:r>
      <w:r w:rsidRPr="00D23C40">
        <w:rPr>
          <w:rFonts w:ascii="Century Gothic" w:hAnsi="Century Gothic"/>
          <w:sz w:val="20"/>
          <w:szCs w:val="20"/>
          <w:lang w:val="es-ES"/>
        </w:rPr>
        <w:t xml:space="preserve"> </w:t>
      </w:r>
    </w:p>
    <w:p w14:paraId="782A2EF7" w14:textId="2220D2D4"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lastRenderedPageBreak/>
        <w:t xml:space="preserve">Del total de </w:t>
      </w:r>
      <w:r w:rsidR="00D23C40" w:rsidRPr="00D23C40">
        <w:rPr>
          <w:rFonts w:ascii="Century Gothic" w:hAnsi="Century Gothic" w:cs="Arial"/>
          <w:lang w:val="es-ES"/>
        </w:rPr>
        <w:t>pasivos</w:t>
      </w:r>
      <w:r w:rsidRPr="00D23C40">
        <w:rPr>
          <w:rFonts w:ascii="Century Gothic" w:hAnsi="Century Gothic" w:cs="Arial"/>
          <w:lang w:val="es-ES"/>
        </w:rPr>
        <w:t>, $12.384 millones son cuentas por pagar y en él se registra el valor de $7.211millones en el concepto de subvenciones y corresponde a los recursos asignados para la construcción del proyecto de San Vicente, los cuales se encuentran financiados al 100</w:t>
      </w:r>
      <w:r w:rsidR="004F5BDD" w:rsidRPr="00D23C40">
        <w:rPr>
          <w:rFonts w:ascii="Century Gothic" w:hAnsi="Century Gothic" w:cs="Arial"/>
          <w:lang w:val="es-ES"/>
        </w:rPr>
        <w:t xml:space="preserve"> por ciento</w:t>
      </w:r>
      <w:r w:rsidRPr="00D23C40">
        <w:rPr>
          <w:rFonts w:ascii="Century Gothic" w:hAnsi="Century Gothic" w:cs="Arial"/>
          <w:lang w:val="es-ES"/>
        </w:rPr>
        <w:t xml:space="preserve"> y esta cuenta será reclasificada a ingresos por subvenciones una vez se ejecute el proyecto hasta ese valor.</w:t>
      </w:r>
    </w:p>
    <w:p w14:paraId="0558A3E8" w14:textId="35697ADF" w:rsidR="00FE59EC" w:rsidRPr="00D23C40" w:rsidRDefault="00FE59EC" w:rsidP="00FE59EC">
      <w:pPr>
        <w:jc w:val="both"/>
        <w:rPr>
          <w:rFonts w:ascii="Century Gothic" w:hAnsi="Century Gothic" w:cs="Arial"/>
          <w:lang w:val="es-ES"/>
        </w:rPr>
      </w:pPr>
      <w:r w:rsidRPr="00D23C40">
        <w:rPr>
          <w:rFonts w:ascii="Century Gothic" w:hAnsi="Century Gothic" w:cs="Arial"/>
          <w:lang w:val="es-ES"/>
        </w:rPr>
        <w:t>El concepto de b</w:t>
      </w:r>
      <w:r w:rsidR="00535B4E" w:rsidRPr="00D23C40">
        <w:rPr>
          <w:rFonts w:ascii="Century Gothic" w:hAnsi="Century Gothic" w:cs="Arial"/>
          <w:lang w:val="es-ES"/>
        </w:rPr>
        <w:t xml:space="preserve">eneficios a empleados de largo </w:t>
      </w:r>
      <w:r w:rsidRPr="00D23C40">
        <w:rPr>
          <w:rFonts w:ascii="Century Gothic" w:hAnsi="Century Gothic" w:cs="Arial"/>
          <w:lang w:val="es-ES"/>
        </w:rPr>
        <w:t>plazo que corresponde a las cesantías retroactivas está financiado con los recursos depositados en un fondo de pensiones y cesantías.  Los beneficios a empleados a corto plazo se pagan durante el año en la operación normal de la empresa.</w:t>
      </w:r>
    </w:p>
    <w:p w14:paraId="4E88B38C" w14:textId="3494BD98" w:rsidR="00E94A12" w:rsidRPr="00D23C40" w:rsidRDefault="00FE59EC" w:rsidP="00FE59EC">
      <w:pPr>
        <w:jc w:val="both"/>
        <w:rPr>
          <w:rFonts w:ascii="Century Gothic" w:hAnsi="Century Gothic" w:cs="Arial"/>
          <w:lang w:val="es-ES"/>
        </w:rPr>
      </w:pPr>
      <w:r w:rsidRPr="00D23C40">
        <w:rPr>
          <w:rFonts w:ascii="Century Gothic" w:hAnsi="Century Gothic" w:cs="Arial"/>
          <w:lang w:val="es-ES"/>
        </w:rPr>
        <w:t>En Provisiones se registran los pasivos contingentes estimados, de acuerdo a la evaluación del riesgo de las demandas en contra de Pasto Salud, realizada por la Oficina Jurídica de la Entidad y el equipo de abogados externos, que a junio de 2018 asciende a $2.283 millones.</w:t>
      </w:r>
    </w:p>
    <w:p w14:paraId="19AEC63D" w14:textId="647FCB01" w:rsidR="00757BB1" w:rsidRPr="00011B8B" w:rsidRDefault="00896530" w:rsidP="00676AFD">
      <w:pPr>
        <w:pStyle w:val="Ttulo1"/>
        <w:rPr>
          <w:lang w:val="es-ES"/>
        </w:rPr>
      </w:pPr>
      <w:bookmarkStart w:id="74" w:name="_Toc532565936"/>
      <w:r w:rsidRPr="00011B8B">
        <w:rPr>
          <w:lang w:val="es-ES"/>
        </w:rPr>
        <w:t xml:space="preserve">Plan </w:t>
      </w:r>
      <w:r w:rsidR="00F340DD" w:rsidRPr="00011B8B">
        <w:rPr>
          <w:lang w:val="es-ES"/>
        </w:rPr>
        <w:t xml:space="preserve">financiero </w:t>
      </w:r>
      <w:r w:rsidR="00757BB1" w:rsidRPr="00011B8B">
        <w:rPr>
          <w:lang w:val="es-ES"/>
        </w:rPr>
        <w:t>201</w:t>
      </w:r>
      <w:r w:rsidR="00384D09" w:rsidRPr="00011B8B">
        <w:rPr>
          <w:lang w:val="es-ES"/>
        </w:rPr>
        <w:t>9</w:t>
      </w:r>
      <w:bookmarkEnd w:id="74"/>
    </w:p>
    <w:p w14:paraId="60F7C123" w14:textId="6F68FCF3" w:rsidR="00836805" w:rsidRPr="00011B8B" w:rsidRDefault="00DA16BC" w:rsidP="00DA16BC">
      <w:pPr>
        <w:jc w:val="both"/>
        <w:rPr>
          <w:rFonts w:ascii="Century Gothic" w:hAnsi="Century Gothic"/>
          <w:lang w:val="es-ES"/>
        </w:rPr>
      </w:pPr>
      <w:r w:rsidRPr="00011B8B">
        <w:rPr>
          <w:rFonts w:ascii="Century Gothic" w:hAnsi="Century Gothic"/>
          <w:lang w:val="es-ES"/>
        </w:rPr>
        <w:t xml:space="preserve">Es </w:t>
      </w:r>
      <w:r w:rsidR="00011B8B">
        <w:rPr>
          <w:rFonts w:ascii="Century Gothic" w:hAnsi="Century Gothic"/>
          <w:lang w:val="es-ES"/>
        </w:rPr>
        <w:t xml:space="preserve">el </w:t>
      </w:r>
      <w:r w:rsidRPr="00011B8B">
        <w:rPr>
          <w:rFonts w:ascii="Century Gothic" w:hAnsi="Century Gothic"/>
          <w:lang w:val="es-ES"/>
        </w:rPr>
        <w:t>instrumento de planificación y gestión financiera con base en operaciones efectivas que contempla, ingresos, gastos, déficit y su financiación, esta herramienta permite garantizar la sostenibilidad fiscal.</w:t>
      </w:r>
    </w:p>
    <w:p w14:paraId="1BB957A6" w14:textId="77777777" w:rsidR="00C56DE6" w:rsidRPr="00011B8B" w:rsidRDefault="00C56DE6" w:rsidP="009931F5">
      <w:pPr>
        <w:pStyle w:val="Ttulo2"/>
        <w:rPr>
          <w:lang w:val="es-ES"/>
        </w:rPr>
      </w:pPr>
      <w:bookmarkStart w:id="75" w:name="_Toc532565937"/>
      <w:r w:rsidRPr="00011B8B">
        <w:rPr>
          <w:lang w:val="es-ES"/>
        </w:rPr>
        <w:t>Ingresos</w:t>
      </w:r>
      <w:bookmarkEnd w:id="75"/>
    </w:p>
    <w:p w14:paraId="65E783FC" w14:textId="4225FF19" w:rsidR="00384866" w:rsidRPr="00011B8B" w:rsidRDefault="00384866" w:rsidP="00384866">
      <w:pPr>
        <w:jc w:val="both"/>
        <w:rPr>
          <w:rFonts w:ascii="Century Gothic" w:hAnsi="Century Gothic"/>
          <w:lang w:val="es-ES"/>
        </w:rPr>
      </w:pPr>
      <w:r w:rsidRPr="00011B8B">
        <w:rPr>
          <w:rFonts w:ascii="Century Gothic" w:hAnsi="Century Gothic"/>
          <w:lang w:val="es-ES"/>
        </w:rPr>
        <w:t>Para la vigencia 2019 se afora</w:t>
      </w:r>
      <w:r w:rsidR="00011B8B" w:rsidRPr="00011B8B">
        <w:rPr>
          <w:rFonts w:ascii="Century Gothic" w:hAnsi="Century Gothic"/>
          <w:lang w:val="es-ES"/>
        </w:rPr>
        <w:t xml:space="preserve">ron </w:t>
      </w:r>
      <w:r w:rsidRPr="00011B8B">
        <w:rPr>
          <w:rFonts w:ascii="Century Gothic" w:hAnsi="Century Gothic"/>
          <w:lang w:val="es-ES"/>
        </w:rPr>
        <w:t>ingresos por $</w:t>
      </w:r>
      <w:r w:rsidR="00011B8B" w:rsidRPr="00011B8B">
        <w:rPr>
          <w:rFonts w:ascii="Century Gothic" w:eastAsia="Times New Roman" w:hAnsi="Century Gothic" w:cs="Calibri"/>
          <w:color w:val="000000"/>
        </w:rPr>
        <w:t>793.</w:t>
      </w:r>
      <w:r w:rsidRPr="00011B8B">
        <w:rPr>
          <w:rFonts w:ascii="Century Gothic" w:eastAsia="Times New Roman" w:hAnsi="Century Gothic" w:cs="Calibri"/>
          <w:color w:val="000000"/>
        </w:rPr>
        <w:t xml:space="preserve">138 </w:t>
      </w:r>
      <w:r w:rsidRPr="00011B8B">
        <w:rPr>
          <w:rFonts w:ascii="Century Gothic" w:hAnsi="Century Gothic"/>
          <w:lang w:val="es-ES"/>
        </w:rPr>
        <w:t xml:space="preserve">millones con un incremento frente al 2018 del 9 por ciento, existen unas variaciones frente a la vigencia anterior en el </w:t>
      </w:r>
      <w:r w:rsidR="00011B8B" w:rsidRPr="00011B8B">
        <w:rPr>
          <w:rFonts w:ascii="Century Gothic" w:hAnsi="Century Gothic"/>
          <w:lang w:val="es-ES"/>
        </w:rPr>
        <w:t>recaudo de estampillas que se estiman crecerán</w:t>
      </w:r>
      <w:r w:rsidRPr="00011B8B">
        <w:rPr>
          <w:rFonts w:ascii="Century Gothic" w:hAnsi="Century Gothic"/>
          <w:lang w:val="es-ES"/>
        </w:rPr>
        <w:t xml:space="preserve"> en </w:t>
      </w:r>
      <w:r w:rsidR="00011B8B" w:rsidRPr="00011B8B">
        <w:rPr>
          <w:rFonts w:ascii="Century Gothic" w:hAnsi="Century Gothic"/>
          <w:lang w:val="es-ES"/>
        </w:rPr>
        <w:t xml:space="preserve">un </w:t>
      </w:r>
      <w:r w:rsidRPr="00011B8B">
        <w:rPr>
          <w:rFonts w:ascii="Century Gothic" w:hAnsi="Century Gothic"/>
          <w:lang w:val="es-ES"/>
        </w:rPr>
        <w:t>9 por ciento</w:t>
      </w:r>
      <w:r w:rsidR="00011B8B" w:rsidRPr="00011B8B">
        <w:rPr>
          <w:rFonts w:ascii="Century Gothic" w:hAnsi="Century Gothic"/>
          <w:lang w:val="es-ES"/>
        </w:rPr>
        <w:t>, debido a q</w:t>
      </w:r>
      <w:r w:rsidRPr="00011B8B">
        <w:rPr>
          <w:rFonts w:ascii="Century Gothic" w:hAnsi="Century Gothic"/>
          <w:lang w:val="es-ES"/>
        </w:rPr>
        <w:t>ue a partir del segundo semestre del 2018</w:t>
      </w:r>
      <w:r w:rsidR="00011B8B" w:rsidRPr="00011B8B">
        <w:rPr>
          <w:rFonts w:ascii="Century Gothic" w:hAnsi="Century Gothic"/>
          <w:lang w:val="es-ES"/>
        </w:rPr>
        <w:t xml:space="preserve">, se inició </w:t>
      </w:r>
      <w:r w:rsidRPr="00011B8B">
        <w:rPr>
          <w:rFonts w:ascii="Century Gothic" w:hAnsi="Century Gothic"/>
          <w:lang w:val="es-ES"/>
        </w:rPr>
        <w:t>el cobro de la estampilla pro electrificación rural, el impuesto de alumbr</w:t>
      </w:r>
      <w:r w:rsidR="00011B8B" w:rsidRPr="00011B8B">
        <w:rPr>
          <w:rFonts w:ascii="Century Gothic" w:hAnsi="Century Gothic"/>
          <w:lang w:val="es-ES"/>
        </w:rPr>
        <w:t>ado público se incrementa en 7 por ciento,</w:t>
      </w:r>
      <w:r w:rsidRPr="00011B8B">
        <w:rPr>
          <w:rFonts w:ascii="Century Gothic" w:hAnsi="Century Gothic"/>
          <w:lang w:val="es-ES"/>
        </w:rPr>
        <w:t xml:space="preserve"> los ingresos por concepto del sistema general de participaciones se proyecta</w:t>
      </w:r>
      <w:r w:rsidR="00011B8B" w:rsidRPr="00011B8B">
        <w:rPr>
          <w:rFonts w:ascii="Century Gothic" w:hAnsi="Century Gothic"/>
          <w:lang w:val="es-ES"/>
        </w:rPr>
        <w:t>n</w:t>
      </w:r>
      <w:r w:rsidRPr="00011B8B">
        <w:rPr>
          <w:rFonts w:ascii="Century Gothic" w:hAnsi="Century Gothic"/>
          <w:lang w:val="es-ES"/>
        </w:rPr>
        <w:t xml:space="preserve"> para educación </w:t>
      </w:r>
      <w:r w:rsidR="00011B8B" w:rsidRPr="00011B8B">
        <w:rPr>
          <w:rFonts w:ascii="Century Gothic" w:hAnsi="Century Gothic"/>
          <w:lang w:val="es-ES"/>
        </w:rPr>
        <w:t xml:space="preserve">con el </w:t>
      </w:r>
      <w:r w:rsidRPr="00011B8B">
        <w:rPr>
          <w:rFonts w:ascii="Century Gothic" w:hAnsi="Century Gothic"/>
          <w:lang w:val="es-ES"/>
        </w:rPr>
        <w:t>8 por ciento</w:t>
      </w:r>
      <w:r w:rsidR="00011B8B" w:rsidRPr="00011B8B">
        <w:rPr>
          <w:rFonts w:ascii="Century Gothic" w:hAnsi="Century Gothic"/>
          <w:lang w:val="es-ES"/>
        </w:rPr>
        <w:t>,</w:t>
      </w:r>
      <w:r w:rsidRPr="00011B8B">
        <w:rPr>
          <w:rFonts w:ascii="Century Gothic" w:hAnsi="Century Gothic"/>
          <w:lang w:val="es-ES"/>
        </w:rPr>
        <w:t xml:space="preserve"> frente al valor inicialmente aforado para este año</w:t>
      </w:r>
      <w:r w:rsidR="00011B8B" w:rsidRPr="00011B8B">
        <w:rPr>
          <w:rFonts w:ascii="Century Gothic" w:hAnsi="Century Gothic"/>
          <w:lang w:val="es-ES"/>
        </w:rPr>
        <w:t>;</w:t>
      </w:r>
      <w:r w:rsidRPr="00011B8B">
        <w:rPr>
          <w:rFonts w:ascii="Century Gothic" w:hAnsi="Century Gothic"/>
          <w:lang w:val="es-ES"/>
        </w:rPr>
        <w:t xml:space="preserve"> las transferencias de propósito general </w:t>
      </w:r>
      <w:r w:rsidR="00011B8B" w:rsidRPr="00011B8B">
        <w:rPr>
          <w:rFonts w:ascii="Century Gothic" w:hAnsi="Century Gothic"/>
          <w:lang w:val="es-ES"/>
        </w:rPr>
        <w:t>se estima crecerán</w:t>
      </w:r>
      <w:r w:rsidRPr="00011B8B">
        <w:rPr>
          <w:rFonts w:ascii="Century Gothic" w:hAnsi="Century Gothic"/>
          <w:lang w:val="es-ES"/>
        </w:rPr>
        <w:t xml:space="preserve"> en un 1 por ciento</w:t>
      </w:r>
      <w:r w:rsidR="00011B8B" w:rsidRPr="00011B8B">
        <w:rPr>
          <w:rFonts w:ascii="Century Gothic" w:hAnsi="Century Gothic"/>
          <w:lang w:val="es-ES"/>
        </w:rPr>
        <w:t>,</w:t>
      </w:r>
      <w:r w:rsidRPr="00011B8B">
        <w:rPr>
          <w:rFonts w:ascii="Century Gothic" w:hAnsi="Century Gothic"/>
          <w:lang w:val="es-ES"/>
        </w:rPr>
        <w:t xml:space="preserve"> </w:t>
      </w:r>
      <w:r w:rsidR="00011B8B" w:rsidRPr="00011B8B">
        <w:rPr>
          <w:rFonts w:ascii="Century Gothic" w:hAnsi="Century Gothic"/>
          <w:lang w:val="es-ES"/>
        </w:rPr>
        <w:t xml:space="preserve">ya que </w:t>
      </w:r>
      <w:r w:rsidRPr="00011B8B">
        <w:rPr>
          <w:rFonts w:ascii="Century Gothic" w:hAnsi="Century Gothic"/>
          <w:lang w:val="es-ES"/>
        </w:rPr>
        <w:t>para el 2018</w:t>
      </w:r>
      <w:r w:rsidR="00011B8B" w:rsidRPr="00011B8B">
        <w:rPr>
          <w:rFonts w:ascii="Century Gothic" w:hAnsi="Century Gothic"/>
          <w:lang w:val="es-ES"/>
        </w:rPr>
        <w:t>,</w:t>
      </w:r>
      <w:r w:rsidRPr="00011B8B">
        <w:rPr>
          <w:rFonts w:ascii="Century Gothic" w:hAnsi="Century Gothic"/>
          <w:lang w:val="es-ES"/>
        </w:rPr>
        <w:t xml:space="preserve"> estas no tuvieron el crecimiento esperado y se ajusta la meta al valor realmente asignado, los recursos del sistema general de participaciones agua potable y saneamiento básico presentan un decrecimiento </w:t>
      </w:r>
      <w:r w:rsidR="00011B8B" w:rsidRPr="00011B8B">
        <w:rPr>
          <w:rFonts w:ascii="Century Gothic" w:hAnsi="Century Gothic"/>
          <w:lang w:val="es-ES"/>
        </w:rPr>
        <w:t xml:space="preserve">del 7 por ciento para el año 2018, </w:t>
      </w:r>
      <w:r w:rsidRPr="00011B8B">
        <w:rPr>
          <w:rFonts w:ascii="Century Gothic" w:hAnsi="Century Gothic"/>
          <w:lang w:val="es-ES"/>
        </w:rPr>
        <w:t>frente al valor asignado en la vigencia 2017.</w:t>
      </w:r>
    </w:p>
    <w:p w14:paraId="4021A5EE" w14:textId="7DBF434B" w:rsidR="00384866" w:rsidRPr="00082A17" w:rsidRDefault="00384866" w:rsidP="00384866">
      <w:pPr>
        <w:jc w:val="both"/>
        <w:rPr>
          <w:rFonts w:ascii="Century Gothic" w:hAnsi="Century Gothic"/>
          <w:lang w:val="es-ES"/>
        </w:rPr>
      </w:pPr>
      <w:r w:rsidRPr="00082A17">
        <w:rPr>
          <w:rFonts w:ascii="Century Gothic" w:hAnsi="Century Gothic"/>
          <w:lang w:val="es-ES"/>
        </w:rPr>
        <w:t>Los ingresos corrientes del Fondo de Redistribución del ingreso crecen en un 23 por ciento frente al aforado inicialmente en este año, esto es por el crecimiento de los beneficiarios de los subsidios.</w:t>
      </w:r>
    </w:p>
    <w:p w14:paraId="513D13C3" w14:textId="304CE33D" w:rsidR="00142385" w:rsidRPr="00082A17" w:rsidRDefault="00142385" w:rsidP="00142385">
      <w:pPr>
        <w:jc w:val="both"/>
        <w:rPr>
          <w:rFonts w:ascii="Century Gothic" w:hAnsi="Century Gothic"/>
          <w:lang w:val="es-ES"/>
        </w:rPr>
      </w:pPr>
      <w:r w:rsidRPr="00082A17">
        <w:rPr>
          <w:rFonts w:ascii="Century Gothic" w:hAnsi="Century Gothic"/>
          <w:lang w:val="es-ES"/>
        </w:rPr>
        <w:lastRenderedPageBreak/>
        <w:t>Los ingresos</w:t>
      </w:r>
      <w:r w:rsidR="00082A17">
        <w:rPr>
          <w:rFonts w:ascii="Century Gothic" w:hAnsi="Century Gothic"/>
          <w:lang w:val="es-ES"/>
        </w:rPr>
        <w:t xml:space="preserve"> corrientes</w:t>
      </w:r>
      <w:r w:rsidRPr="00082A17">
        <w:rPr>
          <w:rFonts w:ascii="Century Gothic" w:hAnsi="Century Gothic"/>
          <w:lang w:val="es-ES"/>
        </w:rPr>
        <w:t xml:space="preserve"> de la Secretaría de Tránsito presenta</w:t>
      </w:r>
      <w:r w:rsidR="00082A17">
        <w:rPr>
          <w:rFonts w:ascii="Century Gothic" w:hAnsi="Century Gothic"/>
          <w:lang w:val="es-ES"/>
        </w:rPr>
        <w:t>ro</w:t>
      </w:r>
      <w:r w:rsidRPr="00082A17">
        <w:rPr>
          <w:rFonts w:ascii="Century Gothic" w:hAnsi="Century Gothic"/>
          <w:lang w:val="es-ES"/>
        </w:rPr>
        <w:t>n un crecimiento del 11</w:t>
      </w:r>
      <w:r w:rsidR="004F5BDD" w:rsidRPr="00082A17">
        <w:rPr>
          <w:rFonts w:ascii="Century Gothic" w:hAnsi="Century Gothic"/>
          <w:lang w:val="es-ES"/>
        </w:rPr>
        <w:t xml:space="preserve"> por ciento</w:t>
      </w:r>
      <w:r w:rsidRPr="00082A17">
        <w:rPr>
          <w:rFonts w:ascii="Century Gothic" w:hAnsi="Century Gothic"/>
          <w:lang w:val="es-ES"/>
        </w:rPr>
        <w:t xml:space="preserve">, </w:t>
      </w:r>
      <w:r w:rsidR="00082A17">
        <w:rPr>
          <w:rFonts w:ascii="Century Gothic" w:hAnsi="Century Gothic"/>
          <w:lang w:val="es-ES"/>
        </w:rPr>
        <w:t xml:space="preserve">debido principalmente, al </w:t>
      </w:r>
      <w:r w:rsidRPr="00082A17">
        <w:rPr>
          <w:rFonts w:ascii="Century Gothic" w:hAnsi="Century Gothic"/>
          <w:lang w:val="es-ES"/>
        </w:rPr>
        <w:t xml:space="preserve">cobro de multas </w:t>
      </w:r>
      <w:r w:rsidR="00082A17">
        <w:rPr>
          <w:rFonts w:ascii="Century Gothic" w:hAnsi="Century Gothic"/>
          <w:lang w:val="es-ES"/>
        </w:rPr>
        <w:t>(</w:t>
      </w:r>
      <w:r w:rsidRPr="00082A17">
        <w:rPr>
          <w:rFonts w:ascii="Century Gothic" w:hAnsi="Century Gothic"/>
          <w:lang w:val="es-ES"/>
        </w:rPr>
        <w:t>12</w:t>
      </w:r>
      <w:r w:rsidR="00082A17">
        <w:rPr>
          <w:rFonts w:ascii="Century Gothic" w:hAnsi="Century Gothic"/>
          <w:lang w:val="es-ES"/>
        </w:rPr>
        <w:t xml:space="preserve">%) y al </w:t>
      </w:r>
      <w:r w:rsidRPr="00082A17">
        <w:rPr>
          <w:rFonts w:ascii="Century Gothic" w:hAnsi="Century Gothic"/>
          <w:lang w:val="es-ES"/>
        </w:rPr>
        <w:t xml:space="preserve">cobro </w:t>
      </w:r>
      <w:r w:rsidR="00082A17">
        <w:rPr>
          <w:rFonts w:ascii="Century Gothic" w:hAnsi="Century Gothic"/>
          <w:lang w:val="es-ES"/>
        </w:rPr>
        <w:t xml:space="preserve">coactivo, estrategias que </w:t>
      </w:r>
      <w:r w:rsidRPr="00082A17">
        <w:rPr>
          <w:rFonts w:ascii="Century Gothic" w:hAnsi="Century Gothic"/>
          <w:lang w:val="es-ES"/>
        </w:rPr>
        <w:t>permiti</w:t>
      </w:r>
      <w:r w:rsidR="00082A17">
        <w:rPr>
          <w:rFonts w:ascii="Century Gothic" w:hAnsi="Century Gothic"/>
          <w:lang w:val="es-ES"/>
        </w:rPr>
        <w:t xml:space="preserve">eron el incremento del recaudo; </w:t>
      </w:r>
      <w:r w:rsidRPr="00082A17">
        <w:rPr>
          <w:rFonts w:ascii="Century Gothic" w:hAnsi="Century Gothic"/>
          <w:lang w:val="es-ES"/>
        </w:rPr>
        <w:t>el cobro por tasas por derechos se proyecta con el 11</w:t>
      </w:r>
      <w:r w:rsidR="004F5BDD" w:rsidRPr="00082A17">
        <w:rPr>
          <w:rFonts w:ascii="Century Gothic" w:hAnsi="Century Gothic"/>
          <w:lang w:val="es-ES"/>
        </w:rPr>
        <w:t xml:space="preserve"> por ciento</w:t>
      </w:r>
      <w:r w:rsidRPr="00082A17">
        <w:rPr>
          <w:rFonts w:ascii="Century Gothic" w:hAnsi="Century Gothic"/>
          <w:lang w:val="es-ES"/>
        </w:rPr>
        <w:t xml:space="preserve"> de crecimiento.</w:t>
      </w:r>
    </w:p>
    <w:p w14:paraId="2F2C06A5" w14:textId="382F5597" w:rsidR="00142385" w:rsidRPr="00AF28D3" w:rsidRDefault="00142385" w:rsidP="00142385">
      <w:pPr>
        <w:jc w:val="both"/>
        <w:rPr>
          <w:rFonts w:ascii="Century Gothic" w:hAnsi="Century Gothic"/>
          <w:lang w:val="es-ES"/>
        </w:rPr>
      </w:pPr>
      <w:r w:rsidRPr="00082A17">
        <w:rPr>
          <w:rFonts w:ascii="Century Gothic" w:hAnsi="Century Gothic"/>
          <w:lang w:val="es-ES"/>
        </w:rPr>
        <w:t xml:space="preserve">Se </w:t>
      </w:r>
      <w:r w:rsidR="00082A17" w:rsidRPr="00082A17">
        <w:rPr>
          <w:rFonts w:ascii="Century Gothic" w:hAnsi="Century Gothic"/>
          <w:lang w:val="es-ES"/>
        </w:rPr>
        <w:t xml:space="preserve">estima </w:t>
      </w:r>
      <w:r w:rsidRPr="00082A17">
        <w:rPr>
          <w:rFonts w:ascii="Century Gothic" w:hAnsi="Century Gothic"/>
          <w:lang w:val="es-ES"/>
        </w:rPr>
        <w:t>una disminución en los recursos de capital de los diferentes fondos</w:t>
      </w:r>
      <w:r w:rsidR="00082A17" w:rsidRPr="00082A17">
        <w:rPr>
          <w:rFonts w:ascii="Century Gothic" w:hAnsi="Century Gothic"/>
          <w:lang w:val="es-ES"/>
        </w:rPr>
        <w:t>,</w:t>
      </w:r>
      <w:r w:rsidRPr="00082A17">
        <w:rPr>
          <w:rFonts w:ascii="Century Gothic" w:hAnsi="Century Gothic"/>
          <w:lang w:val="es-ES"/>
        </w:rPr>
        <w:t xml:space="preserve"> excepto los de la Secretaría de Tránsito, </w:t>
      </w:r>
      <w:r w:rsidR="00082A17">
        <w:rPr>
          <w:rFonts w:ascii="Century Gothic" w:hAnsi="Century Gothic"/>
          <w:lang w:val="es-ES"/>
        </w:rPr>
        <w:t>sustentado en l</w:t>
      </w:r>
      <w:r w:rsidRPr="00082A17">
        <w:rPr>
          <w:rFonts w:ascii="Century Gothic" w:hAnsi="Century Gothic"/>
          <w:lang w:val="es-ES"/>
        </w:rPr>
        <w:t xml:space="preserve">a buena ejecución </w:t>
      </w:r>
      <w:r w:rsidR="00082A17" w:rsidRPr="00082A17">
        <w:rPr>
          <w:rFonts w:ascii="Century Gothic" w:hAnsi="Century Gothic"/>
          <w:lang w:val="es-ES"/>
        </w:rPr>
        <w:t xml:space="preserve">durante </w:t>
      </w:r>
      <w:r w:rsidR="00082A17">
        <w:rPr>
          <w:rFonts w:ascii="Century Gothic" w:hAnsi="Century Gothic"/>
          <w:lang w:val="es-ES"/>
        </w:rPr>
        <w:t xml:space="preserve">esta vigencia, </w:t>
      </w:r>
      <w:r w:rsidRPr="00082A17">
        <w:rPr>
          <w:rFonts w:ascii="Century Gothic" w:hAnsi="Century Gothic"/>
          <w:lang w:val="es-ES"/>
        </w:rPr>
        <w:t xml:space="preserve">se espera que los recursos del balance sean inferiores a los de </w:t>
      </w:r>
      <w:r w:rsidRPr="00AF28D3">
        <w:rPr>
          <w:rFonts w:ascii="Century Gothic" w:hAnsi="Century Gothic"/>
          <w:lang w:val="es-ES"/>
        </w:rPr>
        <w:t>este año.</w:t>
      </w:r>
    </w:p>
    <w:p w14:paraId="4707A382" w14:textId="4B0BA0E9" w:rsidR="00142385" w:rsidRPr="00AF28D3" w:rsidRDefault="00142385" w:rsidP="00142385">
      <w:pPr>
        <w:jc w:val="both"/>
        <w:rPr>
          <w:rFonts w:ascii="Century Gothic" w:hAnsi="Century Gothic"/>
          <w:lang w:val="es-ES"/>
        </w:rPr>
      </w:pPr>
      <w:r w:rsidRPr="00AF28D3">
        <w:rPr>
          <w:rFonts w:ascii="Century Gothic" w:hAnsi="Century Gothic"/>
          <w:lang w:val="es-ES"/>
        </w:rPr>
        <w:t>Para este año</w:t>
      </w:r>
      <w:r w:rsidR="00082A17" w:rsidRPr="00AF28D3">
        <w:rPr>
          <w:rFonts w:ascii="Century Gothic" w:hAnsi="Century Gothic"/>
          <w:lang w:val="es-ES"/>
        </w:rPr>
        <w:t>,</w:t>
      </w:r>
      <w:r w:rsidRPr="00AF28D3">
        <w:rPr>
          <w:rFonts w:ascii="Century Gothic" w:hAnsi="Century Gothic"/>
          <w:lang w:val="es-ES"/>
        </w:rPr>
        <w:t xml:space="preserve"> se realizará desembol</w:t>
      </w:r>
      <w:r w:rsidR="00D415FD" w:rsidRPr="00AF28D3">
        <w:rPr>
          <w:rFonts w:ascii="Century Gothic" w:hAnsi="Century Gothic"/>
          <w:lang w:val="es-ES"/>
        </w:rPr>
        <w:t>sos de crédito por valor de $26.</w:t>
      </w:r>
      <w:r w:rsidRPr="00AF28D3">
        <w:rPr>
          <w:rFonts w:ascii="Century Gothic" w:hAnsi="Century Gothic"/>
          <w:lang w:val="es-ES"/>
        </w:rPr>
        <w:t>100 mi</w:t>
      </w:r>
      <w:r w:rsidR="00D415FD" w:rsidRPr="00AF28D3">
        <w:rPr>
          <w:rFonts w:ascii="Century Gothic" w:hAnsi="Century Gothic"/>
          <w:lang w:val="es-ES"/>
        </w:rPr>
        <w:t>llones frente a $24.</w:t>
      </w:r>
      <w:r w:rsidRPr="00AF28D3">
        <w:rPr>
          <w:rFonts w:ascii="Century Gothic" w:hAnsi="Century Gothic"/>
          <w:lang w:val="es-ES"/>
        </w:rPr>
        <w:t xml:space="preserve">373 millones, </w:t>
      </w:r>
      <w:r w:rsidR="00082A17" w:rsidRPr="00AF28D3">
        <w:rPr>
          <w:rFonts w:ascii="Century Gothic" w:hAnsi="Century Gothic"/>
          <w:lang w:val="es-ES"/>
        </w:rPr>
        <w:t xml:space="preserve">debido a que </w:t>
      </w:r>
      <w:r w:rsidRPr="00AF28D3">
        <w:rPr>
          <w:rFonts w:ascii="Century Gothic" w:hAnsi="Century Gothic"/>
          <w:lang w:val="es-ES"/>
        </w:rPr>
        <w:t>existen desembolsos programados para este año</w:t>
      </w:r>
      <w:r w:rsidR="00082A17" w:rsidRPr="00AF28D3">
        <w:rPr>
          <w:rFonts w:ascii="Century Gothic" w:hAnsi="Century Gothic"/>
          <w:lang w:val="es-ES"/>
        </w:rPr>
        <w:t xml:space="preserve"> que no se realizaran, los cuales </w:t>
      </w:r>
      <w:r w:rsidRPr="00AF28D3">
        <w:rPr>
          <w:rFonts w:ascii="Century Gothic" w:hAnsi="Century Gothic"/>
          <w:lang w:val="es-ES"/>
        </w:rPr>
        <w:t xml:space="preserve">se trasladan para el </w:t>
      </w:r>
      <w:r w:rsidR="00082A17" w:rsidRPr="00AF28D3">
        <w:rPr>
          <w:rFonts w:ascii="Century Gothic" w:hAnsi="Century Gothic"/>
          <w:lang w:val="es-ES"/>
        </w:rPr>
        <w:t xml:space="preserve">año </w:t>
      </w:r>
      <w:r w:rsidRPr="00AF28D3">
        <w:rPr>
          <w:rFonts w:ascii="Century Gothic" w:hAnsi="Century Gothic"/>
          <w:lang w:val="es-ES"/>
        </w:rPr>
        <w:t>2</w:t>
      </w:r>
      <w:r w:rsidR="00082A17" w:rsidRPr="00AF28D3">
        <w:rPr>
          <w:rFonts w:ascii="Century Gothic" w:hAnsi="Century Gothic"/>
          <w:lang w:val="es-ES"/>
        </w:rPr>
        <w:t>019</w:t>
      </w:r>
      <w:r w:rsidRPr="00AF28D3">
        <w:rPr>
          <w:rFonts w:ascii="Century Gothic" w:hAnsi="Century Gothic"/>
          <w:lang w:val="es-ES"/>
        </w:rPr>
        <w:t>.</w:t>
      </w:r>
    </w:p>
    <w:p w14:paraId="30643F6A" w14:textId="39BAB057" w:rsidR="00D515A6" w:rsidRPr="00AF28D3" w:rsidRDefault="00384866" w:rsidP="00142385">
      <w:pPr>
        <w:jc w:val="both"/>
        <w:rPr>
          <w:rFonts w:ascii="Century Gothic" w:hAnsi="Century Gothic"/>
          <w:lang w:val="es-ES"/>
        </w:rPr>
      </w:pPr>
      <w:r w:rsidRPr="00AF28D3">
        <w:rPr>
          <w:rFonts w:ascii="Century Gothic" w:hAnsi="Century Gothic"/>
          <w:lang w:val="es-ES"/>
        </w:rPr>
        <w:t>Los recursos</w:t>
      </w:r>
      <w:r w:rsidR="00082A17" w:rsidRPr="00AF28D3">
        <w:rPr>
          <w:rFonts w:ascii="Century Gothic" w:hAnsi="Century Gothic"/>
          <w:lang w:val="es-ES"/>
        </w:rPr>
        <w:t xml:space="preserve"> del balance del sector central se estiman que crecerán</w:t>
      </w:r>
      <w:r w:rsidRPr="00AF28D3">
        <w:rPr>
          <w:rFonts w:ascii="Century Gothic" w:hAnsi="Century Gothic"/>
          <w:lang w:val="es-ES"/>
        </w:rPr>
        <w:t xml:space="preserve"> en un 21% por ciento </w:t>
      </w:r>
      <w:r w:rsidR="00082A17" w:rsidRPr="00AF28D3">
        <w:rPr>
          <w:rFonts w:ascii="Century Gothic" w:hAnsi="Century Gothic"/>
          <w:lang w:val="es-ES"/>
        </w:rPr>
        <w:t xml:space="preserve">respecto </w:t>
      </w:r>
      <w:r w:rsidRPr="00AF28D3">
        <w:rPr>
          <w:rFonts w:ascii="Century Gothic" w:hAnsi="Century Gothic"/>
          <w:lang w:val="es-ES"/>
        </w:rPr>
        <w:t xml:space="preserve">al </w:t>
      </w:r>
      <w:r w:rsidR="00082A17" w:rsidRPr="00AF28D3">
        <w:rPr>
          <w:rFonts w:ascii="Century Gothic" w:hAnsi="Century Gothic"/>
          <w:lang w:val="es-ES"/>
        </w:rPr>
        <w:t xml:space="preserve">año </w:t>
      </w:r>
      <w:r w:rsidRPr="00AF28D3">
        <w:rPr>
          <w:rFonts w:ascii="Century Gothic" w:hAnsi="Century Gothic"/>
          <w:lang w:val="es-ES"/>
        </w:rPr>
        <w:t xml:space="preserve">2018, </w:t>
      </w:r>
      <w:r w:rsidR="00082A17" w:rsidRPr="00AF28D3">
        <w:rPr>
          <w:rFonts w:ascii="Century Gothic" w:hAnsi="Century Gothic"/>
          <w:lang w:val="es-ES"/>
        </w:rPr>
        <w:t xml:space="preserve">debido a </w:t>
      </w:r>
      <w:r w:rsidRPr="00AF28D3">
        <w:rPr>
          <w:rFonts w:ascii="Century Gothic" w:hAnsi="Century Gothic"/>
          <w:lang w:val="es-ES"/>
        </w:rPr>
        <w:t>que se proyecta</w:t>
      </w:r>
      <w:r w:rsidR="00AF28D3" w:rsidRPr="00AF28D3">
        <w:rPr>
          <w:rFonts w:ascii="Century Gothic" w:hAnsi="Century Gothic"/>
          <w:lang w:val="es-ES"/>
        </w:rPr>
        <w:t xml:space="preserve">ron </w:t>
      </w:r>
      <w:r w:rsidRPr="00AF28D3">
        <w:rPr>
          <w:rFonts w:ascii="Century Gothic" w:hAnsi="Century Gothic"/>
          <w:lang w:val="es-ES"/>
        </w:rPr>
        <w:t>recursos que no se ejecuta</w:t>
      </w:r>
      <w:r w:rsidR="00AF28D3" w:rsidRPr="00AF28D3">
        <w:rPr>
          <w:rFonts w:ascii="Century Gothic" w:hAnsi="Century Gothic"/>
          <w:lang w:val="es-ES"/>
        </w:rPr>
        <w:t>ra</w:t>
      </w:r>
      <w:r w:rsidRPr="00AF28D3">
        <w:rPr>
          <w:rFonts w:ascii="Century Gothic" w:hAnsi="Century Gothic"/>
          <w:lang w:val="es-ES"/>
        </w:rPr>
        <w:t>n en su totalidad</w:t>
      </w:r>
      <w:r w:rsidR="00AF28D3" w:rsidRPr="00AF28D3">
        <w:rPr>
          <w:rFonts w:ascii="Century Gothic" w:hAnsi="Century Gothic"/>
          <w:lang w:val="es-ES"/>
        </w:rPr>
        <w:t>,</w:t>
      </w:r>
      <w:r w:rsidRPr="00AF28D3">
        <w:rPr>
          <w:rFonts w:ascii="Century Gothic" w:hAnsi="Century Gothic"/>
          <w:lang w:val="es-ES"/>
        </w:rPr>
        <w:t xml:space="preserve"> </w:t>
      </w:r>
      <w:r w:rsidR="00AF28D3" w:rsidRPr="00AF28D3">
        <w:rPr>
          <w:rFonts w:ascii="Century Gothic" w:hAnsi="Century Gothic"/>
          <w:lang w:val="es-ES"/>
        </w:rPr>
        <w:t xml:space="preserve">v.gr. </w:t>
      </w:r>
      <w:r w:rsidRPr="00AF28D3">
        <w:rPr>
          <w:rFonts w:ascii="Century Gothic" w:hAnsi="Century Gothic"/>
          <w:lang w:val="es-ES"/>
        </w:rPr>
        <w:t xml:space="preserve">los del desahorro </w:t>
      </w:r>
      <w:r w:rsidR="00D54630">
        <w:rPr>
          <w:rFonts w:ascii="Century Gothic" w:hAnsi="Century Gothic"/>
          <w:lang w:val="es-ES"/>
        </w:rPr>
        <w:t>FONPET</w:t>
      </w:r>
      <w:r w:rsidR="00AF28D3" w:rsidRPr="00AF28D3">
        <w:rPr>
          <w:rFonts w:ascii="Century Gothic" w:hAnsi="Century Gothic"/>
          <w:lang w:val="es-ES"/>
        </w:rPr>
        <w:t xml:space="preserve"> que ascienden a la suma de </w:t>
      </w:r>
      <w:r w:rsidRPr="00AF28D3">
        <w:rPr>
          <w:rFonts w:ascii="Century Gothic" w:hAnsi="Century Gothic"/>
          <w:lang w:val="es-ES"/>
        </w:rPr>
        <w:t>$24</w:t>
      </w:r>
      <w:r w:rsidR="00AF28D3" w:rsidRPr="00AF28D3">
        <w:rPr>
          <w:rFonts w:ascii="Century Gothic" w:hAnsi="Century Gothic"/>
          <w:lang w:val="es-ES"/>
        </w:rPr>
        <w:t>.</w:t>
      </w:r>
      <w:r w:rsidRPr="00AF28D3">
        <w:rPr>
          <w:rFonts w:ascii="Century Gothic" w:hAnsi="Century Gothic"/>
          <w:lang w:val="es-ES"/>
        </w:rPr>
        <w:t>824 millones, además</w:t>
      </w:r>
      <w:r w:rsidR="00AF28D3" w:rsidRPr="00AF28D3">
        <w:rPr>
          <w:rFonts w:ascii="Century Gothic" w:hAnsi="Century Gothic"/>
          <w:lang w:val="es-ES"/>
        </w:rPr>
        <w:t>,</w:t>
      </w:r>
      <w:r w:rsidRPr="00AF28D3">
        <w:rPr>
          <w:rFonts w:ascii="Century Gothic" w:hAnsi="Century Gothic"/>
          <w:lang w:val="es-ES"/>
        </w:rPr>
        <w:t xml:space="preserve"> se está contemplando los aportes sin situación de fondos que el Municipio realiza a la Unidad Administrativa Especial </w:t>
      </w:r>
      <w:r w:rsidR="00AF28D3" w:rsidRPr="00AF28D3">
        <w:rPr>
          <w:rFonts w:ascii="Century Gothic" w:hAnsi="Century Gothic"/>
          <w:lang w:val="es-ES"/>
        </w:rPr>
        <w:t xml:space="preserve">de Transporte – </w:t>
      </w:r>
      <w:r w:rsidRPr="00AF28D3">
        <w:rPr>
          <w:rFonts w:ascii="Century Gothic" w:hAnsi="Century Gothic"/>
          <w:lang w:val="es-ES"/>
        </w:rPr>
        <w:t>Avante, para el SETP , estos recursos se giran durante el 2018 pero de acuerdo al cronograma de ejecución de obras no se utilizaran, los recursos se encuentran en un encargo Fiduci</w:t>
      </w:r>
      <w:r w:rsidR="00AF28D3" w:rsidRPr="00AF28D3">
        <w:rPr>
          <w:rFonts w:ascii="Century Gothic" w:hAnsi="Century Gothic"/>
          <w:lang w:val="es-ES"/>
        </w:rPr>
        <w:t xml:space="preserve">ario y </w:t>
      </w:r>
      <w:r w:rsidRPr="00AF28D3">
        <w:rPr>
          <w:rFonts w:ascii="Century Gothic" w:hAnsi="Century Gothic"/>
          <w:lang w:val="es-ES"/>
        </w:rPr>
        <w:t>de acuerdo al convenio suscrito con la Nación los recursos deben permanecer en la Fiducia, esto</w:t>
      </w:r>
      <w:r w:rsidR="00AF28D3" w:rsidRPr="00AF28D3">
        <w:rPr>
          <w:rFonts w:ascii="Century Gothic" w:hAnsi="Century Gothic"/>
          <w:lang w:val="es-ES"/>
        </w:rPr>
        <w:t>s</w:t>
      </w:r>
      <w:r w:rsidRPr="00AF28D3">
        <w:rPr>
          <w:rFonts w:ascii="Century Gothic" w:hAnsi="Century Gothic"/>
          <w:lang w:val="es-ES"/>
        </w:rPr>
        <w:t xml:space="preserve"> recurso</w:t>
      </w:r>
      <w:r w:rsidR="00AF28D3" w:rsidRPr="00AF28D3">
        <w:rPr>
          <w:rFonts w:ascii="Century Gothic" w:hAnsi="Century Gothic"/>
          <w:lang w:val="es-ES"/>
        </w:rPr>
        <w:t>s</w:t>
      </w:r>
      <w:r w:rsidRPr="00AF28D3">
        <w:rPr>
          <w:rFonts w:ascii="Century Gothic" w:hAnsi="Century Gothic"/>
          <w:lang w:val="es-ES"/>
        </w:rPr>
        <w:t xml:space="preserve"> son del orden de $16.144 millones.</w:t>
      </w:r>
    </w:p>
    <w:p w14:paraId="0B69823C" w14:textId="23CD19E8" w:rsidR="00F340DD" w:rsidRPr="00AF28D3" w:rsidRDefault="008E2D73" w:rsidP="00142385">
      <w:pPr>
        <w:pStyle w:val="Ttulo3"/>
        <w:jc w:val="both"/>
        <w:rPr>
          <w:lang w:val="es-ES"/>
        </w:rPr>
      </w:pPr>
      <w:bookmarkStart w:id="76" w:name="_Toc532565938"/>
      <w:r w:rsidRPr="00AF28D3">
        <w:rPr>
          <w:lang w:val="es-ES"/>
        </w:rPr>
        <w:t xml:space="preserve">Ingresos </w:t>
      </w:r>
      <w:r w:rsidR="002B000B" w:rsidRPr="00AF28D3">
        <w:rPr>
          <w:lang w:val="es-ES"/>
        </w:rPr>
        <w:t xml:space="preserve">corrientes </w:t>
      </w:r>
      <w:r w:rsidR="00142385" w:rsidRPr="00AF28D3">
        <w:rPr>
          <w:lang w:val="es-ES"/>
        </w:rPr>
        <w:t>de libre destinación</w:t>
      </w:r>
      <w:bookmarkEnd w:id="76"/>
      <w:r w:rsidR="00142385" w:rsidRPr="00AF28D3">
        <w:rPr>
          <w:lang w:val="es-ES"/>
        </w:rPr>
        <w:t xml:space="preserve"> </w:t>
      </w:r>
    </w:p>
    <w:p w14:paraId="2FD30A20" w14:textId="3B6FB8E1" w:rsidR="00142385" w:rsidRPr="00AF28D3" w:rsidRDefault="00142385" w:rsidP="00142385">
      <w:pPr>
        <w:pStyle w:val="Epgrafe"/>
        <w:spacing w:line="276" w:lineRule="auto"/>
        <w:jc w:val="both"/>
        <w:rPr>
          <w:rFonts w:ascii="Century Gothic" w:hAnsi="Century Gothic"/>
          <w:b w:val="0"/>
          <w:color w:val="auto"/>
          <w:sz w:val="22"/>
          <w:szCs w:val="22"/>
          <w:lang w:val="es-ES"/>
        </w:rPr>
      </w:pPr>
      <w:r w:rsidRPr="00AF28D3">
        <w:rPr>
          <w:rFonts w:ascii="Century Gothic" w:hAnsi="Century Gothic"/>
          <w:b w:val="0"/>
          <w:color w:val="auto"/>
          <w:sz w:val="22"/>
          <w:szCs w:val="22"/>
          <w:lang w:val="es-ES"/>
        </w:rPr>
        <w:t>Los ingresos corrientes de libre destinación programados para la vige</w:t>
      </w:r>
      <w:r w:rsidR="001603BE" w:rsidRPr="00AF28D3">
        <w:rPr>
          <w:rFonts w:ascii="Century Gothic" w:hAnsi="Century Gothic"/>
          <w:b w:val="0"/>
          <w:color w:val="auto"/>
          <w:sz w:val="22"/>
          <w:szCs w:val="22"/>
          <w:lang w:val="es-ES"/>
        </w:rPr>
        <w:t>ncia 2019 son del orden de $103.</w:t>
      </w:r>
      <w:r w:rsidRPr="00AF28D3">
        <w:rPr>
          <w:rFonts w:ascii="Century Gothic" w:hAnsi="Century Gothic"/>
          <w:b w:val="0"/>
          <w:color w:val="auto"/>
          <w:sz w:val="22"/>
          <w:szCs w:val="22"/>
          <w:lang w:val="es-ES"/>
        </w:rPr>
        <w:t xml:space="preserve">628 millones, manteniéndose el Municipio </w:t>
      </w:r>
      <w:r w:rsidR="00AF28D3" w:rsidRPr="00AF28D3">
        <w:rPr>
          <w:rFonts w:ascii="Century Gothic" w:hAnsi="Century Gothic"/>
          <w:b w:val="0"/>
          <w:color w:val="auto"/>
          <w:sz w:val="22"/>
          <w:szCs w:val="22"/>
          <w:lang w:val="es-ES"/>
        </w:rPr>
        <w:t xml:space="preserve">en </w:t>
      </w:r>
      <w:r w:rsidRPr="00AF28D3">
        <w:rPr>
          <w:rFonts w:ascii="Century Gothic" w:hAnsi="Century Gothic"/>
          <w:b w:val="0"/>
          <w:color w:val="auto"/>
          <w:sz w:val="22"/>
          <w:szCs w:val="22"/>
          <w:lang w:val="es-ES"/>
        </w:rPr>
        <w:t>Categoría Primera, los ingresos por concepto del impuesto predial (vigencia actual y anteriores) participan con el 38</w:t>
      </w:r>
      <w:r w:rsidR="004F5BDD" w:rsidRPr="00AF28D3">
        <w:rPr>
          <w:rFonts w:ascii="Century Gothic" w:hAnsi="Century Gothic"/>
          <w:b w:val="0"/>
          <w:color w:val="auto"/>
          <w:sz w:val="22"/>
          <w:szCs w:val="22"/>
          <w:lang w:val="es-ES"/>
        </w:rPr>
        <w:t xml:space="preserve"> por ciento</w:t>
      </w:r>
      <w:r w:rsidR="00AF28D3">
        <w:rPr>
          <w:rFonts w:ascii="Century Gothic" w:hAnsi="Century Gothic"/>
          <w:b w:val="0"/>
          <w:color w:val="auto"/>
          <w:sz w:val="22"/>
          <w:szCs w:val="22"/>
          <w:lang w:val="es-ES"/>
        </w:rPr>
        <w:t xml:space="preserve"> de los ingresos de libre destinación</w:t>
      </w:r>
      <w:r w:rsidR="00AF28D3" w:rsidRPr="00AF28D3">
        <w:rPr>
          <w:rFonts w:ascii="Century Gothic" w:hAnsi="Century Gothic"/>
          <w:b w:val="0"/>
          <w:color w:val="auto"/>
          <w:sz w:val="22"/>
          <w:szCs w:val="22"/>
          <w:lang w:val="es-ES"/>
        </w:rPr>
        <w:t>;</w:t>
      </w:r>
      <w:r w:rsidRPr="00AF28D3">
        <w:rPr>
          <w:rFonts w:ascii="Century Gothic" w:hAnsi="Century Gothic"/>
          <w:b w:val="0"/>
          <w:color w:val="auto"/>
          <w:sz w:val="22"/>
          <w:szCs w:val="22"/>
          <w:lang w:val="es-ES"/>
        </w:rPr>
        <w:t xml:space="preserve"> del impuesto predial se destina el 8</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para vivienda</w:t>
      </w:r>
      <w:r w:rsidR="00AF28D3" w:rsidRPr="00AF28D3">
        <w:rPr>
          <w:rFonts w:ascii="Century Gothic" w:hAnsi="Century Gothic"/>
          <w:b w:val="0"/>
          <w:color w:val="auto"/>
          <w:sz w:val="22"/>
          <w:szCs w:val="22"/>
          <w:lang w:val="es-ES"/>
        </w:rPr>
        <w:t>,</w:t>
      </w:r>
      <w:r w:rsidRPr="00AF28D3">
        <w:rPr>
          <w:rFonts w:ascii="Century Gothic" w:hAnsi="Century Gothic"/>
          <w:b w:val="0"/>
          <w:color w:val="auto"/>
          <w:sz w:val="22"/>
          <w:szCs w:val="22"/>
          <w:lang w:val="es-ES"/>
        </w:rPr>
        <w:t xml:space="preserve"> el 2</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para la Plan Especial de Manejo y Protección del Centro Histórico</w:t>
      </w:r>
      <w:r w:rsidR="00AF28D3" w:rsidRPr="00AF28D3">
        <w:rPr>
          <w:rFonts w:ascii="Century Gothic" w:hAnsi="Century Gothic"/>
          <w:b w:val="0"/>
          <w:color w:val="auto"/>
          <w:sz w:val="22"/>
          <w:szCs w:val="22"/>
          <w:lang w:val="es-ES"/>
        </w:rPr>
        <w:t xml:space="preserve">. A partir del año 2004, el Municipio </w:t>
      </w:r>
      <w:r w:rsidRPr="00AF28D3">
        <w:rPr>
          <w:rFonts w:ascii="Century Gothic" w:hAnsi="Century Gothic"/>
          <w:b w:val="0"/>
          <w:color w:val="auto"/>
          <w:sz w:val="22"/>
          <w:szCs w:val="22"/>
          <w:lang w:val="es-ES"/>
        </w:rPr>
        <w:t>adoptó para la Corporación Autónoma Regional de Nariño transferir el 15</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del impuesto, quedando así el 75</w:t>
      </w:r>
      <w:r w:rsidR="004F5BDD" w:rsidRPr="00AF28D3">
        <w:rPr>
          <w:rFonts w:ascii="Century Gothic" w:hAnsi="Century Gothic"/>
          <w:b w:val="0"/>
          <w:color w:val="auto"/>
          <w:sz w:val="22"/>
          <w:szCs w:val="22"/>
          <w:lang w:val="es-ES"/>
        </w:rPr>
        <w:t xml:space="preserve"> por ciento</w:t>
      </w:r>
      <w:r w:rsidR="00AF28D3" w:rsidRPr="00AF28D3">
        <w:rPr>
          <w:rFonts w:ascii="Century Gothic" w:hAnsi="Century Gothic"/>
          <w:b w:val="0"/>
          <w:color w:val="auto"/>
          <w:sz w:val="22"/>
          <w:szCs w:val="22"/>
          <w:lang w:val="es-ES"/>
        </w:rPr>
        <w:t xml:space="preserve"> del recaudo de é</w:t>
      </w:r>
      <w:r w:rsidRPr="00AF28D3">
        <w:rPr>
          <w:rFonts w:ascii="Century Gothic" w:hAnsi="Century Gothic"/>
          <w:b w:val="0"/>
          <w:color w:val="auto"/>
          <w:sz w:val="22"/>
          <w:szCs w:val="22"/>
          <w:lang w:val="es-ES"/>
        </w:rPr>
        <w:t>ste</w:t>
      </w:r>
      <w:r w:rsidR="00AF28D3" w:rsidRPr="00AF28D3">
        <w:rPr>
          <w:rFonts w:ascii="Century Gothic" w:hAnsi="Century Gothic"/>
          <w:b w:val="0"/>
          <w:color w:val="auto"/>
          <w:sz w:val="22"/>
          <w:szCs w:val="22"/>
          <w:lang w:val="es-ES"/>
        </w:rPr>
        <w:t>,</w:t>
      </w:r>
      <w:r w:rsidRPr="00AF28D3">
        <w:rPr>
          <w:rFonts w:ascii="Century Gothic" w:hAnsi="Century Gothic"/>
          <w:b w:val="0"/>
          <w:color w:val="auto"/>
          <w:sz w:val="22"/>
          <w:szCs w:val="22"/>
          <w:lang w:val="es-ES"/>
        </w:rPr>
        <w:t xml:space="preserve"> como ingresos corrientes de libre destinación.</w:t>
      </w:r>
    </w:p>
    <w:p w14:paraId="4E383422" w14:textId="35310BD2" w:rsidR="00142385" w:rsidRPr="00AF28D3" w:rsidRDefault="00142385" w:rsidP="00142385">
      <w:pPr>
        <w:pStyle w:val="Epgrafe"/>
        <w:spacing w:line="276" w:lineRule="auto"/>
        <w:jc w:val="both"/>
        <w:rPr>
          <w:rFonts w:ascii="Century Gothic" w:hAnsi="Century Gothic"/>
          <w:b w:val="0"/>
          <w:color w:val="auto"/>
          <w:sz w:val="22"/>
          <w:szCs w:val="22"/>
          <w:lang w:val="es-ES"/>
        </w:rPr>
      </w:pPr>
      <w:r w:rsidRPr="00AF28D3">
        <w:rPr>
          <w:rFonts w:ascii="Century Gothic" w:hAnsi="Century Gothic"/>
          <w:b w:val="0"/>
          <w:color w:val="auto"/>
          <w:sz w:val="22"/>
          <w:szCs w:val="22"/>
          <w:lang w:val="es-ES"/>
        </w:rPr>
        <w:t xml:space="preserve">El </w:t>
      </w:r>
      <w:r w:rsidR="00AF28D3" w:rsidRPr="00AF28D3">
        <w:rPr>
          <w:rFonts w:ascii="Century Gothic" w:hAnsi="Century Gothic"/>
          <w:b w:val="0"/>
          <w:color w:val="auto"/>
          <w:sz w:val="22"/>
          <w:szCs w:val="22"/>
          <w:lang w:val="es-ES"/>
        </w:rPr>
        <w:t xml:space="preserve">impuesto </w:t>
      </w:r>
      <w:r w:rsidRPr="00AF28D3">
        <w:rPr>
          <w:rFonts w:ascii="Century Gothic" w:hAnsi="Century Gothic"/>
          <w:b w:val="0"/>
          <w:color w:val="auto"/>
          <w:sz w:val="22"/>
          <w:szCs w:val="22"/>
          <w:lang w:val="es-ES"/>
        </w:rPr>
        <w:t xml:space="preserve">de industria y comercio (vigencia actual y anterior) </w:t>
      </w:r>
      <w:r w:rsidR="00AF28D3" w:rsidRPr="00AF28D3">
        <w:rPr>
          <w:rFonts w:ascii="Century Gothic" w:hAnsi="Century Gothic"/>
          <w:b w:val="0"/>
          <w:color w:val="auto"/>
          <w:sz w:val="22"/>
          <w:szCs w:val="22"/>
          <w:lang w:val="es-ES"/>
        </w:rPr>
        <w:t xml:space="preserve">representa la mayor participación, con el </w:t>
      </w:r>
      <w:r w:rsidRPr="00AF28D3">
        <w:rPr>
          <w:rFonts w:ascii="Century Gothic" w:hAnsi="Century Gothic"/>
          <w:b w:val="0"/>
          <w:color w:val="auto"/>
          <w:sz w:val="22"/>
          <w:szCs w:val="22"/>
          <w:lang w:val="es-ES"/>
        </w:rPr>
        <w:t>40</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en los ingresos corrientes de libre destinación, de este impuesto</w:t>
      </w:r>
      <w:r w:rsidR="00AF28D3" w:rsidRPr="00AF28D3">
        <w:rPr>
          <w:rFonts w:ascii="Century Gothic" w:hAnsi="Century Gothic"/>
          <w:b w:val="0"/>
          <w:color w:val="auto"/>
          <w:sz w:val="22"/>
          <w:szCs w:val="22"/>
          <w:lang w:val="es-ES"/>
        </w:rPr>
        <w:t>,</w:t>
      </w:r>
      <w:r w:rsidRPr="00AF28D3">
        <w:rPr>
          <w:rFonts w:ascii="Century Gothic" w:hAnsi="Century Gothic"/>
          <w:b w:val="0"/>
          <w:color w:val="auto"/>
          <w:sz w:val="22"/>
          <w:szCs w:val="22"/>
          <w:lang w:val="es-ES"/>
        </w:rPr>
        <w:t xml:space="preserve"> el 4</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se destina para el Fondo Municipal </w:t>
      </w:r>
      <w:r w:rsidRPr="00AF28D3">
        <w:rPr>
          <w:rFonts w:ascii="Century Gothic" w:hAnsi="Century Gothic"/>
          <w:b w:val="0"/>
          <w:color w:val="auto"/>
          <w:sz w:val="22"/>
          <w:szCs w:val="22"/>
          <w:lang w:val="es-ES"/>
        </w:rPr>
        <w:lastRenderedPageBreak/>
        <w:t>de Gestión del Riesgo de Desastres, quedando así el 96</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de libre destinación.</w:t>
      </w:r>
    </w:p>
    <w:p w14:paraId="69B5FE2F" w14:textId="589133B2" w:rsidR="002B000B" w:rsidRPr="00AF28D3" w:rsidRDefault="00142385" w:rsidP="00142385">
      <w:pPr>
        <w:pStyle w:val="Epgrafe"/>
        <w:spacing w:line="276" w:lineRule="auto"/>
        <w:jc w:val="both"/>
        <w:rPr>
          <w:rFonts w:ascii="Century Gothic" w:hAnsi="Century Gothic"/>
          <w:b w:val="0"/>
          <w:color w:val="auto"/>
          <w:sz w:val="22"/>
          <w:szCs w:val="22"/>
          <w:lang w:val="es-ES"/>
        </w:rPr>
      </w:pPr>
      <w:r w:rsidRPr="00AF28D3">
        <w:rPr>
          <w:rFonts w:ascii="Century Gothic" w:hAnsi="Century Gothic"/>
          <w:b w:val="0"/>
          <w:color w:val="auto"/>
          <w:sz w:val="22"/>
          <w:szCs w:val="22"/>
          <w:lang w:val="es-ES"/>
        </w:rPr>
        <w:t>Otro de los tributos que tiene destinación específica es la sobretasa a la gasolina, el 15</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se destina a vías rurales y el 10</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para el Fondo de Valorización, el 75</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son de libre destinación, estos ingresos participan con el 6</w:t>
      </w:r>
      <w:r w:rsidR="004F5BDD" w:rsidRPr="00AF28D3">
        <w:rPr>
          <w:rFonts w:ascii="Century Gothic" w:hAnsi="Century Gothic"/>
          <w:b w:val="0"/>
          <w:color w:val="auto"/>
          <w:sz w:val="22"/>
          <w:szCs w:val="22"/>
          <w:lang w:val="es-ES"/>
        </w:rPr>
        <w:t xml:space="preserve"> por ciento</w:t>
      </w:r>
      <w:r w:rsidRPr="00AF28D3">
        <w:rPr>
          <w:rFonts w:ascii="Century Gothic" w:hAnsi="Century Gothic"/>
          <w:b w:val="0"/>
          <w:color w:val="auto"/>
          <w:sz w:val="22"/>
          <w:szCs w:val="22"/>
          <w:lang w:val="es-ES"/>
        </w:rPr>
        <w:t xml:space="preserve"> en los ingresos corrientes de libre destinación.</w:t>
      </w:r>
    </w:p>
    <w:p w14:paraId="6123C10C" w14:textId="77777777" w:rsidR="00384866" w:rsidRPr="00AF28D3" w:rsidRDefault="00384866" w:rsidP="00384866">
      <w:pPr>
        <w:pStyle w:val="Epgrafe"/>
        <w:spacing w:after="0" w:line="276" w:lineRule="auto"/>
        <w:jc w:val="center"/>
        <w:rPr>
          <w:rFonts w:ascii="Century Gothic" w:hAnsi="Century Gothic"/>
          <w:b w:val="0"/>
          <w:color w:val="auto"/>
          <w:sz w:val="22"/>
          <w:szCs w:val="22"/>
          <w:lang w:val="es-ES"/>
        </w:rPr>
      </w:pPr>
      <w:bookmarkStart w:id="77" w:name="_Toc532570528"/>
      <w:r w:rsidRPr="00AF28D3">
        <w:rPr>
          <w:rFonts w:ascii="Century Gothic" w:hAnsi="Century Gothic"/>
          <w:b w:val="0"/>
          <w:color w:val="auto"/>
          <w:sz w:val="22"/>
          <w:szCs w:val="22"/>
          <w:lang w:val="es-ES"/>
        </w:rPr>
        <w:t xml:space="preserve">Tabla </w:t>
      </w:r>
      <w:r w:rsidRPr="00AF28D3">
        <w:rPr>
          <w:rFonts w:ascii="Century Gothic" w:hAnsi="Century Gothic"/>
          <w:b w:val="0"/>
          <w:color w:val="auto"/>
          <w:sz w:val="22"/>
          <w:szCs w:val="22"/>
          <w:lang w:val="es-ES"/>
        </w:rPr>
        <w:fldChar w:fldCharType="begin"/>
      </w:r>
      <w:r w:rsidRPr="00AF28D3">
        <w:rPr>
          <w:rFonts w:ascii="Century Gothic" w:hAnsi="Century Gothic"/>
          <w:b w:val="0"/>
          <w:color w:val="auto"/>
          <w:sz w:val="22"/>
          <w:szCs w:val="22"/>
          <w:lang w:val="es-ES"/>
        </w:rPr>
        <w:instrText xml:space="preserve"> SEQ Tabla \* ARABIC </w:instrText>
      </w:r>
      <w:r w:rsidRPr="00AF28D3">
        <w:rPr>
          <w:rFonts w:ascii="Century Gothic" w:hAnsi="Century Gothic"/>
          <w:b w:val="0"/>
          <w:color w:val="auto"/>
          <w:sz w:val="22"/>
          <w:szCs w:val="22"/>
          <w:lang w:val="es-ES"/>
        </w:rPr>
        <w:fldChar w:fldCharType="separate"/>
      </w:r>
      <w:r w:rsidR="00501551">
        <w:rPr>
          <w:rFonts w:ascii="Century Gothic" w:hAnsi="Century Gothic"/>
          <w:b w:val="0"/>
          <w:noProof/>
          <w:color w:val="auto"/>
          <w:sz w:val="22"/>
          <w:szCs w:val="22"/>
          <w:lang w:val="es-ES"/>
        </w:rPr>
        <w:t>37</w:t>
      </w:r>
      <w:r w:rsidRPr="00AF28D3">
        <w:rPr>
          <w:rFonts w:ascii="Century Gothic" w:hAnsi="Century Gothic"/>
          <w:b w:val="0"/>
          <w:color w:val="auto"/>
          <w:sz w:val="22"/>
          <w:szCs w:val="22"/>
          <w:lang w:val="es-ES"/>
        </w:rPr>
        <w:fldChar w:fldCharType="end"/>
      </w:r>
      <w:r w:rsidRPr="00AF28D3">
        <w:rPr>
          <w:rFonts w:ascii="Century Gothic" w:hAnsi="Century Gothic"/>
          <w:b w:val="0"/>
          <w:color w:val="auto"/>
          <w:sz w:val="22"/>
          <w:szCs w:val="22"/>
          <w:lang w:val="es-ES"/>
        </w:rPr>
        <w:t>. Proyección ingresos corrientes de libre destinación 2019 – 2029 (millones de pesos)</w:t>
      </w:r>
      <w:bookmarkEnd w:id="77"/>
    </w:p>
    <w:tbl>
      <w:tblPr>
        <w:tblW w:w="5000" w:type="pct"/>
        <w:tblCellMar>
          <w:left w:w="70" w:type="dxa"/>
          <w:right w:w="70" w:type="dxa"/>
        </w:tblCellMar>
        <w:tblLook w:val="04A0" w:firstRow="1" w:lastRow="0" w:firstColumn="1" w:lastColumn="0" w:noHBand="0" w:noVBand="1"/>
      </w:tblPr>
      <w:tblGrid>
        <w:gridCol w:w="4323"/>
        <w:gridCol w:w="425"/>
        <w:gridCol w:w="424"/>
        <w:gridCol w:w="426"/>
        <w:gridCol w:w="426"/>
        <w:gridCol w:w="424"/>
        <w:gridCol w:w="426"/>
        <w:gridCol w:w="426"/>
        <w:gridCol w:w="424"/>
        <w:gridCol w:w="426"/>
        <w:gridCol w:w="429"/>
        <w:gridCol w:w="399"/>
      </w:tblGrid>
      <w:tr w:rsidR="00384866" w:rsidRPr="00AF28D3" w14:paraId="71C98362" w14:textId="77777777" w:rsidTr="00384866">
        <w:trPr>
          <w:cantSplit/>
          <w:trHeight w:val="711"/>
          <w:tblHeader/>
        </w:trPr>
        <w:tc>
          <w:tcPr>
            <w:tcW w:w="2408"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33B1D555" w14:textId="77777777" w:rsidR="00384866" w:rsidRPr="002E7971" w:rsidRDefault="00384866" w:rsidP="00384866">
            <w:pPr>
              <w:spacing w:after="0" w:line="240" w:lineRule="auto"/>
              <w:jc w:val="center"/>
              <w:rPr>
                <w:rFonts w:ascii="Century Gothic" w:eastAsia="Times New Roman" w:hAnsi="Century Gothic" w:cs="Times New Roman"/>
                <w:b/>
                <w:bCs/>
                <w:color w:val="000000"/>
                <w:sz w:val="18"/>
                <w:szCs w:val="18"/>
                <w:lang w:val="es-ES" w:eastAsia="es-ES"/>
              </w:rPr>
            </w:pPr>
            <w:r w:rsidRPr="002E7971">
              <w:rPr>
                <w:rFonts w:ascii="Century Gothic" w:eastAsia="Times New Roman" w:hAnsi="Century Gothic" w:cs="Times New Roman"/>
                <w:b/>
                <w:bCs/>
                <w:color w:val="000000"/>
                <w:sz w:val="18"/>
                <w:szCs w:val="18"/>
                <w:lang w:val="es-ES" w:eastAsia="es-ES"/>
              </w:rPr>
              <w:t>Detalle</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4851EDE7"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2019</w:t>
            </w:r>
          </w:p>
        </w:tc>
        <w:tc>
          <w:tcPr>
            <w:tcW w:w="236"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0A209076"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2020</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1E52B4AB"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2021</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65E9C7A1"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2022</w:t>
            </w:r>
          </w:p>
        </w:tc>
        <w:tc>
          <w:tcPr>
            <w:tcW w:w="236"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549C5E94"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2023</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0DE52D9C"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2024</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2C1364FB"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2025</w:t>
            </w:r>
          </w:p>
        </w:tc>
        <w:tc>
          <w:tcPr>
            <w:tcW w:w="236"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7F15CA92"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2026</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020937A2"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2027</w:t>
            </w:r>
          </w:p>
        </w:tc>
        <w:tc>
          <w:tcPr>
            <w:tcW w:w="239"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36A7E73E"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2028</w:t>
            </w:r>
          </w:p>
        </w:tc>
        <w:tc>
          <w:tcPr>
            <w:tcW w:w="222"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625F0180" w14:textId="77777777" w:rsidR="00384866" w:rsidRPr="00AF28D3" w:rsidRDefault="00384866" w:rsidP="00384866">
            <w:pPr>
              <w:spacing w:after="0" w:line="240" w:lineRule="auto"/>
              <w:ind w:left="113" w:right="113"/>
              <w:jc w:val="center"/>
              <w:rPr>
                <w:rFonts w:ascii="Century Gothic" w:eastAsia="Times New Roman" w:hAnsi="Century Gothic" w:cs="Times New Roman"/>
                <w:b/>
                <w:bCs/>
                <w:color w:val="000000"/>
                <w:sz w:val="18"/>
                <w:szCs w:val="18"/>
                <w:lang w:val="es-ES" w:eastAsia="es-ES"/>
              </w:rPr>
            </w:pPr>
            <w:r w:rsidRPr="00AF28D3">
              <w:rPr>
                <w:rFonts w:ascii="Century Gothic" w:eastAsia="Times New Roman" w:hAnsi="Century Gothic" w:cs="Times New Roman"/>
                <w:b/>
                <w:bCs/>
                <w:color w:val="000000"/>
                <w:sz w:val="18"/>
                <w:szCs w:val="18"/>
                <w:lang w:val="es-ES" w:eastAsia="es-ES"/>
              </w:rPr>
              <w:t>2029</w:t>
            </w:r>
          </w:p>
        </w:tc>
      </w:tr>
      <w:tr w:rsidR="00384866" w:rsidRPr="00AF28D3" w14:paraId="540637D9" w14:textId="77777777" w:rsidTr="00341016">
        <w:trPr>
          <w:cantSplit/>
          <w:trHeight w:val="794"/>
        </w:trPr>
        <w:tc>
          <w:tcPr>
            <w:tcW w:w="2408"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5AC2386B"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Impuesto predial unificado vigencia actual  75%</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67FB3769"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34.944</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2B89AF7B"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38.089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C1DD095"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39.231</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7ED7C83B"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40.408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3729730C"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41.621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4C2F77B0"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42.869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40F7D18"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44.155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713ED99B"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45.480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132F11FD"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46.844 </w:t>
            </w:r>
          </w:p>
        </w:tc>
        <w:tc>
          <w:tcPr>
            <w:tcW w:w="239" w:type="pct"/>
            <w:tcBorders>
              <w:top w:val="nil"/>
              <w:left w:val="nil"/>
              <w:bottom w:val="single" w:sz="4" w:space="0" w:color="auto"/>
              <w:right w:val="single" w:sz="4" w:space="0" w:color="auto"/>
            </w:tcBorders>
            <w:shd w:val="clear" w:color="auto" w:fill="auto"/>
            <w:noWrap/>
            <w:textDirection w:val="btLr"/>
            <w:vAlign w:val="center"/>
            <w:hideMark/>
          </w:tcPr>
          <w:p w14:paraId="0FD1C1FF"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48.250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14:paraId="7D0C181E"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49.697 </w:t>
            </w:r>
          </w:p>
        </w:tc>
      </w:tr>
      <w:tr w:rsidR="00384866" w:rsidRPr="00AF28D3" w14:paraId="1183067F" w14:textId="77777777" w:rsidTr="00384866">
        <w:trPr>
          <w:cantSplit/>
          <w:trHeight w:val="837"/>
        </w:trPr>
        <w:tc>
          <w:tcPr>
            <w:tcW w:w="2408"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0D9970E7"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impuesto predial unificado vigencias anteriores 75%</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28D0510"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4.477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07082B08"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4.879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F677AD1"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5.319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1FDF8483"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5.797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5CEB4E3C"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6.319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4A2539ED"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6.888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112C02AE"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7.508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606F8EEC"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8.183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32CAD90A"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8.920 </w:t>
            </w:r>
          </w:p>
        </w:tc>
        <w:tc>
          <w:tcPr>
            <w:tcW w:w="239" w:type="pct"/>
            <w:tcBorders>
              <w:top w:val="nil"/>
              <w:left w:val="nil"/>
              <w:bottom w:val="single" w:sz="4" w:space="0" w:color="auto"/>
              <w:right w:val="single" w:sz="4" w:space="0" w:color="auto"/>
            </w:tcBorders>
            <w:shd w:val="clear" w:color="auto" w:fill="auto"/>
            <w:noWrap/>
            <w:textDirection w:val="btLr"/>
            <w:vAlign w:val="center"/>
            <w:hideMark/>
          </w:tcPr>
          <w:p w14:paraId="2AF51E4A"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9.723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14:paraId="1897C591"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10.598 </w:t>
            </w:r>
          </w:p>
        </w:tc>
      </w:tr>
      <w:tr w:rsidR="00384866" w:rsidRPr="00AF28D3" w14:paraId="699F71D6" w14:textId="77777777" w:rsidTr="00341016">
        <w:trPr>
          <w:cantSplit/>
          <w:trHeight w:val="907"/>
        </w:trPr>
        <w:tc>
          <w:tcPr>
            <w:tcW w:w="2408"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6A9D002A"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Impuesto de industria y comercio vigencia actual 96%</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241C36C8"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40.726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696E633B"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45.613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4AE1C0B3"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51.087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1AA6CF1"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57.217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12223232"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64.083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44EC5712"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71.773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39D51C24"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80.386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3FA5594F"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90.033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4560096F"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100.837 </w:t>
            </w:r>
          </w:p>
        </w:tc>
        <w:tc>
          <w:tcPr>
            <w:tcW w:w="239" w:type="pct"/>
            <w:tcBorders>
              <w:top w:val="nil"/>
              <w:left w:val="nil"/>
              <w:bottom w:val="single" w:sz="4" w:space="0" w:color="auto"/>
              <w:right w:val="single" w:sz="4" w:space="0" w:color="auto"/>
            </w:tcBorders>
            <w:shd w:val="clear" w:color="auto" w:fill="auto"/>
            <w:noWrap/>
            <w:textDirection w:val="btLr"/>
            <w:vAlign w:val="center"/>
            <w:hideMark/>
          </w:tcPr>
          <w:p w14:paraId="1056CA15"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112.937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14:paraId="6C934A8A"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126.489 </w:t>
            </w:r>
          </w:p>
        </w:tc>
      </w:tr>
      <w:tr w:rsidR="00384866" w:rsidRPr="00F55BF9" w14:paraId="4432044C" w14:textId="77777777" w:rsidTr="00384866">
        <w:trPr>
          <w:cantSplit/>
          <w:trHeight w:val="699"/>
        </w:trPr>
        <w:tc>
          <w:tcPr>
            <w:tcW w:w="2408"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24DF198D"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Impuesto de industria y comercio vigencias anteriores 96%</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1DE404E6"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339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4F9CBAC1"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379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4AB557BA"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425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29F35DB4"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476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785E81C7"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533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CA5A2C2"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597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5961C2DE"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669 </w:t>
            </w:r>
          </w:p>
        </w:tc>
        <w:tc>
          <w:tcPr>
            <w:tcW w:w="236" w:type="pct"/>
            <w:tcBorders>
              <w:top w:val="nil"/>
              <w:left w:val="nil"/>
              <w:bottom w:val="single" w:sz="4" w:space="0" w:color="auto"/>
              <w:right w:val="single" w:sz="4" w:space="0" w:color="auto"/>
            </w:tcBorders>
            <w:shd w:val="clear" w:color="auto" w:fill="auto"/>
            <w:noWrap/>
            <w:textDirection w:val="btLr"/>
            <w:vAlign w:val="center"/>
            <w:hideMark/>
          </w:tcPr>
          <w:p w14:paraId="167DA90D"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749 </w:t>
            </w:r>
          </w:p>
        </w:tc>
        <w:tc>
          <w:tcPr>
            <w:tcW w:w="237" w:type="pct"/>
            <w:tcBorders>
              <w:top w:val="nil"/>
              <w:left w:val="nil"/>
              <w:bottom w:val="single" w:sz="4" w:space="0" w:color="auto"/>
              <w:right w:val="single" w:sz="4" w:space="0" w:color="auto"/>
            </w:tcBorders>
            <w:shd w:val="clear" w:color="auto" w:fill="auto"/>
            <w:noWrap/>
            <w:textDirection w:val="btLr"/>
            <w:vAlign w:val="center"/>
            <w:hideMark/>
          </w:tcPr>
          <w:p w14:paraId="6DCB0880"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839 </w:t>
            </w:r>
          </w:p>
        </w:tc>
        <w:tc>
          <w:tcPr>
            <w:tcW w:w="239" w:type="pct"/>
            <w:tcBorders>
              <w:top w:val="nil"/>
              <w:left w:val="nil"/>
              <w:bottom w:val="single" w:sz="4" w:space="0" w:color="auto"/>
              <w:right w:val="single" w:sz="4" w:space="0" w:color="auto"/>
            </w:tcBorders>
            <w:shd w:val="clear" w:color="auto" w:fill="auto"/>
            <w:noWrap/>
            <w:textDirection w:val="btLr"/>
            <w:vAlign w:val="center"/>
            <w:hideMark/>
          </w:tcPr>
          <w:p w14:paraId="2111F9DB" w14:textId="77777777" w:rsidR="00384866" w:rsidRPr="00AF28D3"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 xml:space="preserve">940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14:paraId="49AB1AD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AF28D3">
              <w:rPr>
                <w:rFonts w:ascii="Century Gothic" w:eastAsia="Times New Roman" w:hAnsi="Century Gothic" w:cs="Times New Roman"/>
                <w:color w:val="000000"/>
                <w:sz w:val="18"/>
                <w:szCs w:val="18"/>
                <w:lang w:val="es-ES" w:eastAsia="es-ES"/>
              </w:rPr>
              <w:t>1.052</w:t>
            </w:r>
            <w:r w:rsidRPr="00F55BF9">
              <w:rPr>
                <w:rFonts w:ascii="Century Gothic" w:eastAsia="Times New Roman" w:hAnsi="Century Gothic" w:cs="Times New Roman"/>
                <w:color w:val="000000"/>
                <w:sz w:val="18"/>
                <w:szCs w:val="18"/>
                <w:lang w:val="es-ES" w:eastAsia="es-ES"/>
              </w:rPr>
              <w:t xml:space="preserve"> </w:t>
            </w:r>
          </w:p>
        </w:tc>
      </w:tr>
      <w:tr w:rsidR="00384866" w:rsidRPr="00F55BF9" w14:paraId="369C1B87" w14:textId="77777777" w:rsidTr="00341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4"/>
        </w:trPr>
        <w:tc>
          <w:tcPr>
            <w:tcW w:w="2408" w:type="pct"/>
            <w:shd w:val="clear" w:color="auto" w:fill="C2D69B" w:themeFill="accent3" w:themeFillTint="99"/>
            <w:vAlign w:val="center"/>
            <w:hideMark/>
          </w:tcPr>
          <w:p w14:paraId="4B4E3965"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Avisos, tableros vigencias anteriores 100%</w:t>
            </w:r>
          </w:p>
        </w:tc>
        <w:tc>
          <w:tcPr>
            <w:tcW w:w="237" w:type="pct"/>
            <w:shd w:val="clear" w:color="auto" w:fill="auto"/>
            <w:noWrap/>
            <w:textDirection w:val="btLr"/>
            <w:vAlign w:val="center"/>
            <w:hideMark/>
          </w:tcPr>
          <w:p w14:paraId="12FCB3C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4.530 </w:t>
            </w:r>
          </w:p>
        </w:tc>
        <w:tc>
          <w:tcPr>
            <w:tcW w:w="236" w:type="pct"/>
            <w:shd w:val="clear" w:color="auto" w:fill="auto"/>
            <w:noWrap/>
            <w:textDirection w:val="btLr"/>
            <w:vAlign w:val="center"/>
            <w:hideMark/>
          </w:tcPr>
          <w:p w14:paraId="0389BC3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5.074 </w:t>
            </w:r>
          </w:p>
        </w:tc>
        <w:tc>
          <w:tcPr>
            <w:tcW w:w="237" w:type="pct"/>
            <w:shd w:val="clear" w:color="auto" w:fill="auto"/>
            <w:noWrap/>
            <w:textDirection w:val="btLr"/>
            <w:vAlign w:val="center"/>
            <w:hideMark/>
          </w:tcPr>
          <w:p w14:paraId="5605C16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5.683 </w:t>
            </w:r>
          </w:p>
        </w:tc>
        <w:tc>
          <w:tcPr>
            <w:tcW w:w="237" w:type="pct"/>
            <w:shd w:val="clear" w:color="auto" w:fill="auto"/>
            <w:noWrap/>
            <w:textDirection w:val="btLr"/>
            <w:vAlign w:val="center"/>
            <w:hideMark/>
          </w:tcPr>
          <w:p w14:paraId="35D8595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6.365 </w:t>
            </w:r>
          </w:p>
        </w:tc>
        <w:tc>
          <w:tcPr>
            <w:tcW w:w="236" w:type="pct"/>
            <w:shd w:val="clear" w:color="auto" w:fill="auto"/>
            <w:noWrap/>
            <w:textDirection w:val="btLr"/>
            <w:vAlign w:val="center"/>
            <w:hideMark/>
          </w:tcPr>
          <w:p w14:paraId="47E833C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7.129 </w:t>
            </w:r>
          </w:p>
        </w:tc>
        <w:tc>
          <w:tcPr>
            <w:tcW w:w="237" w:type="pct"/>
            <w:shd w:val="clear" w:color="auto" w:fill="auto"/>
            <w:noWrap/>
            <w:textDirection w:val="btLr"/>
            <w:vAlign w:val="center"/>
            <w:hideMark/>
          </w:tcPr>
          <w:p w14:paraId="3218071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7.984 </w:t>
            </w:r>
          </w:p>
        </w:tc>
        <w:tc>
          <w:tcPr>
            <w:tcW w:w="237" w:type="pct"/>
            <w:shd w:val="clear" w:color="auto" w:fill="auto"/>
            <w:noWrap/>
            <w:textDirection w:val="btLr"/>
            <w:vAlign w:val="center"/>
            <w:hideMark/>
          </w:tcPr>
          <w:p w14:paraId="5ED5632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8.942 </w:t>
            </w:r>
          </w:p>
        </w:tc>
        <w:tc>
          <w:tcPr>
            <w:tcW w:w="236" w:type="pct"/>
            <w:shd w:val="clear" w:color="auto" w:fill="auto"/>
            <w:noWrap/>
            <w:textDirection w:val="btLr"/>
            <w:vAlign w:val="center"/>
            <w:hideMark/>
          </w:tcPr>
          <w:p w14:paraId="3B49F94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10.015 </w:t>
            </w:r>
          </w:p>
        </w:tc>
        <w:tc>
          <w:tcPr>
            <w:tcW w:w="237" w:type="pct"/>
            <w:shd w:val="clear" w:color="auto" w:fill="auto"/>
            <w:noWrap/>
            <w:textDirection w:val="btLr"/>
            <w:vAlign w:val="center"/>
            <w:hideMark/>
          </w:tcPr>
          <w:p w14:paraId="1FEC18E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11.217 </w:t>
            </w:r>
          </w:p>
        </w:tc>
        <w:tc>
          <w:tcPr>
            <w:tcW w:w="239" w:type="pct"/>
            <w:shd w:val="clear" w:color="auto" w:fill="auto"/>
            <w:noWrap/>
            <w:textDirection w:val="btLr"/>
            <w:vAlign w:val="center"/>
            <w:hideMark/>
          </w:tcPr>
          <w:p w14:paraId="3F83BA5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12.563 </w:t>
            </w:r>
          </w:p>
        </w:tc>
        <w:tc>
          <w:tcPr>
            <w:tcW w:w="222" w:type="pct"/>
            <w:shd w:val="clear" w:color="auto" w:fill="auto"/>
            <w:noWrap/>
            <w:textDirection w:val="btLr"/>
            <w:vAlign w:val="center"/>
            <w:hideMark/>
          </w:tcPr>
          <w:p w14:paraId="3B90A1C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14.071 </w:t>
            </w:r>
          </w:p>
        </w:tc>
      </w:tr>
      <w:tr w:rsidR="00384866" w:rsidRPr="00F55BF9" w14:paraId="1D1C3B13" w14:textId="77777777" w:rsidTr="00341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408" w:type="pct"/>
            <w:shd w:val="clear" w:color="auto" w:fill="C2D69B" w:themeFill="accent3" w:themeFillTint="99"/>
            <w:vAlign w:val="center"/>
            <w:hideMark/>
          </w:tcPr>
          <w:p w14:paraId="1DD8CCA8"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Avisos, tableros vigencias actual 100%</w:t>
            </w:r>
          </w:p>
        </w:tc>
        <w:tc>
          <w:tcPr>
            <w:tcW w:w="237" w:type="pct"/>
            <w:shd w:val="clear" w:color="auto" w:fill="auto"/>
            <w:noWrap/>
            <w:textDirection w:val="btLr"/>
            <w:vAlign w:val="center"/>
            <w:hideMark/>
          </w:tcPr>
          <w:p w14:paraId="21300ED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47 </w:t>
            </w:r>
          </w:p>
        </w:tc>
        <w:tc>
          <w:tcPr>
            <w:tcW w:w="236" w:type="pct"/>
            <w:shd w:val="clear" w:color="auto" w:fill="auto"/>
            <w:noWrap/>
            <w:textDirection w:val="btLr"/>
            <w:vAlign w:val="center"/>
            <w:hideMark/>
          </w:tcPr>
          <w:p w14:paraId="4BB7193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53 </w:t>
            </w:r>
          </w:p>
        </w:tc>
        <w:tc>
          <w:tcPr>
            <w:tcW w:w="237" w:type="pct"/>
            <w:shd w:val="clear" w:color="auto" w:fill="auto"/>
            <w:noWrap/>
            <w:textDirection w:val="btLr"/>
            <w:vAlign w:val="center"/>
            <w:hideMark/>
          </w:tcPr>
          <w:p w14:paraId="4A4F202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59 </w:t>
            </w:r>
          </w:p>
        </w:tc>
        <w:tc>
          <w:tcPr>
            <w:tcW w:w="237" w:type="pct"/>
            <w:shd w:val="clear" w:color="auto" w:fill="auto"/>
            <w:noWrap/>
            <w:textDirection w:val="btLr"/>
            <w:vAlign w:val="center"/>
            <w:hideMark/>
          </w:tcPr>
          <w:p w14:paraId="58917BD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66 </w:t>
            </w:r>
          </w:p>
        </w:tc>
        <w:tc>
          <w:tcPr>
            <w:tcW w:w="236" w:type="pct"/>
            <w:shd w:val="clear" w:color="auto" w:fill="auto"/>
            <w:noWrap/>
            <w:textDirection w:val="btLr"/>
            <w:vAlign w:val="center"/>
            <w:hideMark/>
          </w:tcPr>
          <w:p w14:paraId="6047E03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74 </w:t>
            </w:r>
          </w:p>
        </w:tc>
        <w:tc>
          <w:tcPr>
            <w:tcW w:w="237" w:type="pct"/>
            <w:shd w:val="clear" w:color="auto" w:fill="auto"/>
            <w:noWrap/>
            <w:textDirection w:val="btLr"/>
            <w:vAlign w:val="center"/>
            <w:hideMark/>
          </w:tcPr>
          <w:p w14:paraId="4072396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83 </w:t>
            </w:r>
          </w:p>
        </w:tc>
        <w:tc>
          <w:tcPr>
            <w:tcW w:w="237" w:type="pct"/>
            <w:shd w:val="clear" w:color="auto" w:fill="auto"/>
            <w:noWrap/>
            <w:textDirection w:val="btLr"/>
            <w:vAlign w:val="center"/>
            <w:hideMark/>
          </w:tcPr>
          <w:p w14:paraId="791236C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93 </w:t>
            </w:r>
          </w:p>
        </w:tc>
        <w:tc>
          <w:tcPr>
            <w:tcW w:w="236" w:type="pct"/>
            <w:shd w:val="clear" w:color="auto" w:fill="auto"/>
            <w:noWrap/>
            <w:textDirection w:val="btLr"/>
            <w:vAlign w:val="center"/>
            <w:hideMark/>
          </w:tcPr>
          <w:p w14:paraId="4ACC803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104 </w:t>
            </w:r>
          </w:p>
        </w:tc>
        <w:tc>
          <w:tcPr>
            <w:tcW w:w="237" w:type="pct"/>
            <w:shd w:val="clear" w:color="auto" w:fill="auto"/>
            <w:noWrap/>
            <w:textDirection w:val="btLr"/>
            <w:vAlign w:val="center"/>
            <w:hideMark/>
          </w:tcPr>
          <w:p w14:paraId="22602EB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116 </w:t>
            </w:r>
          </w:p>
        </w:tc>
        <w:tc>
          <w:tcPr>
            <w:tcW w:w="239" w:type="pct"/>
            <w:shd w:val="clear" w:color="auto" w:fill="auto"/>
            <w:noWrap/>
            <w:textDirection w:val="btLr"/>
            <w:vAlign w:val="center"/>
            <w:hideMark/>
          </w:tcPr>
          <w:p w14:paraId="5EED607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130 </w:t>
            </w:r>
          </w:p>
        </w:tc>
        <w:tc>
          <w:tcPr>
            <w:tcW w:w="222" w:type="pct"/>
            <w:shd w:val="clear" w:color="auto" w:fill="auto"/>
            <w:noWrap/>
            <w:textDirection w:val="btLr"/>
            <w:vAlign w:val="center"/>
            <w:hideMark/>
          </w:tcPr>
          <w:p w14:paraId="539BDA8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146 </w:t>
            </w:r>
          </w:p>
        </w:tc>
      </w:tr>
      <w:tr w:rsidR="00384866" w:rsidRPr="00F55BF9" w14:paraId="5A2221B5"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0"/>
        </w:trPr>
        <w:tc>
          <w:tcPr>
            <w:tcW w:w="2408" w:type="pct"/>
            <w:shd w:val="clear" w:color="auto" w:fill="C2D69B" w:themeFill="accent3" w:themeFillTint="99"/>
            <w:vAlign w:val="center"/>
            <w:hideMark/>
          </w:tcPr>
          <w:p w14:paraId="5F13184D"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Delineación y urbanismo 100%</w:t>
            </w:r>
          </w:p>
        </w:tc>
        <w:tc>
          <w:tcPr>
            <w:tcW w:w="237" w:type="pct"/>
            <w:shd w:val="clear" w:color="auto" w:fill="auto"/>
            <w:noWrap/>
            <w:textDirection w:val="btLr"/>
            <w:vAlign w:val="center"/>
            <w:hideMark/>
          </w:tcPr>
          <w:p w14:paraId="7A9817F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2.298 </w:t>
            </w:r>
          </w:p>
        </w:tc>
        <w:tc>
          <w:tcPr>
            <w:tcW w:w="236" w:type="pct"/>
            <w:shd w:val="clear" w:color="auto" w:fill="auto"/>
            <w:noWrap/>
            <w:textDirection w:val="btLr"/>
            <w:vAlign w:val="center"/>
            <w:hideMark/>
          </w:tcPr>
          <w:p w14:paraId="37DD32D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2.371 </w:t>
            </w:r>
          </w:p>
        </w:tc>
        <w:tc>
          <w:tcPr>
            <w:tcW w:w="237" w:type="pct"/>
            <w:shd w:val="clear" w:color="auto" w:fill="auto"/>
            <w:noWrap/>
            <w:textDirection w:val="btLr"/>
            <w:vAlign w:val="center"/>
            <w:hideMark/>
          </w:tcPr>
          <w:p w14:paraId="3BF3DAD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2.446 </w:t>
            </w:r>
          </w:p>
        </w:tc>
        <w:tc>
          <w:tcPr>
            <w:tcW w:w="237" w:type="pct"/>
            <w:shd w:val="clear" w:color="auto" w:fill="auto"/>
            <w:noWrap/>
            <w:textDirection w:val="btLr"/>
            <w:vAlign w:val="center"/>
            <w:hideMark/>
          </w:tcPr>
          <w:p w14:paraId="151F2C3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2.523 </w:t>
            </w:r>
          </w:p>
        </w:tc>
        <w:tc>
          <w:tcPr>
            <w:tcW w:w="236" w:type="pct"/>
            <w:shd w:val="clear" w:color="auto" w:fill="auto"/>
            <w:noWrap/>
            <w:textDirection w:val="btLr"/>
            <w:vAlign w:val="center"/>
            <w:hideMark/>
          </w:tcPr>
          <w:p w14:paraId="67EF359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2.603 </w:t>
            </w:r>
          </w:p>
        </w:tc>
        <w:tc>
          <w:tcPr>
            <w:tcW w:w="237" w:type="pct"/>
            <w:shd w:val="clear" w:color="auto" w:fill="auto"/>
            <w:noWrap/>
            <w:textDirection w:val="btLr"/>
            <w:vAlign w:val="center"/>
            <w:hideMark/>
          </w:tcPr>
          <w:p w14:paraId="5EE7708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2.685 </w:t>
            </w:r>
          </w:p>
        </w:tc>
        <w:tc>
          <w:tcPr>
            <w:tcW w:w="237" w:type="pct"/>
            <w:shd w:val="clear" w:color="auto" w:fill="auto"/>
            <w:noWrap/>
            <w:textDirection w:val="btLr"/>
            <w:vAlign w:val="center"/>
            <w:hideMark/>
          </w:tcPr>
          <w:p w14:paraId="6FD54F0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2.770 </w:t>
            </w:r>
          </w:p>
        </w:tc>
        <w:tc>
          <w:tcPr>
            <w:tcW w:w="236" w:type="pct"/>
            <w:shd w:val="clear" w:color="auto" w:fill="auto"/>
            <w:noWrap/>
            <w:textDirection w:val="btLr"/>
            <w:vAlign w:val="center"/>
            <w:hideMark/>
          </w:tcPr>
          <w:p w14:paraId="6546754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2.857 </w:t>
            </w:r>
          </w:p>
        </w:tc>
        <w:tc>
          <w:tcPr>
            <w:tcW w:w="237" w:type="pct"/>
            <w:shd w:val="clear" w:color="auto" w:fill="auto"/>
            <w:noWrap/>
            <w:textDirection w:val="btLr"/>
            <w:vAlign w:val="center"/>
            <w:hideMark/>
          </w:tcPr>
          <w:p w14:paraId="5B0EBAB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2.948 </w:t>
            </w:r>
          </w:p>
        </w:tc>
        <w:tc>
          <w:tcPr>
            <w:tcW w:w="239" w:type="pct"/>
            <w:shd w:val="clear" w:color="auto" w:fill="auto"/>
            <w:noWrap/>
            <w:textDirection w:val="btLr"/>
            <w:vAlign w:val="center"/>
            <w:hideMark/>
          </w:tcPr>
          <w:p w14:paraId="5F1D59E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3.041 </w:t>
            </w:r>
          </w:p>
        </w:tc>
        <w:tc>
          <w:tcPr>
            <w:tcW w:w="222" w:type="pct"/>
            <w:shd w:val="clear" w:color="auto" w:fill="auto"/>
            <w:noWrap/>
            <w:textDirection w:val="btLr"/>
            <w:vAlign w:val="center"/>
            <w:hideMark/>
          </w:tcPr>
          <w:p w14:paraId="040F4DA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3.137 </w:t>
            </w:r>
          </w:p>
        </w:tc>
      </w:tr>
      <w:tr w:rsidR="00384866" w:rsidRPr="00F55BF9" w14:paraId="26A7CA12" w14:textId="77777777" w:rsidTr="00CA5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7"/>
        </w:trPr>
        <w:tc>
          <w:tcPr>
            <w:tcW w:w="2408" w:type="pct"/>
            <w:shd w:val="clear" w:color="auto" w:fill="C2D69B" w:themeFill="accent3" w:themeFillTint="99"/>
            <w:vAlign w:val="center"/>
            <w:hideMark/>
          </w:tcPr>
          <w:p w14:paraId="6A73FF22"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Ocupación de vías 100%</w:t>
            </w:r>
          </w:p>
        </w:tc>
        <w:tc>
          <w:tcPr>
            <w:tcW w:w="237" w:type="pct"/>
            <w:shd w:val="clear" w:color="auto" w:fill="auto"/>
            <w:noWrap/>
            <w:textDirection w:val="btLr"/>
            <w:vAlign w:val="center"/>
            <w:hideMark/>
          </w:tcPr>
          <w:p w14:paraId="7F0FA82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6" w:type="pct"/>
            <w:shd w:val="clear" w:color="auto" w:fill="auto"/>
            <w:noWrap/>
            <w:textDirection w:val="btLr"/>
            <w:vAlign w:val="center"/>
            <w:hideMark/>
          </w:tcPr>
          <w:p w14:paraId="16B289C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7" w:type="pct"/>
            <w:shd w:val="clear" w:color="auto" w:fill="auto"/>
            <w:noWrap/>
            <w:textDirection w:val="btLr"/>
            <w:vAlign w:val="center"/>
            <w:hideMark/>
          </w:tcPr>
          <w:p w14:paraId="5A5B83C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7" w:type="pct"/>
            <w:shd w:val="clear" w:color="auto" w:fill="auto"/>
            <w:noWrap/>
            <w:textDirection w:val="btLr"/>
            <w:vAlign w:val="center"/>
            <w:hideMark/>
          </w:tcPr>
          <w:p w14:paraId="03DA90B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6" w:type="pct"/>
            <w:shd w:val="clear" w:color="auto" w:fill="auto"/>
            <w:noWrap/>
            <w:textDirection w:val="btLr"/>
            <w:vAlign w:val="center"/>
            <w:hideMark/>
          </w:tcPr>
          <w:p w14:paraId="72EF14F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7" w:type="pct"/>
            <w:shd w:val="clear" w:color="auto" w:fill="auto"/>
            <w:noWrap/>
            <w:textDirection w:val="btLr"/>
            <w:vAlign w:val="center"/>
            <w:hideMark/>
          </w:tcPr>
          <w:p w14:paraId="59037EE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7" w:type="pct"/>
            <w:shd w:val="clear" w:color="auto" w:fill="auto"/>
            <w:noWrap/>
            <w:textDirection w:val="btLr"/>
            <w:vAlign w:val="center"/>
            <w:hideMark/>
          </w:tcPr>
          <w:p w14:paraId="7628287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6" w:type="pct"/>
            <w:shd w:val="clear" w:color="auto" w:fill="auto"/>
            <w:noWrap/>
            <w:textDirection w:val="btLr"/>
            <w:vAlign w:val="center"/>
            <w:hideMark/>
          </w:tcPr>
          <w:p w14:paraId="7DA5B1E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7" w:type="pct"/>
            <w:shd w:val="clear" w:color="auto" w:fill="auto"/>
            <w:noWrap/>
            <w:textDirection w:val="btLr"/>
            <w:vAlign w:val="center"/>
            <w:hideMark/>
          </w:tcPr>
          <w:p w14:paraId="58A5CB3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39" w:type="pct"/>
            <w:shd w:val="clear" w:color="auto" w:fill="auto"/>
            <w:noWrap/>
            <w:textDirection w:val="btLr"/>
            <w:vAlign w:val="center"/>
            <w:hideMark/>
          </w:tcPr>
          <w:p w14:paraId="6B7306E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c>
          <w:tcPr>
            <w:tcW w:w="222" w:type="pct"/>
            <w:shd w:val="clear" w:color="auto" w:fill="auto"/>
            <w:noWrap/>
            <w:textDirection w:val="btLr"/>
            <w:vAlign w:val="center"/>
            <w:hideMark/>
          </w:tcPr>
          <w:p w14:paraId="36DBBB2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w:t>
            </w:r>
          </w:p>
        </w:tc>
      </w:tr>
      <w:tr w:rsidR="00384866" w:rsidRPr="00F55BF9" w14:paraId="05A9AD94" w14:textId="77777777" w:rsidTr="00341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408" w:type="pct"/>
            <w:shd w:val="clear" w:color="auto" w:fill="C2D69B" w:themeFill="accent3" w:themeFillTint="99"/>
            <w:vAlign w:val="center"/>
            <w:hideMark/>
          </w:tcPr>
          <w:p w14:paraId="0DFFD488"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Degüello de ganado menor 100%</w:t>
            </w:r>
          </w:p>
        </w:tc>
        <w:tc>
          <w:tcPr>
            <w:tcW w:w="237" w:type="pct"/>
            <w:shd w:val="clear" w:color="auto" w:fill="auto"/>
            <w:noWrap/>
            <w:textDirection w:val="btLr"/>
            <w:vAlign w:val="center"/>
            <w:hideMark/>
          </w:tcPr>
          <w:p w14:paraId="2A891D8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68 </w:t>
            </w:r>
          </w:p>
        </w:tc>
        <w:tc>
          <w:tcPr>
            <w:tcW w:w="236" w:type="pct"/>
            <w:shd w:val="clear" w:color="auto" w:fill="auto"/>
            <w:noWrap/>
            <w:textDirection w:val="btLr"/>
            <w:vAlign w:val="center"/>
            <w:hideMark/>
          </w:tcPr>
          <w:p w14:paraId="693E9FC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70 </w:t>
            </w:r>
          </w:p>
        </w:tc>
        <w:tc>
          <w:tcPr>
            <w:tcW w:w="237" w:type="pct"/>
            <w:shd w:val="clear" w:color="auto" w:fill="auto"/>
            <w:noWrap/>
            <w:textDirection w:val="btLr"/>
            <w:vAlign w:val="center"/>
            <w:hideMark/>
          </w:tcPr>
          <w:p w14:paraId="2283958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72 </w:t>
            </w:r>
          </w:p>
        </w:tc>
        <w:tc>
          <w:tcPr>
            <w:tcW w:w="237" w:type="pct"/>
            <w:shd w:val="clear" w:color="auto" w:fill="auto"/>
            <w:noWrap/>
            <w:textDirection w:val="btLr"/>
            <w:vAlign w:val="center"/>
            <w:hideMark/>
          </w:tcPr>
          <w:p w14:paraId="2D0CB49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75 </w:t>
            </w:r>
          </w:p>
        </w:tc>
        <w:tc>
          <w:tcPr>
            <w:tcW w:w="236" w:type="pct"/>
            <w:shd w:val="clear" w:color="auto" w:fill="auto"/>
            <w:noWrap/>
            <w:textDirection w:val="btLr"/>
            <w:vAlign w:val="center"/>
            <w:hideMark/>
          </w:tcPr>
          <w:p w14:paraId="5B78B61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77 </w:t>
            </w:r>
          </w:p>
        </w:tc>
        <w:tc>
          <w:tcPr>
            <w:tcW w:w="237" w:type="pct"/>
            <w:shd w:val="clear" w:color="auto" w:fill="auto"/>
            <w:noWrap/>
            <w:textDirection w:val="btLr"/>
            <w:vAlign w:val="center"/>
            <w:hideMark/>
          </w:tcPr>
          <w:p w14:paraId="40EE2A6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79 </w:t>
            </w:r>
          </w:p>
        </w:tc>
        <w:tc>
          <w:tcPr>
            <w:tcW w:w="237" w:type="pct"/>
            <w:shd w:val="clear" w:color="auto" w:fill="auto"/>
            <w:noWrap/>
            <w:textDirection w:val="btLr"/>
            <w:vAlign w:val="center"/>
            <w:hideMark/>
          </w:tcPr>
          <w:p w14:paraId="0BDE9FE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82 </w:t>
            </w:r>
          </w:p>
        </w:tc>
        <w:tc>
          <w:tcPr>
            <w:tcW w:w="236" w:type="pct"/>
            <w:shd w:val="clear" w:color="auto" w:fill="auto"/>
            <w:noWrap/>
            <w:textDirection w:val="btLr"/>
            <w:vAlign w:val="center"/>
            <w:hideMark/>
          </w:tcPr>
          <w:p w14:paraId="76A8D72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85 </w:t>
            </w:r>
          </w:p>
        </w:tc>
        <w:tc>
          <w:tcPr>
            <w:tcW w:w="237" w:type="pct"/>
            <w:shd w:val="clear" w:color="auto" w:fill="auto"/>
            <w:noWrap/>
            <w:textDirection w:val="btLr"/>
            <w:vAlign w:val="center"/>
            <w:hideMark/>
          </w:tcPr>
          <w:p w14:paraId="4653C20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87 </w:t>
            </w:r>
          </w:p>
        </w:tc>
        <w:tc>
          <w:tcPr>
            <w:tcW w:w="239" w:type="pct"/>
            <w:shd w:val="clear" w:color="auto" w:fill="auto"/>
            <w:noWrap/>
            <w:textDirection w:val="btLr"/>
            <w:vAlign w:val="center"/>
            <w:hideMark/>
          </w:tcPr>
          <w:p w14:paraId="1647309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90 </w:t>
            </w:r>
          </w:p>
        </w:tc>
        <w:tc>
          <w:tcPr>
            <w:tcW w:w="222" w:type="pct"/>
            <w:shd w:val="clear" w:color="auto" w:fill="auto"/>
            <w:noWrap/>
            <w:textDirection w:val="btLr"/>
            <w:vAlign w:val="center"/>
            <w:hideMark/>
          </w:tcPr>
          <w:p w14:paraId="441F73C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93 </w:t>
            </w:r>
          </w:p>
        </w:tc>
      </w:tr>
      <w:tr w:rsidR="00384866" w:rsidRPr="00F55BF9" w14:paraId="7573E38F" w14:textId="77777777" w:rsidTr="00341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4"/>
        </w:trPr>
        <w:tc>
          <w:tcPr>
            <w:tcW w:w="2408" w:type="pct"/>
            <w:shd w:val="clear" w:color="auto" w:fill="C2D69B" w:themeFill="accent3" w:themeFillTint="99"/>
            <w:vAlign w:val="center"/>
            <w:hideMark/>
          </w:tcPr>
          <w:p w14:paraId="5974CC26"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Sobretasa consumo gasolina motor 75%</w:t>
            </w:r>
          </w:p>
        </w:tc>
        <w:tc>
          <w:tcPr>
            <w:tcW w:w="237" w:type="pct"/>
            <w:shd w:val="clear" w:color="auto" w:fill="auto"/>
            <w:noWrap/>
            <w:textDirection w:val="btLr"/>
            <w:vAlign w:val="center"/>
            <w:hideMark/>
          </w:tcPr>
          <w:p w14:paraId="70C8AF4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6.178 </w:t>
            </w:r>
          </w:p>
        </w:tc>
        <w:tc>
          <w:tcPr>
            <w:tcW w:w="236" w:type="pct"/>
            <w:shd w:val="clear" w:color="auto" w:fill="auto"/>
            <w:noWrap/>
            <w:textDirection w:val="btLr"/>
            <w:vAlign w:val="center"/>
            <w:hideMark/>
          </w:tcPr>
          <w:p w14:paraId="5DF9696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6.487 </w:t>
            </w:r>
          </w:p>
        </w:tc>
        <w:tc>
          <w:tcPr>
            <w:tcW w:w="237" w:type="pct"/>
            <w:shd w:val="clear" w:color="auto" w:fill="auto"/>
            <w:noWrap/>
            <w:textDirection w:val="btLr"/>
            <w:vAlign w:val="center"/>
            <w:hideMark/>
          </w:tcPr>
          <w:p w14:paraId="444E2F4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6.812 </w:t>
            </w:r>
          </w:p>
        </w:tc>
        <w:tc>
          <w:tcPr>
            <w:tcW w:w="237" w:type="pct"/>
            <w:shd w:val="clear" w:color="auto" w:fill="auto"/>
            <w:noWrap/>
            <w:textDirection w:val="btLr"/>
            <w:vAlign w:val="center"/>
            <w:hideMark/>
          </w:tcPr>
          <w:p w14:paraId="06785E8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7.152 </w:t>
            </w:r>
          </w:p>
        </w:tc>
        <w:tc>
          <w:tcPr>
            <w:tcW w:w="236" w:type="pct"/>
            <w:shd w:val="clear" w:color="auto" w:fill="auto"/>
            <w:noWrap/>
            <w:textDirection w:val="btLr"/>
            <w:vAlign w:val="center"/>
            <w:hideMark/>
          </w:tcPr>
          <w:p w14:paraId="52CE5F0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7.510 </w:t>
            </w:r>
          </w:p>
        </w:tc>
        <w:tc>
          <w:tcPr>
            <w:tcW w:w="237" w:type="pct"/>
            <w:shd w:val="clear" w:color="auto" w:fill="auto"/>
            <w:noWrap/>
            <w:textDirection w:val="btLr"/>
            <w:vAlign w:val="center"/>
            <w:hideMark/>
          </w:tcPr>
          <w:p w14:paraId="5220FD3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7.885 </w:t>
            </w:r>
          </w:p>
        </w:tc>
        <w:tc>
          <w:tcPr>
            <w:tcW w:w="237" w:type="pct"/>
            <w:shd w:val="clear" w:color="auto" w:fill="auto"/>
            <w:noWrap/>
            <w:textDirection w:val="btLr"/>
            <w:vAlign w:val="center"/>
            <w:hideMark/>
          </w:tcPr>
          <w:p w14:paraId="569F071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8.280 </w:t>
            </w:r>
          </w:p>
        </w:tc>
        <w:tc>
          <w:tcPr>
            <w:tcW w:w="236" w:type="pct"/>
            <w:shd w:val="clear" w:color="auto" w:fill="auto"/>
            <w:noWrap/>
            <w:textDirection w:val="btLr"/>
            <w:vAlign w:val="center"/>
            <w:hideMark/>
          </w:tcPr>
          <w:p w14:paraId="2DE0BF1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8.694 </w:t>
            </w:r>
          </w:p>
        </w:tc>
        <w:tc>
          <w:tcPr>
            <w:tcW w:w="237" w:type="pct"/>
            <w:shd w:val="clear" w:color="auto" w:fill="auto"/>
            <w:noWrap/>
            <w:textDirection w:val="btLr"/>
            <w:vAlign w:val="center"/>
            <w:hideMark/>
          </w:tcPr>
          <w:p w14:paraId="220FFA9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9.128 </w:t>
            </w:r>
          </w:p>
        </w:tc>
        <w:tc>
          <w:tcPr>
            <w:tcW w:w="239" w:type="pct"/>
            <w:shd w:val="clear" w:color="auto" w:fill="auto"/>
            <w:noWrap/>
            <w:textDirection w:val="btLr"/>
            <w:vAlign w:val="center"/>
            <w:hideMark/>
          </w:tcPr>
          <w:p w14:paraId="5A0CA0B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9.585 </w:t>
            </w:r>
          </w:p>
        </w:tc>
        <w:tc>
          <w:tcPr>
            <w:tcW w:w="222" w:type="pct"/>
            <w:shd w:val="clear" w:color="auto" w:fill="auto"/>
            <w:noWrap/>
            <w:textDirection w:val="btLr"/>
            <w:vAlign w:val="center"/>
            <w:hideMark/>
          </w:tcPr>
          <w:p w14:paraId="317F2324" w14:textId="186CDE70"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10.064 </w:t>
            </w:r>
          </w:p>
        </w:tc>
      </w:tr>
      <w:tr w:rsidR="00384866" w:rsidRPr="00F55BF9" w14:paraId="67B66096" w14:textId="77777777" w:rsidTr="00341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408" w:type="pct"/>
            <w:shd w:val="clear" w:color="auto" w:fill="C2D69B" w:themeFill="accent3" w:themeFillTint="99"/>
            <w:vAlign w:val="center"/>
            <w:hideMark/>
          </w:tcPr>
          <w:p w14:paraId="79EDC9B9"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Multas de gobierno 100%</w:t>
            </w:r>
          </w:p>
        </w:tc>
        <w:tc>
          <w:tcPr>
            <w:tcW w:w="237" w:type="pct"/>
            <w:shd w:val="clear" w:color="auto" w:fill="auto"/>
            <w:noWrap/>
            <w:textDirection w:val="btLr"/>
            <w:vAlign w:val="center"/>
            <w:hideMark/>
          </w:tcPr>
          <w:p w14:paraId="3260CA4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 </w:t>
            </w:r>
          </w:p>
        </w:tc>
        <w:tc>
          <w:tcPr>
            <w:tcW w:w="236" w:type="pct"/>
            <w:shd w:val="clear" w:color="auto" w:fill="auto"/>
            <w:noWrap/>
            <w:textDirection w:val="btLr"/>
            <w:vAlign w:val="center"/>
            <w:hideMark/>
          </w:tcPr>
          <w:p w14:paraId="463BBF7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 </w:t>
            </w:r>
          </w:p>
        </w:tc>
        <w:tc>
          <w:tcPr>
            <w:tcW w:w="237" w:type="pct"/>
            <w:shd w:val="clear" w:color="auto" w:fill="auto"/>
            <w:noWrap/>
            <w:textDirection w:val="btLr"/>
            <w:vAlign w:val="center"/>
            <w:hideMark/>
          </w:tcPr>
          <w:p w14:paraId="7D2CCCE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 </w:t>
            </w:r>
          </w:p>
        </w:tc>
        <w:tc>
          <w:tcPr>
            <w:tcW w:w="237" w:type="pct"/>
            <w:shd w:val="clear" w:color="auto" w:fill="auto"/>
            <w:noWrap/>
            <w:textDirection w:val="btLr"/>
            <w:vAlign w:val="center"/>
            <w:hideMark/>
          </w:tcPr>
          <w:p w14:paraId="3ABDE59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 </w:t>
            </w:r>
          </w:p>
        </w:tc>
        <w:tc>
          <w:tcPr>
            <w:tcW w:w="236" w:type="pct"/>
            <w:shd w:val="clear" w:color="auto" w:fill="auto"/>
            <w:noWrap/>
            <w:textDirection w:val="btLr"/>
            <w:vAlign w:val="center"/>
            <w:hideMark/>
          </w:tcPr>
          <w:p w14:paraId="221D3E0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 </w:t>
            </w:r>
          </w:p>
        </w:tc>
        <w:tc>
          <w:tcPr>
            <w:tcW w:w="237" w:type="pct"/>
            <w:shd w:val="clear" w:color="auto" w:fill="auto"/>
            <w:noWrap/>
            <w:textDirection w:val="btLr"/>
            <w:vAlign w:val="center"/>
            <w:hideMark/>
          </w:tcPr>
          <w:p w14:paraId="56E05AA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 </w:t>
            </w:r>
          </w:p>
        </w:tc>
        <w:tc>
          <w:tcPr>
            <w:tcW w:w="237" w:type="pct"/>
            <w:shd w:val="clear" w:color="auto" w:fill="auto"/>
            <w:noWrap/>
            <w:textDirection w:val="btLr"/>
            <w:vAlign w:val="center"/>
            <w:hideMark/>
          </w:tcPr>
          <w:p w14:paraId="780335B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 </w:t>
            </w:r>
          </w:p>
        </w:tc>
        <w:tc>
          <w:tcPr>
            <w:tcW w:w="236" w:type="pct"/>
            <w:shd w:val="clear" w:color="auto" w:fill="auto"/>
            <w:noWrap/>
            <w:textDirection w:val="btLr"/>
            <w:vAlign w:val="center"/>
            <w:hideMark/>
          </w:tcPr>
          <w:p w14:paraId="2E2FFD3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 </w:t>
            </w:r>
          </w:p>
        </w:tc>
        <w:tc>
          <w:tcPr>
            <w:tcW w:w="237" w:type="pct"/>
            <w:shd w:val="clear" w:color="auto" w:fill="auto"/>
            <w:noWrap/>
            <w:textDirection w:val="btLr"/>
            <w:vAlign w:val="center"/>
            <w:hideMark/>
          </w:tcPr>
          <w:p w14:paraId="021274D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 </w:t>
            </w:r>
          </w:p>
        </w:tc>
        <w:tc>
          <w:tcPr>
            <w:tcW w:w="239" w:type="pct"/>
            <w:shd w:val="clear" w:color="auto" w:fill="auto"/>
            <w:noWrap/>
            <w:textDirection w:val="btLr"/>
            <w:vAlign w:val="center"/>
            <w:hideMark/>
          </w:tcPr>
          <w:p w14:paraId="191801C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 </w:t>
            </w:r>
          </w:p>
        </w:tc>
        <w:tc>
          <w:tcPr>
            <w:tcW w:w="222" w:type="pct"/>
            <w:shd w:val="clear" w:color="auto" w:fill="auto"/>
            <w:noWrap/>
            <w:textDirection w:val="btLr"/>
            <w:vAlign w:val="center"/>
            <w:hideMark/>
          </w:tcPr>
          <w:p w14:paraId="49088A8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 </w:t>
            </w:r>
          </w:p>
        </w:tc>
      </w:tr>
      <w:tr w:rsidR="00384866" w:rsidRPr="00F55BF9" w14:paraId="68B359E0"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0"/>
        </w:trPr>
        <w:tc>
          <w:tcPr>
            <w:tcW w:w="2408" w:type="pct"/>
            <w:shd w:val="clear" w:color="auto" w:fill="C2D69B" w:themeFill="accent3" w:themeFillTint="99"/>
            <w:vAlign w:val="center"/>
            <w:hideMark/>
          </w:tcPr>
          <w:p w14:paraId="5AA43FA5"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Intereses moratorios impuesto predial 100%</w:t>
            </w:r>
          </w:p>
        </w:tc>
        <w:tc>
          <w:tcPr>
            <w:tcW w:w="237" w:type="pct"/>
            <w:shd w:val="clear" w:color="auto" w:fill="auto"/>
            <w:noWrap/>
            <w:textDirection w:val="btLr"/>
            <w:vAlign w:val="center"/>
            <w:hideMark/>
          </w:tcPr>
          <w:p w14:paraId="6A2A7F0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3.021 </w:t>
            </w:r>
          </w:p>
        </w:tc>
        <w:tc>
          <w:tcPr>
            <w:tcW w:w="236" w:type="pct"/>
            <w:shd w:val="clear" w:color="auto" w:fill="auto"/>
            <w:noWrap/>
            <w:textDirection w:val="btLr"/>
            <w:vAlign w:val="center"/>
            <w:hideMark/>
          </w:tcPr>
          <w:p w14:paraId="7B57DA1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3.112 </w:t>
            </w:r>
          </w:p>
        </w:tc>
        <w:tc>
          <w:tcPr>
            <w:tcW w:w="237" w:type="pct"/>
            <w:shd w:val="clear" w:color="auto" w:fill="auto"/>
            <w:noWrap/>
            <w:textDirection w:val="btLr"/>
            <w:vAlign w:val="center"/>
            <w:hideMark/>
          </w:tcPr>
          <w:p w14:paraId="7456F7E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3.205 </w:t>
            </w:r>
          </w:p>
        </w:tc>
        <w:tc>
          <w:tcPr>
            <w:tcW w:w="237" w:type="pct"/>
            <w:shd w:val="clear" w:color="auto" w:fill="auto"/>
            <w:noWrap/>
            <w:textDirection w:val="btLr"/>
            <w:vAlign w:val="center"/>
            <w:hideMark/>
          </w:tcPr>
          <w:p w14:paraId="477043E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3.301 </w:t>
            </w:r>
          </w:p>
        </w:tc>
        <w:tc>
          <w:tcPr>
            <w:tcW w:w="236" w:type="pct"/>
            <w:shd w:val="clear" w:color="auto" w:fill="auto"/>
            <w:noWrap/>
            <w:textDirection w:val="btLr"/>
            <w:vAlign w:val="center"/>
            <w:hideMark/>
          </w:tcPr>
          <w:p w14:paraId="38E92A8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3.400 </w:t>
            </w:r>
          </w:p>
        </w:tc>
        <w:tc>
          <w:tcPr>
            <w:tcW w:w="237" w:type="pct"/>
            <w:shd w:val="clear" w:color="auto" w:fill="auto"/>
            <w:noWrap/>
            <w:textDirection w:val="btLr"/>
            <w:vAlign w:val="center"/>
            <w:hideMark/>
          </w:tcPr>
          <w:p w14:paraId="6410D5A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3.502 </w:t>
            </w:r>
          </w:p>
        </w:tc>
        <w:tc>
          <w:tcPr>
            <w:tcW w:w="237" w:type="pct"/>
            <w:shd w:val="clear" w:color="auto" w:fill="auto"/>
            <w:noWrap/>
            <w:textDirection w:val="btLr"/>
            <w:vAlign w:val="center"/>
            <w:hideMark/>
          </w:tcPr>
          <w:p w14:paraId="74E06CD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3.607 </w:t>
            </w:r>
          </w:p>
        </w:tc>
        <w:tc>
          <w:tcPr>
            <w:tcW w:w="236" w:type="pct"/>
            <w:shd w:val="clear" w:color="auto" w:fill="auto"/>
            <w:noWrap/>
            <w:textDirection w:val="btLr"/>
            <w:vAlign w:val="center"/>
            <w:hideMark/>
          </w:tcPr>
          <w:p w14:paraId="60BD18E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3.715 </w:t>
            </w:r>
          </w:p>
        </w:tc>
        <w:tc>
          <w:tcPr>
            <w:tcW w:w="237" w:type="pct"/>
            <w:shd w:val="clear" w:color="auto" w:fill="auto"/>
            <w:noWrap/>
            <w:textDirection w:val="btLr"/>
            <w:vAlign w:val="center"/>
            <w:hideMark/>
          </w:tcPr>
          <w:p w14:paraId="5172103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3.827 </w:t>
            </w:r>
          </w:p>
        </w:tc>
        <w:tc>
          <w:tcPr>
            <w:tcW w:w="239" w:type="pct"/>
            <w:shd w:val="clear" w:color="auto" w:fill="auto"/>
            <w:noWrap/>
            <w:textDirection w:val="btLr"/>
            <w:vAlign w:val="center"/>
            <w:hideMark/>
          </w:tcPr>
          <w:p w14:paraId="1FE5F3B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3.942 </w:t>
            </w:r>
          </w:p>
        </w:tc>
        <w:tc>
          <w:tcPr>
            <w:tcW w:w="222" w:type="pct"/>
            <w:shd w:val="clear" w:color="auto" w:fill="auto"/>
            <w:noWrap/>
            <w:textDirection w:val="btLr"/>
            <w:vAlign w:val="center"/>
            <w:hideMark/>
          </w:tcPr>
          <w:p w14:paraId="53C2869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4.060 </w:t>
            </w:r>
          </w:p>
        </w:tc>
      </w:tr>
      <w:tr w:rsidR="00384866" w:rsidRPr="00F55BF9" w14:paraId="24394512"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5"/>
        </w:trPr>
        <w:tc>
          <w:tcPr>
            <w:tcW w:w="2408" w:type="pct"/>
            <w:shd w:val="clear" w:color="auto" w:fill="C2D69B" w:themeFill="accent3" w:themeFillTint="99"/>
            <w:vAlign w:val="center"/>
            <w:hideMark/>
          </w:tcPr>
          <w:p w14:paraId="438BD797"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lastRenderedPageBreak/>
              <w:t>Intereses moratorios industria y comercio 100%</w:t>
            </w:r>
          </w:p>
        </w:tc>
        <w:tc>
          <w:tcPr>
            <w:tcW w:w="237" w:type="pct"/>
            <w:shd w:val="clear" w:color="auto" w:fill="auto"/>
            <w:noWrap/>
            <w:textDirection w:val="btLr"/>
            <w:vAlign w:val="center"/>
            <w:hideMark/>
          </w:tcPr>
          <w:p w14:paraId="66DAA74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241 </w:t>
            </w:r>
          </w:p>
        </w:tc>
        <w:tc>
          <w:tcPr>
            <w:tcW w:w="236" w:type="pct"/>
            <w:shd w:val="clear" w:color="auto" w:fill="auto"/>
            <w:noWrap/>
            <w:textDirection w:val="btLr"/>
            <w:vAlign w:val="center"/>
            <w:hideMark/>
          </w:tcPr>
          <w:p w14:paraId="6D5120F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270 </w:t>
            </w:r>
          </w:p>
        </w:tc>
        <w:tc>
          <w:tcPr>
            <w:tcW w:w="237" w:type="pct"/>
            <w:shd w:val="clear" w:color="auto" w:fill="auto"/>
            <w:noWrap/>
            <w:textDirection w:val="btLr"/>
            <w:vAlign w:val="center"/>
            <w:hideMark/>
          </w:tcPr>
          <w:p w14:paraId="5C69B3F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303 </w:t>
            </w:r>
          </w:p>
        </w:tc>
        <w:tc>
          <w:tcPr>
            <w:tcW w:w="237" w:type="pct"/>
            <w:shd w:val="clear" w:color="auto" w:fill="auto"/>
            <w:noWrap/>
            <w:textDirection w:val="btLr"/>
            <w:vAlign w:val="center"/>
            <w:hideMark/>
          </w:tcPr>
          <w:p w14:paraId="5E28D7B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339 </w:t>
            </w:r>
          </w:p>
        </w:tc>
        <w:tc>
          <w:tcPr>
            <w:tcW w:w="236" w:type="pct"/>
            <w:shd w:val="clear" w:color="auto" w:fill="auto"/>
            <w:noWrap/>
            <w:textDirection w:val="btLr"/>
            <w:vAlign w:val="center"/>
            <w:hideMark/>
          </w:tcPr>
          <w:p w14:paraId="5FE8D6B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380 </w:t>
            </w:r>
          </w:p>
        </w:tc>
        <w:tc>
          <w:tcPr>
            <w:tcW w:w="237" w:type="pct"/>
            <w:shd w:val="clear" w:color="auto" w:fill="auto"/>
            <w:noWrap/>
            <w:textDirection w:val="btLr"/>
            <w:vAlign w:val="center"/>
            <w:hideMark/>
          </w:tcPr>
          <w:p w14:paraId="0282ADD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425 </w:t>
            </w:r>
          </w:p>
        </w:tc>
        <w:tc>
          <w:tcPr>
            <w:tcW w:w="237" w:type="pct"/>
            <w:shd w:val="clear" w:color="auto" w:fill="auto"/>
            <w:noWrap/>
            <w:textDirection w:val="btLr"/>
            <w:vAlign w:val="center"/>
            <w:hideMark/>
          </w:tcPr>
          <w:p w14:paraId="6A52AAE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477 </w:t>
            </w:r>
          </w:p>
        </w:tc>
        <w:tc>
          <w:tcPr>
            <w:tcW w:w="236" w:type="pct"/>
            <w:shd w:val="clear" w:color="auto" w:fill="auto"/>
            <w:noWrap/>
            <w:textDirection w:val="btLr"/>
            <w:vAlign w:val="center"/>
            <w:hideMark/>
          </w:tcPr>
          <w:p w14:paraId="00741FF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534 </w:t>
            </w:r>
          </w:p>
        </w:tc>
        <w:tc>
          <w:tcPr>
            <w:tcW w:w="237" w:type="pct"/>
            <w:shd w:val="clear" w:color="auto" w:fill="auto"/>
            <w:noWrap/>
            <w:textDirection w:val="btLr"/>
            <w:vAlign w:val="center"/>
            <w:hideMark/>
          </w:tcPr>
          <w:p w14:paraId="01FA22D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598 </w:t>
            </w:r>
          </w:p>
        </w:tc>
        <w:tc>
          <w:tcPr>
            <w:tcW w:w="239" w:type="pct"/>
            <w:shd w:val="clear" w:color="auto" w:fill="auto"/>
            <w:noWrap/>
            <w:textDirection w:val="btLr"/>
            <w:vAlign w:val="center"/>
            <w:hideMark/>
          </w:tcPr>
          <w:p w14:paraId="7418489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669 </w:t>
            </w:r>
          </w:p>
        </w:tc>
        <w:tc>
          <w:tcPr>
            <w:tcW w:w="222" w:type="pct"/>
            <w:shd w:val="clear" w:color="auto" w:fill="auto"/>
            <w:noWrap/>
            <w:textDirection w:val="btLr"/>
            <w:vAlign w:val="center"/>
            <w:hideMark/>
          </w:tcPr>
          <w:p w14:paraId="62A6633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750 </w:t>
            </w:r>
          </w:p>
        </w:tc>
      </w:tr>
      <w:tr w:rsidR="00384866" w:rsidRPr="00F55BF9" w14:paraId="3F2853CC"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94"/>
        </w:trPr>
        <w:tc>
          <w:tcPr>
            <w:tcW w:w="2408" w:type="pct"/>
            <w:shd w:val="clear" w:color="auto" w:fill="C2D69B" w:themeFill="accent3" w:themeFillTint="99"/>
            <w:vAlign w:val="center"/>
            <w:hideMark/>
          </w:tcPr>
          <w:p w14:paraId="441B8254"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Sanciones industria y comercio 100%</w:t>
            </w:r>
          </w:p>
        </w:tc>
        <w:tc>
          <w:tcPr>
            <w:tcW w:w="237" w:type="pct"/>
            <w:shd w:val="clear" w:color="auto" w:fill="auto"/>
            <w:noWrap/>
            <w:textDirection w:val="btLr"/>
            <w:vAlign w:val="center"/>
            <w:hideMark/>
          </w:tcPr>
          <w:p w14:paraId="6E63B29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674 </w:t>
            </w:r>
          </w:p>
        </w:tc>
        <w:tc>
          <w:tcPr>
            <w:tcW w:w="236" w:type="pct"/>
            <w:shd w:val="clear" w:color="auto" w:fill="auto"/>
            <w:noWrap/>
            <w:textDirection w:val="btLr"/>
            <w:vAlign w:val="center"/>
            <w:hideMark/>
          </w:tcPr>
          <w:p w14:paraId="01C7688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755 </w:t>
            </w:r>
          </w:p>
        </w:tc>
        <w:tc>
          <w:tcPr>
            <w:tcW w:w="237" w:type="pct"/>
            <w:shd w:val="clear" w:color="auto" w:fill="auto"/>
            <w:noWrap/>
            <w:textDirection w:val="btLr"/>
            <w:vAlign w:val="center"/>
            <w:hideMark/>
          </w:tcPr>
          <w:p w14:paraId="5A00FD4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846 </w:t>
            </w:r>
          </w:p>
        </w:tc>
        <w:tc>
          <w:tcPr>
            <w:tcW w:w="237" w:type="pct"/>
            <w:shd w:val="clear" w:color="auto" w:fill="auto"/>
            <w:noWrap/>
            <w:textDirection w:val="btLr"/>
            <w:vAlign w:val="center"/>
            <w:hideMark/>
          </w:tcPr>
          <w:p w14:paraId="73021DA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 947 </w:t>
            </w:r>
          </w:p>
        </w:tc>
        <w:tc>
          <w:tcPr>
            <w:tcW w:w="236" w:type="pct"/>
            <w:shd w:val="clear" w:color="auto" w:fill="auto"/>
            <w:noWrap/>
            <w:textDirection w:val="btLr"/>
            <w:vAlign w:val="center"/>
            <w:hideMark/>
          </w:tcPr>
          <w:p w14:paraId="3339A19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1.061 </w:t>
            </w:r>
          </w:p>
        </w:tc>
        <w:tc>
          <w:tcPr>
            <w:tcW w:w="237" w:type="pct"/>
            <w:shd w:val="clear" w:color="auto" w:fill="auto"/>
            <w:noWrap/>
            <w:textDirection w:val="btLr"/>
            <w:vAlign w:val="center"/>
            <w:hideMark/>
          </w:tcPr>
          <w:p w14:paraId="44F8B74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1.188 </w:t>
            </w:r>
          </w:p>
        </w:tc>
        <w:tc>
          <w:tcPr>
            <w:tcW w:w="237" w:type="pct"/>
            <w:shd w:val="clear" w:color="auto" w:fill="auto"/>
            <w:noWrap/>
            <w:textDirection w:val="btLr"/>
            <w:vAlign w:val="center"/>
            <w:hideMark/>
          </w:tcPr>
          <w:p w14:paraId="149B288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1.331 </w:t>
            </w:r>
          </w:p>
        </w:tc>
        <w:tc>
          <w:tcPr>
            <w:tcW w:w="236" w:type="pct"/>
            <w:shd w:val="clear" w:color="auto" w:fill="auto"/>
            <w:noWrap/>
            <w:textDirection w:val="btLr"/>
            <w:vAlign w:val="center"/>
            <w:hideMark/>
          </w:tcPr>
          <w:p w14:paraId="1F6FB7A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1.490 </w:t>
            </w:r>
          </w:p>
        </w:tc>
        <w:tc>
          <w:tcPr>
            <w:tcW w:w="237" w:type="pct"/>
            <w:shd w:val="clear" w:color="auto" w:fill="auto"/>
            <w:noWrap/>
            <w:textDirection w:val="btLr"/>
            <w:vAlign w:val="center"/>
            <w:hideMark/>
          </w:tcPr>
          <w:p w14:paraId="1BE5B3B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1.669 </w:t>
            </w:r>
          </w:p>
        </w:tc>
        <w:tc>
          <w:tcPr>
            <w:tcW w:w="239" w:type="pct"/>
            <w:shd w:val="clear" w:color="auto" w:fill="auto"/>
            <w:noWrap/>
            <w:textDirection w:val="btLr"/>
            <w:vAlign w:val="center"/>
            <w:hideMark/>
          </w:tcPr>
          <w:p w14:paraId="562BA3A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1.870 </w:t>
            </w:r>
          </w:p>
        </w:tc>
        <w:tc>
          <w:tcPr>
            <w:tcW w:w="222" w:type="pct"/>
            <w:shd w:val="clear" w:color="auto" w:fill="auto"/>
            <w:noWrap/>
            <w:textDirection w:val="btLr"/>
            <w:vAlign w:val="center"/>
            <w:hideMark/>
          </w:tcPr>
          <w:p w14:paraId="6333394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2.094 </w:t>
            </w:r>
          </w:p>
        </w:tc>
      </w:tr>
      <w:tr w:rsidR="00384866" w:rsidRPr="00F55BF9" w14:paraId="3E770200"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9"/>
        </w:trPr>
        <w:tc>
          <w:tcPr>
            <w:tcW w:w="2408" w:type="pct"/>
            <w:shd w:val="clear" w:color="auto" w:fill="C2D69B" w:themeFill="accent3" w:themeFillTint="99"/>
            <w:vAlign w:val="center"/>
            <w:hideMark/>
          </w:tcPr>
          <w:p w14:paraId="09238324"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Arrendamientos 100%</w:t>
            </w:r>
          </w:p>
        </w:tc>
        <w:tc>
          <w:tcPr>
            <w:tcW w:w="237" w:type="pct"/>
            <w:shd w:val="clear" w:color="auto" w:fill="auto"/>
            <w:noWrap/>
            <w:textDirection w:val="btLr"/>
            <w:vAlign w:val="center"/>
            <w:hideMark/>
          </w:tcPr>
          <w:p w14:paraId="326AC13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110 </w:t>
            </w:r>
          </w:p>
        </w:tc>
        <w:tc>
          <w:tcPr>
            <w:tcW w:w="236" w:type="pct"/>
            <w:shd w:val="clear" w:color="auto" w:fill="auto"/>
            <w:noWrap/>
            <w:textDirection w:val="btLr"/>
            <w:vAlign w:val="center"/>
            <w:hideMark/>
          </w:tcPr>
          <w:p w14:paraId="44840DB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114 </w:t>
            </w:r>
          </w:p>
        </w:tc>
        <w:tc>
          <w:tcPr>
            <w:tcW w:w="237" w:type="pct"/>
            <w:shd w:val="clear" w:color="auto" w:fill="auto"/>
            <w:noWrap/>
            <w:textDirection w:val="btLr"/>
            <w:vAlign w:val="center"/>
            <w:hideMark/>
          </w:tcPr>
          <w:p w14:paraId="190FD79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117 </w:t>
            </w:r>
          </w:p>
        </w:tc>
        <w:tc>
          <w:tcPr>
            <w:tcW w:w="237" w:type="pct"/>
            <w:shd w:val="clear" w:color="auto" w:fill="auto"/>
            <w:noWrap/>
            <w:textDirection w:val="btLr"/>
            <w:vAlign w:val="center"/>
            <w:hideMark/>
          </w:tcPr>
          <w:p w14:paraId="0FCD893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121 </w:t>
            </w:r>
          </w:p>
        </w:tc>
        <w:tc>
          <w:tcPr>
            <w:tcW w:w="236" w:type="pct"/>
            <w:shd w:val="clear" w:color="auto" w:fill="auto"/>
            <w:noWrap/>
            <w:textDirection w:val="btLr"/>
            <w:vAlign w:val="center"/>
            <w:hideMark/>
          </w:tcPr>
          <w:p w14:paraId="5B164EB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124 </w:t>
            </w:r>
          </w:p>
        </w:tc>
        <w:tc>
          <w:tcPr>
            <w:tcW w:w="237" w:type="pct"/>
            <w:shd w:val="clear" w:color="auto" w:fill="auto"/>
            <w:noWrap/>
            <w:textDirection w:val="btLr"/>
            <w:vAlign w:val="center"/>
            <w:hideMark/>
          </w:tcPr>
          <w:p w14:paraId="01D6716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128 </w:t>
            </w:r>
          </w:p>
        </w:tc>
        <w:tc>
          <w:tcPr>
            <w:tcW w:w="237" w:type="pct"/>
            <w:shd w:val="clear" w:color="auto" w:fill="auto"/>
            <w:noWrap/>
            <w:textDirection w:val="btLr"/>
            <w:vAlign w:val="center"/>
            <w:hideMark/>
          </w:tcPr>
          <w:p w14:paraId="1AC8B19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132 </w:t>
            </w:r>
          </w:p>
        </w:tc>
        <w:tc>
          <w:tcPr>
            <w:tcW w:w="236" w:type="pct"/>
            <w:shd w:val="clear" w:color="auto" w:fill="auto"/>
            <w:noWrap/>
            <w:textDirection w:val="btLr"/>
            <w:vAlign w:val="center"/>
            <w:hideMark/>
          </w:tcPr>
          <w:p w14:paraId="2050CFE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136 </w:t>
            </w:r>
          </w:p>
        </w:tc>
        <w:tc>
          <w:tcPr>
            <w:tcW w:w="237" w:type="pct"/>
            <w:shd w:val="clear" w:color="auto" w:fill="auto"/>
            <w:noWrap/>
            <w:textDirection w:val="btLr"/>
            <w:vAlign w:val="center"/>
            <w:hideMark/>
          </w:tcPr>
          <w:p w14:paraId="5744EC0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140 </w:t>
            </w:r>
          </w:p>
        </w:tc>
        <w:tc>
          <w:tcPr>
            <w:tcW w:w="239" w:type="pct"/>
            <w:shd w:val="clear" w:color="auto" w:fill="auto"/>
            <w:noWrap/>
            <w:textDirection w:val="btLr"/>
            <w:vAlign w:val="center"/>
            <w:hideMark/>
          </w:tcPr>
          <w:p w14:paraId="0A1F558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144 </w:t>
            </w:r>
          </w:p>
        </w:tc>
        <w:tc>
          <w:tcPr>
            <w:tcW w:w="222" w:type="pct"/>
            <w:shd w:val="clear" w:color="auto" w:fill="auto"/>
            <w:noWrap/>
            <w:textDirection w:val="btLr"/>
            <w:vAlign w:val="center"/>
            <w:hideMark/>
          </w:tcPr>
          <w:p w14:paraId="6F201FF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148 </w:t>
            </w:r>
          </w:p>
        </w:tc>
      </w:tr>
      <w:tr w:rsidR="00384866" w:rsidRPr="00F55BF9" w14:paraId="70FB9540"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95"/>
        </w:trPr>
        <w:tc>
          <w:tcPr>
            <w:tcW w:w="2408" w:type="pct"/>
            <w:shd w:val="clear" w:color="auto" w:fill="C2D69B" w:themeFill="accent3" w:themeFillTint="99"/>
            <w:vAlign w:val="center"/>
            <w:hideMark/>
          </w:tcPr>
          <w:p w14:paraId="7694878C"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Transferencias de EMAS 100%</w:t>
            </w:r>
          </w:p>
        </w:tc>
        <w:tc>
          <w:tcPr>
            <w:tcW w:w="237" w:type="pct"/>
            <w:shd w:val="clear" w:color="auto" w:fill="auto"/>
            <w:noWrap/>
            <w:textDirection w:val="btLr"/>
            <w:vAlign w:val="center"/>
            <w:hideMark/>
          </w:tcPr>
          <w:p w14:paraId="3B2105F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1.059 </w:t>
            </w:r>
          </w:p>
        </w:tc>
        <w:tc>
          <w:tcPr>
            <w:tcW w:w="236" w:type="pct"/>
            <w:shd w:val="clear" w:color="auto" w:fill="auto"/>
            <w:noWrap/>
            <w:textDirection w:val="btLr"/>
            <w:vAlign w:val="center"/>
            <w:hideMark/>
          </w:tcPr>
          <w:p w14:paraId="7CEF859C"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1.091 </w:t>
            </w:r>
          </w:p>
        </w:tc>
        <w:tc>
          <w:tcPr>
            <w:tcW w:w="237" w:type="pct"/>
            <w:shd w:val="clear" w:color="auto" w:fill="auto"/>
            <w:noWrap/>
            <w:textDirection w:val="btLr"/>
            <w:vAlign w:val="center"/>
            <w:hideMark/>
          </w:tcPr>
          <w:p w14:paraId="0BE5B58D"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1.123 </w:t>
            </w:r>
          </w:p>
        </w:tc>
        <w:tc>
          <w:tcPr>
            <w:tcW w:w="237" w:type="pct"/>
            <w:shd w:val="clear" w:color="auto" w:fill="auto"/>
            <w:noWrap/>
            <w:textDirection w:val="btLr"/>
            <w:vAlign w:val="center"/>
            <w:hideMark/>
          </w:tcPr>
          <w:p w14:paraId="067289B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1.157 </w:t>
            </w:r>
          </w:p>
        </w:tc>
        <w:tc>
          <w:tcPr>
            <w:tcW w:w="236" w:type="pct"/>
            <w:shd w:val="clear" w:color="auto" w:fill="auto"/>
            <w:noWrap/>
            <w:textDirection w:val="btLr"/>
            <w:vAlign w:val="center"/>
            <w:hideMark/>
          </w:tcPr>
          <w:p w14:paraId="7319DA6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1.192 </w:t>
            </w:r>
          </w:p>
        </w:tc>
        <w:tc>
          <w:tcPr>
            <w:tcW w:w="237" w:type="pct"/>
            <w:shd w:val="clear" w:color="auto" w:fill="auto"/>
            <w:noWrap/>
            <w:textDirection w:val="btLr"/>
            <w:vAlign w:val="center"/>
            <w:hideMark/>
          </w:tcPr>
          <w:p w14:paraId="41DC0EE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1.227 </w:t>
            </w:r>
          </w:p>
        </w:tc>
        <w:tc>
          <w:tcPr>
            <w:tcW w:w="237" w:type="pct"/>
            <w:shd w:val="clear" w:color="auto" w:fill="auto"/>
            <w:noWrap/>
            <w:textDirection w:val="btLr"/>
            <w:vAlign w:val="center"/>
            <w:hideMark/>
          </w:tcPr>
          <w:p w14:paraId="3234DFB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1.264 </w:t>
            </w:r>
          </w:p>
        </w:tc>
        <w:tc>
          <w:tcPr>
            <w:tcW w:w="236" w:type="pct"/>
            <w:shd w:val="clear" w:color="auto" w:fill="auto"/>
            <w:noWrap/>
            <w:textDirection w:val="btLr"/>
            <w:vAlign w:val="center"/>
            <w:hideMark/>
          </w:tcPr>
          <w:p w14:paraId="3177CFA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1.302 </w:t>
            </w:r>
          </w:p>
        </w:tc>
        <w:tc>
          <w:tcPr>
            <w:tcW w:w="237" w:type="pct"/>
            <w:shd w:val="clear" w:color="auto" w:fill="auto"/>
            <w:noWrap/>
            <w:textDirection w:val="btLr"/>
            <w:vAlign w:val="center"/>
            <w:hideMark/>
          </w:tcPr>
          <w:p w14:paraId="5C66989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1.341 </w:t>
            </w:r>
          </w:p>
        </w:tc>
        <w:tc>
          <w:tcPr>
            <w:tcW w:w="239" w:type="pct"/>
            <w:shd w:val="clear" w:color="auto" w:fill="auto"/>
            <w:noWrap/>
            <w:textDirection w:val="btLr"/>
            <w:vAlign w:val="center"/>
            <w:hideMark/>
          </w:tcPr>
          <w:p w14:paraId="66F84E3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1.381 </w:t>
            </w:r>
          </w:p>
        </w:tc>
        <w:tc>
          <w:tcPr>
            <w:tcW w:w="222" w:type="pct"/>
            <w:shd w:val="clear" w:color="auto" w:fill="auto"/>
            <w:noWrap/>
            <w:textDirection w:val="btLr"/>
            <w:vAlign w:val="center"/>
            <w:hideMark/>
          </w:tcPr>
          <w:p w14:paraId="5EDD75C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1.423 </w:t>
            </w:r>
          </w:p>
        </w:tc>
      </w:tr>
      <w:tr w:rsidR="00384866" w:rsidRPr="00F55BF9" w14:paraId="04C32C78"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3"/>
        </w:trPr>
        <w:tc>
          <w:tcPr>
            <w:tcW w:w="2408" w:type="pct"/>
            <w:shd w:val="clear" w:color="auto" w:fill="C2D69B" w:themeFill="accent3" w:themeFillTint="99"/>
            <w:vAlign w:val="center"/>
            <w:hideMark/>
          </w:tcPr>
          <w:p w14:paraId="7E99A92A"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Otros ingresos no tributarios 100%</w:t>
            </w:r>
          </w:p>
        </w:tc>
        <w:tc>
          <w:tcPr>
            <w:tcW w:w="237" w:type="pct"/>
            <w:shd w:val="clear" w:color="auto" w:fill="auto"/>
            <w:noWrap/>
            <w:textDirection w:val="btLr"/>
            <w:vAlign w:val="center"/>
            <w:hideMark/>
          </w:tcPr>
          <w:p w14:paraId="67FBA64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101 </w:t>
            </w:r>
          </w:p>
        </w:tc>
        <w:tc>
          <w:tcPr>
            <w:tcW w:w="236" w:type="pct"/>
            <w:shd w:val="clear" w:color="auto" w:fill="auto"/>
            <w:noWrap/>
            <w:textDirection w:val="btLr"/>
            <w:vAlign w:val="center"/>
            <w:hideMark/>
          </w:tcPr>
          <w:p w14:paraId="3C26823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104 </w:t>
            </w:r>
          </w:p>
        </w:tc>
        <w:tc>
          <w:tcPr>
            <w:tcW w:w="237" w:type="pct"/>
            <w:shd w:val="clear" w:color="auto" w:fill="auto"/>
            <w:noWrap/>
            <w:textDirection w:val="btLr"/>
            <w:vAlign w:val="center"/>
            <w:hideMark/>
          </w:tcPr>
          <w:p w14:paraId="2C5DD64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107 </w:t>
            </w:r>
          </w:p>
        </w:tc>
        <w:tc>
          <w:tcPr>
            <w:tcW w:w="237" w:type="pct"/>
            <w:shd w:val="clear" w:color="auto" w:fill="auto"/>
            <w:noWrap/>
            <w:textDirection w:val="btLr"/>
            <w:vAlign w:val="center"/>
            <w:hideMark/>
          </w:tcPr>
          <w:p w14:paraId="26F1AC3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110 </w:t>
            </w:r>
          </w:p>
        </w:tc>
        <w:tc>
          <w:tcPr>
            <w:tcW w:w="236" w:type="pct"/>
            <w:shd w:val="clear" w:color="auto" w:fill="auto"/>
            <w:noWrap/>
            <w:textDirection w:val="btLr"/>
            <w:vAlign w:val="center"/>
            <w:hideMark/>
          </w:tcPr>
          <w:p w14:paraId="2068BF0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114 </w:t>
            </w:r>
          </w:p>
        </w:tc>
        <w:tc>
          <w:tcPr>
            <w:tcW w:w="237" w:type="pct"/>
            <w:shd w:val="clear" w:color="auto" w:fill="auto"/>
            <w:noWrap/>
            <w:textDirection w:val="btLr"/>
            <w:vAlign w:val="center"/>
            <w:hideMark/>
          </w:tcPr>
          <w:p w14:paraId="6D76465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117 </w:t>
            </w:r>
          </w:p>
        </w:tc>
        <w:tc>
          <w:tcPr>
            <w:tcW w:w="237" w:type="pct"/>
            <w:shd w:val="clear" w:color="auto" w:fill="auto"/>
            <w:noWrap/>
            <w:textDirection w:val="btLr"/>
            <w:vAlign w:val="center"/>
            <w:hideMark/>
          </w:tcPr>
          <w:p w14:paraId="6D7551A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121 </w:t>
            </w:r>
          </w:p>
        </w:tc>
        <w:tc>
          <w:tcPr>
            <w:tcW w:w="236" w:type="pct"/>
            <w:shd w:val="clear" w:color="auto" w:fill="auto"/>
            <w:noWrap/>
            <w:textDirection w:val="btLr"/>
            <w:vAlign w:val="center"/>
            <w:hideMark/>
          </w:tcPr>
          <w:p w14:paraId="48CAF3B3"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124 </w:t>
            </w:r>
          </w:p>
        </w:tc>
        <w:tc>
          <w:tcPr>
            <w:tcW w:w="237" w:type="pct"/>
            <w:shd w:val="clear" w:color="auto" w:fill="auto"/>
            <w:noWrap/>
            <w:textDirection w:val="btLr"/>
            <w:vAlign w:val="center"/>
            <w:hideMark/>
          </w:tcPr>
          <w:p w14:paraId="2CF3E721"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128 </w:t>
            </w:r>
          </w:p>
        </w:tc>
        <w:tc>
          <w:tcPr>
            <w:tcW w:w="239" w:type="pct"/>
            <w:shd w:val="clear" w:color="auto" w:fill="auto"/>
            <w:noWrap/>
            <w:textDirection w:val="btLr"/>
            <w:vAlign w:val="center"/>
            <w:hideMark/>
          </w:tcPr>
          <w:p w14:paraId="23F6B34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132 </w:t>
            </w:r>
          </w:p>
        </w:tc>
        <w:tc>
          <w:tcPr>
            <w:tcW w:w="222" w:type="pct"/>
            <w:shd w:val="clear" w:color="auto" w:fill="auto"/>
            <w:noWrap/>
            <w:textDirection w:val="btLr"/>
            <w:vAlign w:val="center"/>
            <w:hideMark/>
          </w:tcPr>
          <w:p w14:paraId="4A499AC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136 </w:t>
            </w:r>
          </w:p>
        </w:tc>
      </w:tr>
      <w:tr w:rsidR="00384866" w:rsidRPr="00F55BF9" w14:paraId="69D5E5B1"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99"/>
        </w:trPr>
        <w:tc>
          <w:tcPr>
            <w:tcW w:w="2408" w:type="pct"/>
            <w:shd w:val="clear" w:color="auto" w:fill="C2D69B" w:themeFill="accent3" w:themeFillTint="99"/>
            <w:vAlign w:val="center"/>
            <w:hideMark/>
          </w:tcPr>
          <w:p w14:paraId="4E8DB436"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Derechos por trámite (Sec. Tránsito) 100%</w:t>
            </w:r>
          </w:p>
        </w:tc>
        <w:tc>
          <w:tcPr>
            <w:tcW w:w="237" w:type="pct"/>
            <w:shd w:val="clear" w:color="auto" w:fill="auto"/>
            <w:noWrap/>
            <w:textDirection w:val="btLr"/>
            <w:vAlign w:val="center"/>
            <w:hideMark/>
          </w:tcPr>
          <w:p w14:paraId="2D47536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2.720 </w:t>
            </w:r>
          </w:p>
        </w:tc>
        <w:tc>
          <w:tcPr>
            <w:tcW w:w="236" w:type="pct"/>
            <w:shd w:val="clear" w:color="auto" w:fill="auto"/>
            <w:noWrap/>
            <w:textDirection w:val="btLr"/>
            <w:vAlign w:val="center"/>
            <w:hideMark/>
          </w:tcPr>
          <w:p w14:paraId="24589EA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2.992 </w:t>
            </w:r>
          </w:p>
        </w:tc>
        <w:tc>
          <w:tcPr>
            <w:tcW w:w="237" w:type="pct"/>
            <w:shd w:val="clear" w:color="auto" w:fill="auto"/>
            <w:noWrap/>
            <w:textDirection w:val="btLr"/>
            <w:vAlign w:val="center"/>
            <w:hideMark/>
          </w:tcPr>
          <w:p w14:paraId="76CBDBB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3.291 </w:t>
            </w:r>
          </w:p>
        </w:tc>
        <w:tc>
          <w:tcPr>
            <w:tcW w:w="237" w:type="pct"/>
            <w:shd w:val="clear" w:color="auto" w:fill="auto"/>
            <w:noWrap/>
            <w:textDirection w:val="btLr"/>
            <w:vAlign w:val="center"/>
            <w:hideMark/>
          </w:tcPr>
          <w:p w14:paraId="05B7D96A"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3.620 </w:t>
            </w:r>
          </w:p>
        </w:tc>
        <w:tc>
          <w:tcPr>
            <w:tcW w:w="236" w:type="pct"/>
            <w:shd w:val="clear" w:color="auto" w:fill="auto"/>
            <w:noWrap/>
            <w:textDirection w:val="btLr"/>
            <w:vAlign w:val="center"/>
            <w:hideMark/>
          </w:tcPr>
          <w:p w14:paraId="791C6F5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3.982 </w:t>
            </w:r>
          </w:p>
        </w:tc>
        <w:tc>
          <w:tcPr>
            <w:tcW w:w="237" w:type="pct"/>
            <w:shd w:val="clear" w:color="auto" w:fill="auto"/>
            <w:noWrap/>
            <w:textDirection w:val="btLr"/>
            <w:vAlign w:val="center"/>
            <w:hideMark/>
          </w:tcPr>
          <w:p w14:paraId="52E7CFB8"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4.380 </w:t>
            </w:r>
          </w:p>
        </w:tc>
        <w:tc>
          <w:tcPr>
            <w:tcW w:w="237" w:type="pct"/>
            <w:shd w:val="clear" w:color="auto" w:fill="auto"/>
            <w:noWrap/>
            <w:textDirection w:val="btLr"/>
            <w:vAlign w:val="center"/>
            <w:hideMark/>
          </w:tcPr>
          <w:p w14:paraId="2218966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4.819 </w:t>
            </w:r>
          </w:p>
        </w:tc>
        <w:tc>
          <w:tcPr>
            <w:tcW w:w="236" w:type="pct"/>
            <w:shd w:val="clear" w:color="auto" w:fill="auto"/>
            <w:noWrap/>
            <w:textDirection w:val="btLr"/>
            <w:vAlign w:val="center"/>
            <w:hideMark/>
          </w:tcPr>
          <w:p w14:paraId="244E5E49"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5.300 </w:t>
            </w:r>
          </w:p>
        </w:tc>
        <w:tc>
          <w:tcPr>
            <w:tcW w:w="237" w:type="pct"/>
            <w:shd w:val="clear" w:color="auto" w:fill="auto"/>
            <w:noWrap/>
            <w:textDirection w:val="btLr"/>
            <w:vAlign w:val="center"/>
            <w:hideMark/>
          </w:tcPr>
          <w:p w14:paraId="6D83D5D5"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5.830 </w:t>
            </w:r>
          </w:p>
        </w:tc>
        <w:tc>
          <w:tcPr>
            <w:tcW w:w="239" w:type="pct"/>
            <w:shd w:val="clear" w:color="auto" w:fill="auto"/>
            <w:noWrap/>
            <w:textDirection w:val="btLr"/>
            <w:vAlign w:val="center"/>
            <w:hideMark/>
          </w:tcPr>
          <w:p w14:paraId="75AF38DF"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6.413 </w:t>
            </w:r>
          </w:p>
        </w:tc>
        <w:tc>
          <w:tcPr>
            <w:tcW w:w="222" w:type="pct"/>
            <w:shd w:val="clear" w:color="auto" w:fill="auto"/>
            <w:noWrap/>
            <w:textDirection w:val="btLr"/>
            <w:vAlign w:val="center"/>
            <w:hideMark/>
          </w:tcPr>
          <w:p w14:paraId="5E25C3D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7.055 </w:t>
            </w:r>
          </w:p>
        </w:tc>
      </w:tr>
      <w:tr w:rsidR="00384866" w:rsidRPr="00F55BF9" w14:paraId="710786BA"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8"/>
        </w:trPr>
        <w:tc>
          <w:tcPr>
            <w:tcW w:w="2408" w:type="pct"/>
            <w:shd w:val="clear" w:color="auto" w:fill="C2D69B" w:themeFill="accent3" w:themeFillTint="99"/>
            <w:vAlign w:val="center"/>
            <w:hideMark/>
          </w:tcPr>
          <w:p w14:paraId="4DD99D0E"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Otros ingresos no tributarios (Sec. Tránsito) 100%</w:t>
            </w:r>
          </w:p>
        </w:tc>
        <w:tc>
          <w:tcPr>
            <w:tcW w:w="237" w:type="pct"/>
            <w:shd w:val="clear" w:color="auto" w:fill="auto"/>
            <w:noWrap/>
            <w:textDirection w:val="btLr"/>
            <w:vAlign w:val="center"/>
            <w:hideMark/>
          </w:tcPr>
          <w:p w14:paraId="306AEF3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798 </w:t>
            </w:r>
          </w:p>
        </w:tc>
        <w:tc>
          <w:tcPr>
            <w:tcW w:w="236" w:type="pct"/>
            <w:shd w:val="clear" w:color="auto" w:fill="auto"/>
            <w:noWrap/>
            <w:textDirection w:val="btLr"/>
            <w:vAlign w:val="center"/>
            <w:hideMark/>
          </w:tcPr>
          <w:p w14:paraId="1166DAC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878 </w:t>
            </w:r>
          </w:p>
        </w:tc>
        <w:tc>
          <w:tcPr>
            <w:tcW w:w="237" w:type="pct"/>
            <w:shd w:val="clear" w:color="auto" w:fill="auto"/>
            <w:noWrap/>
            <w:textDirection w:val="btLr"/>
            <w:vAlign w:val="center"/>
            <w:hideMark/>
          </w:tcPr>
          <w:p w14:paraId="31E3018B"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966 </w:t>
            </w:r>
          </w:p>
        </w:tc>
        <w:tc>
          <w:tcPr>
            <w:tcW w:w="237" w:type="pct"/>
            <w:shd w:val="clear" w:color="auto" w:fill="auto"/>
            <w:noWrap/>
            <w:textDirection w:val="btLr"/>
            <w:vAlign w:val="center"/>
            <w:hideMark/>
          </w:tcPr>
          <w:p w14:paraId="6CBF0CC2"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1.062 </w:t>
            </w:r>
          </w:p>
        </w:tc>
        <w:tc>
          <w:tcPr>
            <w:tcW w:w="236" w:type="pct"/>
            <w:shd w:val="clear" w:color="auto" w:fill="auto"/>
            <w:noWrap/>
            <w:textDirection w:val="btLr"/>
            <w:vAlign w:val="center"/>
            <w:hideMark/>
          </w:tcPr>
          <w:p w14:paraId="7859517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1.169 </w:t>
            </w:r>
          </w:p>
        </w:tc>
        <w:tc>
          <w:tcPr>
            <w:tcW w:w="237" w:type="pct"/>
            <w:shd w:val="clear" w:color="auto" w:fill="auto"/>
            <w:noWrap/>
            <w:textDirection w:val="btLr"/>
            <w:vAlign w:val="center"/>
            <w:hideMark/>
          </w:tcPr>
          <w:p w14:paraId="1596CD66"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1.285 </w:t>
            </w:r>
          </w:p>
        </w:tc>
        <w:tc>
          <w:tcPr>
            <w:tcW w:w="237" w:type="pct"/>
            <w:shd w:val="clear" w:color="auto" w:fill="auto"/>
            <w:noWrap/>
            <w:textDirection w:val="btLr"/>
            <w:vAlign w:val="center"/>
            <w:hideMark/>
          </w:tcPr>
          <w:p w14:paraId="55527814"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1.414 </w:t>
            </w:r>
          </w:p>
        </w:tc>
        <w:tc>
          <w:tcPr>
            <w:tcW w:w="236" w:type="pct"/>
            <w:shd w:val="clear" w:color="auto" w:fill="auto"/>
            <w:noWrap/>
            <w:textDirection w:val="btLr"/>
            <w:vAlign w:val="center"/>
            <w:hideMark/>
          </w:tcPr>
          <w:p w14:paraId="57D56FAE"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1.555 </w:t>
            </w:r>
          </w:p>
        </w:tc>
        <w:tc>
          <w:tcPr>
            <w:tcW w:w="237" w:type="pct"/>
            <w:shd w:val="clear" w:color="auto" w:fill="auto"/>
            <w:noWrap/>
            <w:textDirection w:val="btLr"/>
            <w:vAlign w:val="center"/>
            <w:hideMark/>
          </w:tcPr>
          <w:p w14:paraId="322A4CF0"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1.711 </w:t>
            </w:r>
          </w:p>
        </w:tc>
        <w:tc>
          <w:tcPr>
            <w:tcW w:w="239" w:type="pct"/>
            <w:shd w:val="clear" w:color="auto" w:fill="auto"/>
            <w:noWrap/>
            <w:textDirection w:val="btLr"/>
            <w:vAlign w:val="center"/>
            <w:hideMark/>
          </w:tcPr>
          <w:p w14:paraId="1BD66E2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1.882 </w:t>
            </w:r>
          </w:p>
        </w:tc>
        <w:tc>
          <w:tcPr>
            <w:tcW w:w="222" w:type="pct"/>
            <w:shd w:val="clear" w:color="auto" w:fill="auto"/>
            <w:noWrap/>
            <w:textDirection w:val="btLr"/>
            <w:vAlign w:val="center"/>
            <w:hideMark/>
          </w:tcPr>
          <w:p w14:paraId="0C4C9547" w14:textId="77777777" w:rsidR="00384866" w:rsidRPr="00F55BF9"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2.070 </w:t>
            </w:r>
          </w:p>
        </w:tc>
      </w:tr>
      <w:tr w:rsidR="00384866" w:rsidRPr="00F55BF9" w14:paraId="051F7684" w14:textId="77777777" w:rsidTr="002E79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91"/>
        </w:trPr>
        <w:tc>
          <w:tcPr>
            <w:tcW w:w="2408" w:type="pct"/>
            <w:shd w:val="clear" w:color="auto" w:fill="C2D69B" w:themeFill="accent3" w:themeFillTint="99"/>
            <w:vAlign w:val="center"/>
            <w:hideMark/>
          </w:tcPr>
          <w:p w14:paraId="48C887C7"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Transferencia vehículo automotor (Sec. Tránsito) 100%</w:t>
            </w:r>
          </w:p>
        </w:tc>
        <w:tc>
          <w:tcPr>
            <w:tcW w:w="237" w:type="pct"/>
            <w:shd w:val="clear" w:color="auto" w:fill="auto"/>
            <w:noWrap/>
            <w:textDirection w:val="btLr"/>
            <w:vAlign w:val="center"/>
            <w:hideMark/>
          </w:tcPr>
          <w:p w14:paraId="500DC106"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2.332 </w:t>
            </w:r>
          </w:p>
        </w:tc>
        <w:tc>
          <w:tcPr>
            <w:tcW w:w="236" w:type="pct"/>
            <w:shd w:val="clear" w:color="auto" w:fill="auto"/>
            <w:noWrap/>
            <w:textDirection w:val="btLr"/>
            <w:vAlign w:val="center"/>
            <w:hideMark/>
          </w:tcPr>
          <w:p w14:paraId="3AB2D3F4"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2.565 </w:t>
            </w:r>
          </w:p>
        </w:tc>
        <w:tc>
          <w:tcPr>
            <w:tcW w:w="237" w:type="pct"/>
            <w:shd w:val="clear" w:color="auto" w:fill="auto"/>
            <w:noWrap/>
            <w:textDirection w:val="btLr"/>
            <w:vAlign w:val="center"/>
            <w:hideMark/>
          </w:tcPr>
          <w:p w14:paraId="797A0A22"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2.822 </w:t>
            </w:r>
          </w:p>
        </w:tc>
        <w:tc>
          <w:tcPr>
            <w:tcW w:w="237" w:type="pct"/>
            <w:shd w:val="clear" w:color="auto" w:fill="auto"/>
            <w:noWrap/>
            <w:textDirection w:val="btLr"/>
            <w:vAlign w:val="center"/>
            <w:hideMark/>
          </w:tcPr>
          <w:p w14:paraId="59E3BA07"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3.104 </w:t>
            </w:r>
          </w:p>
        </w:tc>
        <w:tc>
          <w:tcPr>
            <w:tcW w:w="236" w:type="pct"/>
            <w:shd w:val="clear" w:color="auto" w:fill="auto"/>
            <w:noWrap/>
            <w:textDirection w:val="btLr"/>
            <w:vAlign w:val="center"/>
            <w:hideMark/>
          </w:tcPr>
          <w:p w14:paraId="10648C2B"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3.414 </w:t>
            </w:r>
          </w:p>
        </w:tc>
        <w:tc>
          <w:tcPr>
            <w:tcW w:w="237" w:type="pct"/>
            <w:shd w:val="clear" w:color="auto" w:fill="auto"/>
            <w:noWrap/>
            <w:textDirection w:val="btLr"/>
            <w:vAlign w:val="center"/>
            <w:hideMark/>
          </w:tcPr>
          <w:p w14:paraId="7C61F721"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3.756 </w:t>
            </w:r>
          </w:p>
        </w:tc>
        <w:tc>
          <w:tcPr>
            <w:tcW w:w="237" w:type="pct"/>
            <w:shd w:val="clear" w:color="auto" w:fill="auto"/>
            <w:noWrap/>
            <w:textDirection w:val="btLr"/>
            <w:vAlign w:val="center"/>
            <w:hideMark/>
          </w:tcPr>
          <w:p w14:paraId="55529EF4"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4.131 </w:t>
            </w:r>
          </w:p>
        </w:tc>
        <w:tc>
          <w:tcPr>
            <w:tcW w:w="236" w:type="pct"/>
            <w:shd w:val="clear" w:color="auto" w:fill="auto"/>
            <w:noWrap/>
            <w:textDirection w:val="btLr"/>
            <w:vAlign w:val="center"/>
            <w:hideMark/>
          </w:tcPr>
          <w:p w14:paraId="5DA8DB1E"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4.544 </w:t>
            </w:r>
          </w:p>
        </w:tc>
        <w:tc>
          <w:tcPr>
            <w:tcW w:w="237" w:type="pct"/>
            <w:shd w:val="clear" w:color="auto" w:fill="auto"/>
            <w:noWrap/>
            <w:textDirection w:val="btLr"/>
            <w:vAlign w:val="center"/>
            <w:hideMark/>
          </w:tcPr>
          <w:p w14:paraId="31EAFDFE"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4.999 </w:t>
            </w:r>
          </w:p>
        </w:tc>
        <w:tc>
          <w:tcPr>
            <w:tcW w:w="239" w:type="pct"/>
            <w:shd w:val="clear" w:color="auto" w:fill="auto"/>
            <w:noWrap/>
            <w:textDirection w:val="btLr"/>
            <w:vAlign w:val="center"/>
            <w:hideMark/>
          </w:tcPr>
          <w:p w14:paraId="1F1EC8ED"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5.499 </w:t>
            </w:r>
          </w:p>
        </w:tc>
        <w:tc>
          <w:tcPr>
            <w:tcW w:w="222" w:type="pct"/>
            <w:shd w:val="clear" w:color="auto" w:fill="auto"/>
            <w:noWrap/>
            <w:textDirection w:val="btLr"/>
            <w:vAlign w:val="center"/>
            <w:hideMark/>
          </w:tcPr>
          <w:p w14:paraId="7B0EE2CB" w14:textId="77777777" w:rsidR="00384866" w:rsidRPr="002E7971" w:rsidRDefault="00384866" w:rsidP="00384866">
            <w:pPr>
              <w:spacing w:after="0" w:line="240" w:lineRule="auto"/>
              <w:ind w:left="113" w:right="113"/>
              <w:jc w:val="right"/>
              <w:rPr>
                <w:rFonts w:ascii="Century Gothic" w:eastAsia="Times New Roman" w:hAnsi="Century Gothic" w:cs="Times New Roman"/>
                <w:color w:val="000000"/>
                <w:sz w:val="18"/>
                <w:szCs w:val="18"/>
                <w:lang w:val="es-ES" w:eastAsia="es-ES"/>
              </w:rPr>
            </w:pPr>
            <w:r w:rsidRPr="002E7971">
              <w:rPr>
                <w:rFonts w:ascii="Century Gothic" w:eastAsia="Times New Roman" w:hAnsi="Century Gothic" w:cs="Times New Roman"/>
                <w:color w:val="000000"/>
                <w:sz w:val="18"/>
                <w:szCs w:val="18"/>
                <w:lang w:val="es-ES" w:eastAsia="es-ES"/>
              </w:rPr>
              <w:t xml:space="preserve">6.049 </w:t>
            </w:r>
          </w:p>
        </w:tc>
      </w:tr>
      <w:tr w:rsidR="00384866" w:rsidRPr="00F55BF9" w14:paraId="16397D03" w14:textId="77777777" w:rsidTr="00F91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0"/>
        </w:trPr>
        <w:tc>
          <w:tcPr>
            <w:tcW w:w="2408" w:type="pct"/>
            <w:shd w:val="clear" w:color="auto" w:fill="C2D69B" w:themeFill="accent3" w:themeFillTint="99"/>
            <w:noWrap/>
            <w:vAlign w:val="center"/>
            <w:hideMark/>
          </w:tcPr>
          <w:p w14:paraId="284EC47A" w14:textId="400478BA" w:rsidR="00384866" w:rsidRPr="00F55BF9" w:rsidRDefault="002E7971" w:rsidP="00384866">
            <w:pPr>
              <w:spacing w:after="0" w:line="240" w:lineRule="auto"/>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Total</w:t>
            </w:r>
          </w:p>
        </w:tc>
        <w:tc>
          <w:tcPr>
            <w:tcW w:w="237" w:type="pct"/>
            <w:shd w:val="clear" w:color="auto" w:fill="D6E3BC" w:themeFill="accent3" w:themeFillTint="66"/>
            <w:noWrap/>
            <w:textDirection w:val="btLr"/>
            <w:vAlign w:val="bottom"/>
            <w:hideMark/>
          </w:tcPr>
          <w:p w14:paraId="70D455DB"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104.674 </w:t>
            </w:r>
          </w:p>
        </w:tc>
        <w:tc>
          <w:tcPr>
            <w:tcW w:w="236" w:type="pct"/>
            <w:shd w:val="clear" w:color="auto" w:fill="D6E3BC" w:themeFill="accent3" w:themeFillTint="66"/>
            <w:noWrap/>
            <w:textDirection w:val="btLr"/>
            <w:vAlign w:val="bottom"/>
            <w:hideMark/>
          </w:tcPr>
          <w:p w14:paraId="1CEEB516"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114.907 </w:t>
            </w:r>
          </w:p>
        </w:tc>
        <w:tc>
          <w:tcPr>
            <w:tcW w:w="237" w:type="pct"/>
            <w:shd w:val="clear" w:color="auto" w:fill="D6E3BC" w:themeFill="accent3" w:themeFillTint="66"/>
            <w:noWrap/>
            <w:textDirection w:val="btLr"/>
            <w:vAlign w:val="bottom"/>
            <w:hideMark/>
          </w:tcPr>
          <w:p w14:paraId="0CA5D082"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123.924 </w:t>
            </w:r>
          </w:p>
        </w:tc>
        <w:tc>
          <w:tcPr>
            <w:tcW w:w="237" w:type="pct"/>
            <w:shd w:val="clear" w:color="auto" w:fill="D6E3BC" w:themeFill="accent3" w:themeFillTint="66"/>
            <w:noWrap/>
            <w:textDirection w:val="btLr"/>
            <w:vAlign w:val="bottom"/>
            <w:hideMark/>
          </w:tcPr>
          <w:p w14:paraId="503CB197"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133.853 </w:t>
            </w:r>
          </w:p>
        </w:tc>
        <w:tc>
          <w:tcPr>
            <w:tcW w:w="236" w:type="pct"/>
            <w:shd w:val="clear" w:color="auto" w:fill="D6E3BC" w:themeFill="accent3" w:themeFillTint="66"/>
            <w:noWrap/>
            <w:textDirection w:val="btLr"/>
            <w:vAlign w:val="bottom"/>
            <w:hideMark/>
          </w:tcPr>
          <w:p w14:paraId="4375C7B2"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144.795 </w:t>
            </w:r>
          </w:p>
        </w:tc>
        <w:tc>
          <w:tcPr>
            <w:tcW w:w="237" w:type="pct"/>
            <w:shd w:val="clear" w:color="auto" w:fill="D6E3BC" w:themeFill="accent3" w:themeFillTint="66"/>
            <w:noWrap/>
            <w:textDirection w:val="btLr"/>
            <w:vAlign w:val="bottom"/>
            <w:hideMark/>
          </w:tcPr>
          <w:p w14:paraId="187AC957"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156.866 </w:t>
            </w:r>
          </w:p>
        </w:tc>
        <w:tc>
          <w:tcPr>
            <w:tcW w:w="237" w:type="pct"/>
            <w:shd w:val="clear" w:color="auto" w:fill="D6E3BC" w:themeFill="accent3" w:themeFillTint="66"/>
            <w:noWrap/>
            <w:textDirection w:val="btLr"/>
            <w:vAlign w:val="bottom"/>
            <w:hideMark/>
          </w:tcPr>
          <w:p w14:paraId="398AC1A2"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170.191 </w:t>
            </w:r>
          </w:p>
        </w:tc>
        <w:tc>
          <w:tcPr>
            <w:tcW w:w="236" w:type="pct"/>
            <w:shd w:val="clear" w:color="auto" w:fill="D6E3BC" w:themeFill="accent3" w:themeFillTint="66"/>
            <w:noWrap/>
            <w:textDirection w:val="btLr"/>
            <w:vAlign w:val="bottom"/>
            <w:hideMark/>
          </w:tcPr>
          <w:p w14:paraId="1B333214"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184.914 </w:t>
            </w:r>
          </w:p>
        </w:tc>
        <w:tc>
          <w:tcPr>
            <w:tcW w:w="237" w:type="pct"/>
            <w:shd w:val="clear" w:color="auto" w:fill="D6E3BC" w:themeFill="accent3" w:themeFillTint="66"/>
            <w:noWrap/>
            <w:textDirection w:val="btLr"/>
            <w:vAlign w:val="bottom"/>
            <w:hideMark/>
          </w:tcPr>
          <w:p w14:paraId="1614F505"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201.192 </w:t>
            </w:r>
          </w:p>
        </w:tc>
        <w:tc>
          <w:tcPr>
            <w:tcW w:w="239" w:type="pct"/>
            <w:shd w:val="clear" w:color="auto" w:fill="D6E3BC" w:themeFill="accent3" w:themeFillTint="66"/>
            <w:noWrap/>
            <w:textDirection w:val="btLr"/>
            <w:vAlign w:val="bottom"/>
            <w:hideMark/>
          </w:tcPr>
          <w:p w14:paraId="3D088CCB"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219.203 </w:t>
            </w:r>
          </w:p>
        </w:tc>
        <w:tc>
          <w:tcPr>
            <w:tcW w:w="222" w:type="pct"/>
            <w:shd w:val="clear" w:color="auto" w:fill="D6E3BC" w:themeFill="accent3" w:themeFillTint="66"/>
            <w:noWrap/>
            <w:textDirection w:val="btLr"/>
            <w:vAlign w:val="bottom"/>
            <w:hideMark/>
          </w:tcPr>
          <w:p w14:paraId="0C0E28A2" w14:textId="77777777" w:rsidR="00384866" w:rsidRPr="00F9168A"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9168A">
              <w:rPr>
                <w:rFonts w:ascii="Century Gothic" w:eastAsia="Times New Roman" w:hAnsi="Century Gothic" w:cs="Times New Roman"/>
                <w:b/>
                <w:bCs/>
                <w:color w:val="000000"/>
                <w:sz w:val="18"/>
                <w:szCs w:val="18"/>
                <w:lang w:val="es-ES" w:eastAsia="es-ES"/>
              </w:rPr>
              <w:t xml:space="preserve">239.144 </w:t>
            </w:r>
          </w:p>
        </w:tc>
      </w:tr>
      <w:tr w:rsidR="00384866" w:rsidRPr="00F55BF9" w14:paraId="0DBD2DAF"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9"/>
        </w:trPr>
        <w:tc>
          <w:tcPr>
            <w:tcW w:w="2408" w:type="pct"/>
            <w:shd w:val="clear" w:color="auto" w:fill="C2D69B" w:themeFill="accent3" w:themeFillTint="99"/>
            <w:vAlign w:val="center"/>
            <w:hideMark/>
          </w:tcPr>
          <w:p w14:paraId="367D8B5F" w14:textId="77777777" w:rsidR="00384866" w:rsidRPr="002E7971" w:rsidRDefault="00384866" w:rsidP="00384866">
            <w:pPr>
              <w:spacing w:after="0" w:line="240" w:lineRule="auto"/>
              <w:rPr>
                <w:rFonts w:ascii="Century Gothic" w:eastAsia="Times New Roman" w:hAnsi="Century Gothic" w:cs="Times New Roman"/>
                <w:b/>
                <w:color w:val="000000"/>
                <w:sz w:val="18"/>
                <w:szCs w:val="18"/>
                <w:lang w:val="es-ES" w:eastAsia="es-ES"/>
              </w:rPr>
            </w:pPr>
            <w:r w:rsidRPr="002E7971">
              <w:rPr>
                <w:rFonts w:ascii="Century Gothic" w:eastAsia="Times New Roman" w:hAnsi="Century Gothic" w:cs="Times New Roman"/>
                <w:b/>
                <w:color w:val="000000"/>
                <w:sz w:val="18"/>
                <w:szCs w:val="18"/>
                <w:lang w:val="es-ES" w:eastAsia="es-ES"/>
              </w:rPr>
              <w:t>1%  art. 210 ley 1450 de 2011 Medio Ambiente</w:t>
            </w:r>
          </w:p>
        </w:tc>
        <w:tc>
          <w:tcPr>
            <w:tcW w:w="237" w:type="pct"/>
            <w:shd w:val="clear" w:color="auto" w:fill="auto"/>
            <w:noWrap/>
            <w:textDirection w:val="btLr"/>
            <w:vAlign w:val="bottom"/>
            <w:hideMark/>
          </w:tcPr>
          <w:p w14:paraId="09588698"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1.047 </w:t>
            </w:r>
          </w:p>
        </w:tc>
        <w:tc>
          <w:tcPr>
            <w:tcW w:w="236" w:type="pct"/>
            <w:shd w:val="clear" w:color="auto" w:fill="auto"/>
            <w:noWrap/>
            <w:textDirection w:val="btLr"/>
            <w:vAlign w:val="bottom"/>
            <w:hideMark/>
          </w:tcPr>
          <w:p w14:paraId="243028D9"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1.149 </w:t>
            </w:r>
          </w:p>
        </w:tc>
        <w:tc>
          <w:tcPr>
            <w:tcW w:w="237" w:type="pct"/>
            <w:shd w:val="clear" w:color="auto" w:fill="auto"/>
            <w:noWrap/>
            <w:textDirection w:val="btLr"/>
            <w:vAlign w:val="bottom"/>
            <w:hideMark/>
          </w:tcPr>
          <w:p w14:paraId="669BC613"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1.239 </w:t>
            </w:r>
          </w:p>
        </w:tc>
        <w:tc>
          <w:tcPr>
            <w:tcW w:w="237" w:type="pct"/>
            <w:shd w:val="clear" w:color="auto" w:fill="auto"/>
            <w:noWrap/>
            <w:textDirection w:val="btLr"/>
            <w:vAlign w:val="bottom"/>
            <w:hideMark/>
          </w:tcPr>
          <w:p w14:paraId="010ABE6B"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1.339 </w:t>
            </w:r>
          </w:p>
        </w:tc>
        <w:tc>
          <w:tcPr>
            <w:tcW w:w="236" w:type="pct"/>
            <w:shd w:val="clear" w:color="auto" w:fill="auto"/>
            <w:noWrap/>
            <w:textDirection w:val="btLr"/>
            <w:vAlign w:val="bottom"/>
            <w:hideMark/>
          </w:tcPr>
          <w:p w14:paraId="1437B77C"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1.448 </w:t>
            </w:r>
          </w:p>
        </w:tc>
        <w:tc>
          <w:tcPr>
            <w:tcW w:w="237" w:type="pct"/>
            <w:shd w:val="clear" w:color="auto" w:fill="auto"/>
            <w:noWrap/>
            <w:textDirection w:val="btLr"/>
            <w:vAlign w:val="bottom"/>
            <w:hideMark/>
          </w:tcPr>
          <w:p w14:paraId="3886D4C2"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1.569 </w:t>
            </w:r>
          </w:p>
        </w:tc>
        <w:tc>
          <w:tcPr>
            <w:tcW w:w="237" w:type="pct"/>
            <w:shd w:val="clear" w:color="auto" w:fill="auto"/>
            <w:noWrap/>
            <w:textDirection w:val="btLr"/>
            <w:vAlign w:val="bottom"/>
            <w:hideMark/>
          </w:tcPr>
          <w:p w14:paraId="279CEB1C"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1.702 </w:t>
            </w:r>
          </w:p>
        </w:tc>
        <w:tc>
          <w:tcPr>
            <w:tcW w:w="236" w:type="pct"/>
            <w:shd w:val="clear" w:color="auto" w:fill="auto"/>
            <w:noWrap/>
            <w:textDirection w:val="btLr"/>
            <w:vAlign w:val="bottom"/>
            <w:hideMark/>
          </w:tcPr>
          <w:p w14:paraId="49F45E1F"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1.849 </w:t>
            </w:r>
          </w:p>
        </w:tc>
        <w:tc>
          <w:tcPr>
            <w:tcW w:w="237" w:type="pct"/>
            <w:shd w:val="clear" w:color="auto" w:fill="auto"/>
            <w:noWrap/>
            <w:textDirection w:val="btLr"/>
            <w:vAlign w:val="bottom"/>
            <w:hideMark/>
          </w:tcPr>
          <w:p w14:paraId="3ECBBA02"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2.012 </w:t>
            </w:r>
          </w:p>
        </w:tc>
        <w:tc>
          <w:tcPr>
            <w:tcW w:w="239" w:type="pct"/>
            <w:shd w:val="clear" w:color="auto" w:fill="auto"/>
            <w:noWrap/>
            <w:textDirection w:val="btLr"/>
            <w:vAlign w:val="bottom"/>
            <w:hideMark/>
          </w:tcPr>
          <w:p w14:paraId="28ABA409"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2.192 </w:t>
            </w:r>
          </w:p>
        </w:tc>
        <w:tc>
          <w:tcPr>
            <w:tcW w:w="222" w:type="pct"/>
            <w:shd w:val="clear" w:color="auto" w:fill="auto"/>
            <w:noWrap/>
            <w:textDirection w:val="btLr"/>
            <w:vAlign w:val="bottom"/>
            <w:hideMark/>
          </w:tcPr>
          <w:p w14:paraId="5BC0C7C8" w14:textId="77777777" w:rsidR="00384866" w:rsidRPr="00F55BF9" w:rsidRDefault="00384866" w:rsidP="00384866">
            <w:pPr>
              <w:spacing w:after="0" w:line="240" w:lineRule="auto"/>
              <w:ind w:left="113" w:right="113"/>
              <w:rPr>
                <w:rFonts w:ascii="Century Gothic" w:eastAsia="Times New Roman" w:hAnsi="Century Gothic" w:cs="Times New Roman"/>
                <w:color w:val="000000"/>
                <w:sz w:val="18"/>
                <w:szCs w:val="18"/>
                <w:lang w:val="es-ES" w:eastAsia="es-ES"/>
              </w:rPr>
            </w:pPr>
            <w:r w:rsidRPr="00F55BF9">
              <w:rPr>
                <w:rFonts w:ascii="Century Gothic" w:eastAsia="Times New Roman" w:hAnsi="Century Gothic" w:cs="Times New Roman"/>
                <w:color w:val="000000"/>
                <w:sz w:val="18"/>
                <w:szCs w:val="18"/>
                <w:lang w:val="es-ES" w:eastAsia="es-ES"/>
              </w:rPr>
              <w:t xml:space="preserve">2.391 </w:t>
            </w:r>
          </w:p>
        </w:tc>
      </w:tr>
      <w:tr w:rsidR="00384866" w:rsidRPr="00F55BF9" w14:paraId="77946C66" w14:textId="77777777" w:rsidTr="00384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90"/>
        </w:trPr>
        <w:tc>
          <w:tcPr>
            <w:tcW w:w="2408" w:type="pct"/>
            <w:shd w:val="clear" w:color="auto" w:fill="C2D69B" w:themeFill="accent3" w:themeFillTint="99"/>
            <w:noWrap/>
            <w:vAlign w:val="center"/>
            <w:hideMark/>
          </w:tcPr>
          <w:p w14:paraId="2D8E46E0" w14:textId="77777777" w:rsidR="00384866" w:rsidRPr="00F55BF9" w:rsidRDefault="00384866" w:rsidP="00384866">
            <w:pPr>
              <w:spacing w:after="0" w:line="240" w:lineRule="auto"/>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Total ICLD</w:t>
            </w:r>
          </w:p>
        </w:tc>
        <w:tc>
          <w:tcPr>
            <w:tcW w:w="237" w:type="pct"/>
            <w:shd w:val="clear" w:color="auto" w:fill="C2D69B" w:themeFill="accent3" w:themeFillTint="99"/>
            <w:noWrap/>
            <w:textDirection w:val="btLr"/>
            <w:vAlign w:val="bottom"/>
            <w:hideMark/>
          </w:tcPr>
          <w:p w14:paraId="4641D0F9"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103.628 </w:t>
            </w:r>
          </w:p>
        </w:tc>
        <w:tc>
          <w:tcPr>
            <w:tcW w:w="236" w:type="pct"/>
            <w:shd w:val="clear" w:color="auto" w:fill="C2D69B" w:themeFill="accent3" w:themeFillTint="99"/>
            <w:noWrap/>
            <w:textDirection w:val="btLr"/>
            <w:vAlign w:val="bottom"/>
            <w:hideMark/>
          </w:tcPr>
          <w:p w14:paraId="65FAB2E0"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113.758 </w:t>
            </w:r>
          </w:p>
        </w:tc>
        <w:tc>
          <w:tcPr>
            <w:tcW w:w="237" w:type="pct"/>
            <w:shd w:val="clear" w:color="auto" w:fill="C2D69B" w:themeFill="accent3" w:themeFillTint="99"/>
            <w:noWrap/>
            <w:textDirection w:val="btLr"/>
            <w:vAlign w:val="bottom"/>
            <w:hideMark/>
          </w:tcPr>
          <w:p w14:paraId="5DAD3415"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122.685 </w:t>
            </w:r>
          </w:p>
        </w:tc>
        <w:tc>
          <w:tcPr>
            <w:tcW w:w="237" w:type="pct"/>
            <w:shd w:val="clear" w:color="auto" w:fill="C2D69B" w:themeFill="accent3" w:themeFillTint="99"/>
            <w:noWrap/>
            <w:textDirection w:val="btLr"/>
            <w:vAlign w:val="bottom"/>
            <w:hideMark/>
          </w:tcPr>
          <w:p w14:paraId="58B3FB5E"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132.514 </w:t>
            </w:r>
          </w:p>
        </w:tc>
        <w:tc>
          <w:tcPr>
            <w:tcW w:w="236" w:type="pct"/>
            <w:shd w:val="clear" w:color="auto" w:fill="C2D69B" w:themeFill="accent3" w:themeFillTint="99"/>
            <w:noWrap/>
            <w:textDirection w:val="btLr"/>
            <w:vAlign w:val="bottom"/>
            <w:hideMark/>
          </w:tcPr>
          <w:p w14:paraId="0BBF3B04"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143.347 </w:t>
            </w:r>
          </w:p>
        </w:tc>
        <w:tc>
          <w:tcPr>
            <w:tcW w:w="237" w:type="pct"/>
            <w:shd w:val="clear" w:color="auto" w:fill="C2D69B" w:themeFill="accent3" w:themeFillTint="99"/>
            <w:noWrap/>
            <w:textDirection w:val="btLr"/>
            <w:vAlign w:val="bottom"/>
            <w:hideMark/>
          </w:tcPr>
          <w:p w14:paraId="4247B137"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155.297 </w:t>
            </w:r>
          </w:p>
        </w:tc>
        <w:tc>
          <w:tcPr>
            <w:tcW w:w="237" w:type="pct"/>
            <w:shd w:val="clear" w:color="auto" w:fill="C2D69B" w:themeFill="accent3" w:themeFillTint="99"/>
            <w:noWrap/>
            <w:textDirection w:val="btLr"/>
            <w:vAlign w:val="bottom"/>
            <w:hideMark/>
          </w:tcPr>
          <w:p w14:paraId="53665DA0"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168.489 </w:t>
            </w:r>
          </w:p>
        </w:tc>
        <w:tc>
          <w:tcPr>
            <w:tcW w:w="236" w:type="pct"/>
            <w:shd w:val="clear" w:color="auto" w:fill="C2D69B" w:themeFill="accent3" w:themeFillTint="99"/>
            <w:noWrap/>
            <w:textDirection w:val="btLr"/>
            <w:vAlign w:val="bottom"/>
            <w:hideMark/>
          </w:tcPr>
          <w:p w14:paraId="1922AA61"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183.065 </w:t>
            </w:r>
          </w:p>
        </w:tc>
        <w:tc>
          <w:tcPr>
            <w:tcW w:w="237" w:type="pct"/>
            <w:shd w:val="clear" w:color="auto" w:fill="C2D69B" w:themeFill="accent3" w:themeFillTint="99"/>
            <w:noWrap/>
            <w:textDirection w:val="btLr"/>
            <w:vAlign w:val="bottom"/>
            <w:hideMark/>
          </w:tcPr>
          <w:p w14:paraId="61EF0A40"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199.180 </w:t>
            </w:r>
          </w:p>
        </w:tc>
        <w:tc>
          <w:tcPr>
            <w:tcW w:w="239" w:type="pct"/>
            <w:shd w:val="clear" w:color="auto" w:fill="C2D69B" w:themeFill="accent3" w:themeFillTint="99"/>
            <w:noWrap/>
            <w:textDirection w:val="btLr"/>
            <w:vAlign w:val="bottom"/>
            <w:hideMark/>
          </w:tcPr>
          <w:p w14:paraId="2A69303D"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217.011 </w:t>
            </w:r>
          </w:p>
        </w:tc>
        <w:tc>
          <w:tcPr>
            <w:tcW w:w="222" w:type="pct"/>
            <w:shd w:val="clear" w:color="auto" w:fill="C2D69B" w:themeFill="accent3" w:themeFillTint="99"/>
            <w:noWrap/>
            <w:textDirection w:val="btLr"/>
            <w:vAlign w:val="bottom"/>
            <w:hideMark/>
          </w:tcPr>
          <w:p w14:paraId="206C58B9" w14:textId="77777777" w:rsidR="00384866" w:rsidRPr="00F55BF9" w:rsidRDefault="00384866" w:rsidP="00384866">
            <w:pPr>
              <w:spacing w:after="0" w:line="240" w:lineRule="auto"/>
              <w:ind w:left="113" w:right="113"/>
              <w:rPr>
                <w:rFonts w:ascii="Century Gothic" w:eastAsia="Times New Roman" w:hAnsi="Century Gothic" w:cs="Times New Roman"/>
                <w:b/>
                <w:bCs/>
                <w:color w:val="000000"/>
                <w:sz w:val="18"/>
                <w:szCs w:val="18"/>
                <w:lang w:val="es-ES" w:eastAsia="es-ES"/>
              </w:rPr>
            </w:pPr>
            <w:r w:rsidRPr="00F55BF9">
              <w:rPr>
                <w:rFonts w:ascii="Century Gothic" w:eastAsia="Times New Roman" w:hAnsi="Century Gothic" w:cs="Times New Roman"/>
                <w:b/>
                <w:bCs/>
                <w:color w:val="000000"/>
                <w:sz w:val="18"/>
                <w:szCs w:val="18"/>
                <w:lang w:val="es-ES" w:eastAsia="es-ES"/>
              </w:rPr>
              <w:t xml:space="preserve"> 236.753 </w:t>
            </w:r>
          </w:p>
        </w:tc>
      </w:tr>
    </w:tbl>
    <w:p w14:paraId="140F71EE" w14:textId="77777777" w:rsidR="00384866" w:rsidRPr="00AF28D3" w:rsidRDefault="00384866" w:rsidP="00384866">
      <w:pPr>
        <w:tabs>
          <w:tab w:val="left" w:pos="1092"/>
        </w:tabs>
        <w:jc w:val="center"/>
        <w:rPr>
          <w:rFonts w:ascii="Century Gothic" w:hAnsi="Century Gothic"/>
          <w:sz w:val="20"/>
          <w:lang w:val="es-ES"/>
        </w:rPr>
      </w:pPr>
      <w:r w:rsidRPr="00F55BF9">
        <w:rPr>
          <w:rFonts w:ascii="Century Gothic" w:hAnsi="Century Gothic"/>
          <w:sz w:val="20"/>
          <w:lang w:val="es-ES"/>
        </w:rPr>
        <w:t xml:space="preserve">Fuente: </w:t>
      </w:r>
      <w:r w:rsidRPr="00AF28D3">
        <w:rPr>
          <w:rFonts w:ascii="Century Gothic" w:hAnsi="Century Gothic"/>
          <w:sz w:val="20"/>
          <w:lang w:val="es-ES"/>
        </w:rPr>
        <w:t>Secretaría de Hacienda, 2018</w:t>
      </w:r>
    </w:p>
    <w:p w14:paraId="1B4101BF" w14:textId="06984307" w:rsidR="00142385" w:rsidRPr="00AF28D3" w:rsidRDefault="00142385" w:rsidP="00142385">
      <w:pPr>
        <w:spacing w:after="0"/>
        <w:jc w:val="center"/>
        <w:rPr>
          <w:rFonts w:ascii="Century Gothic" w:hAnsi="Century Gothic"/>
          <w:lang w:val="es-ES"/>
        </w:rPr>
      </w:pPr>
      <w:bookmarkStart w:id="78" w:name="_Toc532570529"/>
      <w:r w:rsidRPr="00AF28D3">
        <w:rPr>
          <w:rFonts w:ascii="Century Gothic" w:hAnsi="Century Gothic"/>
          <w:lang w:val="es-ES"/>
        </w:rPr>
        <w:t xml:space="preserve">Tabla </w:t>
      </w:r>
      <w:r w:rsidRPr="00AF28D3">
        <w:rPr>
          <w:rFonts w:ascii="Century Gothic" w:hAnsi="Century Gothic"/>
          <w:lang w:val="es-ES"/>
        </w:rPr>
        <w:fldChar w:fldCharType="begin"/>
      </w:r>
      <w:r w:rsidRPr="00AF28D3">
        <w:rPr>
          <w:rFonts w:ascii="Century Gothic" w:hAnsi="Century Gothic"/>
          <w:lang w:val="es-ES"/>
        </w:rPr>
        <w:instrText xml:space="preserve"> SEQ Tabla \* ARABIC </w:instrText>
      </w:r>
      <w:r w:rsidRPr="00AF28D3">
        <w:rPr>
          <w:rFonts w:ascii="Century Gothic" w:hAnsi="Century Gothic"/>
          <w:lang w:val="es-ES"/>
        </w:rPr>
        <w:fldChar w:fldCharType="separate"/>
      </w:r>
      <w:r w:rsidR="00934BA3" w:rsidRPr="00AF28D3">
        <w:rPr>
          <w:rFonts w:ascii="Century Gothic" w:hAnsi="Century Gothic"/>
          <w:noProof/>
          <w:lang w:val="es-ES"/>
        </w:rPr>
        <w:t>38</w:t>
      </w:r>
      <w:r w:rsidRPr="00AF28D3">
        <w:rPr>
          <w:rFonts w:ascii="Century Gothic" w:hAnsi="Century Gothic"/>
          <w:lang w:val="es-ES"/>
        </w:rPr>
        <w:fldChar w:fldCharType="end"/>
      </w:r>
      <w:r w:rsidRPr="00AF28D3">
        <w:rPr>
          <w:rFonts w:ascii="Century Gothic" w:hAnsi="Century Gothic"/>
          <w:lang w:val="es-ES"/>
        </w:rPr>
        <w:t>. Proyección ingresos corrientes de destinación específica 2019 – 2029 (millones de pesos)</w:t>
      </w:r>
      <w:bookmarkEnd w:id="78"/>
    </w:p>
    <w:tbl>
      <w:tblPr>
        <w:tblW w:w="5016" w:type="pct"/>
        <w:tblCellMar>
          <w:left w:w="70" w:type="dxa"/>
          <w:right w:w="70" w:type="dxa"/>
        </w:tblCellMar>
        <w:tblLook w:val="04A0" w:firstRow="1" w:lastRow="0" w:firstColumn="1" w:lastColumn="0" w:noHBand="0" w:noVBand="1"/>
      </w:tblPr>
      <w:tblGrid>
        <w:gridCol w:w="4323"/>
        <w:gridCol w:w="425"/>
        <w:gridCol w:w="423"/>
        <w:gridCol w:w="427"/>
        <w:gridCol w:w="427"/>
        <w:gridCol w:w="423"/>
        <w:gridCol w:w="427"/>
        <w:gridCol w:w="454"/>
        <w:gridCol w:w="427"/>
        <w:gridCol w:w="429"/>
        <w:gridCol w:w="427"/>
        <w:gridCol w:w="395"/>
      </w:tblGrid>
      <w:tr w:rsidR="00341016" w:rsidRPr="002E7971" w14:paraId="560867E3" w14:textId="77777777" w:rsidTr="00341016">
        <w:trPr>
          <w:cantSplit/>
          <w:trHeight w:val="771"/>
          <w:tblHeader/>
        </w:trPr>
        <w:tc>
          <w:tcPr>
            <w:tcW w:w="2400"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31D06406" w14:textId="77777777" w:rsidR="00384866" w:rsidRPr="002E7971" w:rsidRDefault="00384866" w:rsidP="00BD6743">
            <w:pPr>
              <w:spacing w:after="0" w:line="240" w:lineRule="auto"/>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Detalle</w:t>
            </w:r>
          </w:p>
        </w:tc>
        <w:tc>
          <w:tcPr>
            <w:tcW w:w="236"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229A0AF4"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2019</w:t>
            </w:r>
          </w:p>
        </w:tc>
        <w:tc>
          <w:tcPr>
            <w:tcW w:w="235"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0AA30524"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2020</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2B08E908"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2021</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0FE09F2B"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2022</w:t>
            </w:r>
          </w:p>
        </w:tc>
        <w:tc>
          <w:tcPr>
            <w:tcW w:w="235"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3746DE22"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2023</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34C489F5"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2024</w:t>
            </w:r>
          </w:p>
        </w:tc>
        <w:tc>
          <w:tcPr>
            <w:tcW w:w="252"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72ED3A0B"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2025</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11D8A120"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2026</w:t>
            </w:r>
          </w:p>
        </w:tc>
        <w:tc>
          <w:tcPr>
            <w:tcW w:w="238"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3EA9F61B"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2027</w:t>
            </w:r>
          </w:p>
        </w:tc>
        <w:tc>
          <w:tcPr>
            <w:tcW w:w="237"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19534D77"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2028</w:t>
            </w:r>
          </w:p>
        </w:tc>
        <w:tc>
          <w:tcPr>
            <w:tcW w:w="219" w:type="pct"/>
            <w:tcBorders>
              <w:top w:val="single" w:sz="4" w:space="0" w:color="auto"/>
              <w:left w:val="nil"/>
              <w:bottom w:val="single" w:sz="4" w:space="0" w:color="auto"/>
              <w:right w:val="single" w:sz="4" w:space="0" w:color="auto"/>
            </w:tcBorders>
            <w:shd w:val="clear" w:color="auto" w:fill="C2D69B" w:themeFill="accent3" w:themeFillTint="99"/>
            <w:noWrap/>
            <w:textDirection w:val="btLr"/>
            <w:vAlign w:val="center"/>
            <w:hideMark/>
          </w:tcPr>
          <w:p w14:paraId="2BCF9809" w14:textId="77777777" w:rsidR="00384866" w:rsidRPr="002E7971" w:rsidRDefault="00384866" w:rsidP="002E7971">
            <w:pPr>
              <w:spacing w:after="0" w:line="240" w:lineRule="auto"/>
              <w:ind w:left="113" w:right="113"/>
              <w:jc w:val="center"/>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2029</w:t>
            </w:r>
          </w:p>
        </w:tc>
      </w:tr>
      <w:tr w:rsidR="00E83765" w:rsidRPr="002E7971" w14:paraId="7C52818F"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1B864868" w14:textId="2467B041"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Impuesto predial unificado vigencia actual 25%</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09948890" w14:textId="0888AAA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11.648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247BA6E" w14:textId="7E06DE7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12.696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4C7D7B1" w14:textId="47252C1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13.077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1AA70F2" w14:textId="7819F2E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13.469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2BBF757" w14:textId="1687913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13.874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00C8F02" w14:textId="69DB690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14.290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CD727BB" w14:textId="215A627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14.718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51BE8E7" w14:textId="2380D01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15.160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AC2DA0F" w14:textId="1FBBE02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15.615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03439C2" w14:textId="059394F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16.083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E9885D1" w14:textId="09C7465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16.566 </w:t>
            </w:r>
          </w:p>
        </w:tc>
      </w:tr>
      <w:tr w:rsidR="00E83765" w:rsidRPr="002E7971" w14:paraId="1DF7CA70"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441349A" w14:textId="43938516"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Impuesto predial unificado vigencias anteriores 25%</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548BAFC4" w14:textId="3CE2335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1.492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0DE2D869" w14:textId="4CD7C81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1.626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294DE54" w14:textId="0D23615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1.773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4222079" w14:textId="2159F15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1.932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C448146" w14:textId="128B786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2.106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B202091" w14:textId="0B98032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2.296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6A8E0EC0" w14:textId="61BDDE4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2.503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6D8BECE" w14:textId="4C057EA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2.728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41CC39F" w14:textId="09D9526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2.973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E897BFB" w14:textId="713AB23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3.241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7B66487D" w14:textId="73D4241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3.533 </w:t>
            </w:r>
          </w:p>
        </w:tc>
      </w:tr>
      <w:tr w:rsidR="00E83765" w:rsidRPr="002E7971" w14:paraId="476953BE"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461DFB3C" w14:textId="13B8791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lastRenderedPageBreak/>
              <w:t>Impuesto de industria y comercio vigencia actual 4%</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073C10C1" w14:textId="2C7ABD5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1.629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65B7B6E" w14:textId="7BBF554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1.825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E9AF119" w14:textId="7636687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2.043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9200028" w14:textId="2053875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2.289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BB2E197" w14:textId="3F7CA95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2.563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8851647" w14:textId="2C785A8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2.871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64B47303" w14:textId="203689B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3.215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9AD3665" w14:textId="674D4D8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3.601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050CA7A6" w14:textId="1BA4020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4.033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1882E72" w14:textId="7DEF3D3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4.517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706AAC85" w14:textId="5E0BF29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5.060 </w:t>
            </w:r>
          </w:p>
        </w:tc>
      </w:tr>
      <w:tr w:rsidR="00E83765" w:rsidRPr="002E7971" w14:paraId="61F83501" w14:textId="77777777" w:rsidTr="00341016">
        <w:trPr>
          <w:cantSplit/>
          <w:trHeight w:val="45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EBE6961" w14:textId="33A64F0F"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Impuesto de industria y comercio vigencias anteriores 4%</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59DD8168" w14:textId="0B66910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1BA6473" w14:textId="78D785C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6AC5850" w14:textId="7F33E5E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CC4A1F2" w14:textId="0507BB3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E859330" w14:textId="14A50C6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56C5CD9" w14:textId="1AD9E82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4932C474" w14:textId="34AC932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BA764E4" w14:textId="5B96680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30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FD654FF" w14:textId="3422CAF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C879020" w14:textId="35D10C1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38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77B1257D" w14:textId="2FC9CE8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42 </w:t>
            </w:r>
          </w:p>
        </w:tc>
      </w:tr>
      <w:tr w:rsidR="00E83765" w:rsidRPr="002E7971" w14:paraId="2575D598"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A16464D" w14:textId="4D22A0DD"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Sobretasa </w:t>
            </w:r>
            <w:proofErr w:type="spellStart"/>
            <w:r w:rsidRPr="002E7971">
              <w:rPr>
                <w:rFonts w:ascii="Century Gothic" w:eastAsia="Times New Roman" w:hAnsi="Century Gothic" w:cs="Arial"/>
                <w:b/>
                <w:color w:val="000000"/>
                <w:sz w:val="18"/>
                <w:szCs w:val="18"/>
                <w:lang w:val="es-ES" w:eastAsia="es-ES"/>
              </w:rPr>
              <w:t>bomberil</w:t>
            </w:r>
            <w:proofErr w:type="spellEnd"/>
            <w:r w:rsidRPr="002E7971">
              <w:rPr>
                <w:rFonts w:ascii="Century Gothic" w:eastAsia="Times New Roman" w:hAnsi="Century Gothic" w:cs="Arial"/>
                <w:b/>
                <w:color w:val="000000"/>
                <w:sz w:val="18"/>
                <w:szCs w:val="18"/>
                <w:lang w:val="es-ES" w:eastAsia="es-ES"/>
              </w:rPr>
              <w:t xml:space="preserve"> 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1393B0C5" w14:textId="6C06159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1.898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3F14345" w14:textId="40784E2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2.069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9AE6F67" w14:textId="625AFC7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2.255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3F4AB3E" w14:textId="57945A5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2.458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C5A47DC" w14:textId="71599D4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2.679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E8390B3" w14:textId="15F3B46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2.921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5852EB55" w14:textId="415D178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3.183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01B0096" w14:textId="2B5B974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3.470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6F232C4" w14:textId="73C6D8A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3.782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4924C7E" w14:textId="2E726D6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4.123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6B8D43FB" w14:textId="76DC40D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4.494 </w:t>
            </w:r>
          </w:p>
        </w:tc>
      </w:tr>
      <w:tr w:rsidR="00E83765" w:rsidRPr="002E7971" w14:paraId="62D17205"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348FE0CA" w14:textId="59CAC884"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Sobretasa consumo gasolina motor 25%</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0EAF848C" w14:textId="7AAF6C7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2.059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E7C9631" w14:textId="36DFEEB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2.162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C9AE3DE" w14:textId="47D596D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2.271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D247E1C" w14:textId="6809281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2.384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C06D66E" w14:textId="425521E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2.503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D5D2721" w14:textId="570353D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2.628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59B30FDA" w14:textId="35B3672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2.760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574097E" w14:textId="3E88D7B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2.898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0F9D04D0" w14:textId="22C7BF0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3.043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5CE5178" w14:textId="63F8309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3.195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27181B06" w14:textId="436C911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3.355 </w:t>
            </w:r>
          </w:p>
        </w:tc>
      </w:tr>
      <w:tr w:rsidR="00E83765" w:rsidRPr="002E7971" w14:paraId="7D06E73E"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1810168A" w14:textId="0462F41B"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Estampilla Pro Cultura 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3C3D751D" w14:textId="0F70F82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4.378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CC2B03B" w14:textId="7BED6C0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4.516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3EF80FA" w14:textId="5E5528C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4.659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633E3D7" w14:textId="040AEA1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4.806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FB89409" w14:textId="31C2140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4.958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713EA71" w14:textId="7D86E41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5.114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5215F4B3" w14:textId="3AE97C9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5.276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F59566A" w14:textId="2A5D306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5.443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154DCC1" w14:textId="5415C15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5.615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FA58D16" w14:textId="61A6369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5.792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0D226EF2" w14:textId="4089037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5.975 </w:t>
            </w:r>
          </w:p>
        </w:tc>
      </w:tr>
      <w:tr w:rsidR="00E83765" w:rsidRPr="002E7971" w14:paraId="318DACA5"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CE2319C" w14:textId="77DA74E6"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Estampilla del Adulto Mayor 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5C95D95B" w14:textId="6357BAE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4.378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BC04DEC" w14:textId="37AB4B9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4.516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B7A5D15" w14:textId="417F1DB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4.659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051BC54" w14:textId="44A3009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4.806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AB2CA38" w14:textId="3C5A934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4.958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80488CE" w14:textId="79D0A5E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5.114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41012519" w14:textId="5479F8C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5.276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3F8F6E3" w14:textId="664973A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5.443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61245541" w14:textId="2AE6E8E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5.615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9E782F1" w14:textId="778266F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5.792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519739B5" w14:textId="60B6267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5.975 </w:t>
            </w:r>
          </w:p>
        </w:tc>
      </w:tr>
      <w:tr w:rsidR="00E83765" w:rsidRPr="002E7971" w14:paraId="6FFE7194"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3251241" w14:textId="1660288C"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Estampilla Pro Electrificación Rural 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03A190F" w14:textId="46EF922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500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FE03F4C" w14:textId="6FC6CEF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8E92133" w14:textId="38FEA9A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530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2AB6C28" w14:textId="1CC04AD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546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5611112" w14:textId="18049AD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563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7D8D7E0" w14:textId="03B3DC9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580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44DE7B46" w14:textId="2621EA6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597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62C1089" w14:textId="7E29C2E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615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03832506" w14:textId="2326600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633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9301512" w14:textId="123E8CB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652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24A52EBB" w14:textId="04A812D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672 </w:t>
            </w:r>
          </w:p>
        </w:tc>
      </w:tr>
      <w:tr w:rsidR="00E83765" w:rsidRPr="002E7971" w14:paraId="35341C6C"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F583D12" w14:textId="2977476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Impuesto sobre el servicio de alumbrado público 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472B8A38" w14:textId="3EE82A0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17.867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C626666" w14:textId="6BA06F6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18.582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5FF5204" w14:textId="04DDE89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19.325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EFA19C6" w14:textId="503057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20.098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BBBB538" w14:textId="69A6F0C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20.902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B23FB96" w14:textId="446EFC8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21.738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E7785F4" w14:textId="70DB57E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22.608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A5AC107" w14:textId="29C933D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23.512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6ABE5C9" w14:textId="26D63B4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24.452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B9B2B5C" w14:textId="03AD2F3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25.430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2ADB2C02" w14:textId="25FA418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26.457 </w:t>
            </w:r>
          </w:p>
        </w:tc>
      </w:tr>
      <w:tr w:rsidR="00E83765" w:rsidRPr="002E7971" w14:paraId="2959CF22"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B3330F4" w14:textId="72D55F6F"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Plazas de mercado 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5E9D2AF" w14:textId="0CB1AAD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1.913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6447FCE" w14:textId="16F4EF0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1.973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CE7E1D2" w14:textId="4D8293F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2.035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6CF02EB" w14:textId="257456C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2.100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EAFABBD" w14:textId="7B330D6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2.166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45C5E9B" w14:textId="7095155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2.234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6A63E32" w14:textId="226048A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2.305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2ACCE7E" w14:textId="62D0025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2.378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4A7A98CE" w14:textId="60F77F8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2.453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C44F94A" w14:textId="11E349E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2.531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5D1C7FA5" w14:textId="5797458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2.611 </w:t>
            </w:r>
          </w:p>
        </w:tc>
      </w:tr>
      <w:tr w:rsidR="00E83765" w:rsidRPr="002E7971" w14:paraId="20206F59" w14:textId="77777777" w:rsidTr="00341016">
        <w:trPr>
          <w:cantSplit/>
          <w:trHeight w:val="34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756C1E4B" w14:textId="657A8527"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Multas de </w:t>
            </w:r>
            <w:r w:rsidR="00341016">
              <w:rPr>
                <w:rFonts w:ascii="Century Gothic" w:eastAsia="Times New Roman" w:hAnsi="Century Gothic" w:cs="Arial"/>
                <w:b/>
                <w:color w:val="000000"/>
                <w:sz w:val="18"/>
                <w:szCs w:val="18"/>
                <w:lang w:val="es-ES" w:eastAsia="es-ES"/>
              </w:rPr>
              <w:t xml:space="preserve">control disciplinario  y otras </w:t>
            </w:r>
            <w:r w:rsidRPr="002E7971">
              <w:rPr>
                <w:rFonts w:ascii="Century Gothic" w:eastAsia="Times New Roman" w:hAnsi="Century Gothic" w:cs="Arial"/>
                <w:b/>
                <w:color w:val="000000"/>
                <w:sz w:val="18"/>
                <w:szCs w:val="18"/>
                <w:lang w:val="es-ES" w:eastAsia="es-ES"/>
              </w:rPr>
              <w:t>100%</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4FD3265F" w14:textId="6152929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273DF67" w14:textId="37CDDF0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24E6AE7" w14:textId="6FF1F04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567FCC0" w14:textId="2F9B9A6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15853FA" w14:textId="7F7E32C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49A6BD3" w14:textId="276E2D2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53273480" w14:textId="48C7ABA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215EAD8" w14:textId="2F11082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3DDF19DD" w14:textId="3B71810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2F0125F" w14:textId="0C6FB56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EFD8D3F" w14:textId="348DD07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 </w:t>
            </w:r>
          </w:p>
        </w:tc>
      </w:tr>
      <w:tr w:rsidR="00E83765" w:rsidRPr="002E7971" w14:paraId="3A1A8AC3"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175C6B6C" w14:textId="53F1E9DB"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Cuotas de auditaje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4F91C9A7" w14:textId="3F82F54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6F1E715" w14:textId="1E08069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361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93ADB2F" w14:textId="34F1EDB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371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1F769A6" w14:textId="4038EF3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382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B9CDB66" w14:textId="633E5FE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394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B99A694" w14:textId="6AF321D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406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00986365" w14:textId="0C6578D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418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129D542" w14:textId="2BDA8EA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430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6CE72E53" w14:textId="7A9E6FE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BE91A5D" w14:textId="2B37103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457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8A55780" w14:textId="7A74C83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470 </w:t>
            </w:r>
          </w:p>
        </w:tc>
      </w:tr>
      <w:tr w:rsidR="00E83765" w:rsidRPr="002E7971" w14:paraId="72DDF93C"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74A3CB3" w14:textId="3C536010"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Cuotas partes pensiónales</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6075B0B" w14:textId="6D32E55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33CA1CB" w14:textId="5494126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817B8B3" w14:textId="4F92688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115573D" w14:textId="3EC214C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AC07914" w14:textId="36A5216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4F1DDC4" w14:textId="77FECB2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143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0DD57874" w14:textId="04C4582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17AC239" w14:textId="7B75D66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152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6D79D481" w14:textId="72AF4D9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5DA43DC" w14:textId="4A41673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161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516A3772" w14:textId="4A21611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166 </w:t>
            </w:r>
          </w:p>
        </w:tc>
      </w:tr>
      <w:tr w:rsidR="00E83765" w:rsidRPr="002E7971" w14:paraId="66FE74AA" w14:textId="77777777" w:rsidTr="00341016">
        <w:trPr>
          <w:cantSplit/>
          <w:trHeight w:val="90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48AF776B" w14:textId="3AFF655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Sistema General de Participaciones Educación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0E85310C" w14:textId="7D96FE2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216.440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6B73F6D" w14:textId="24A12AF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238.086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F08F690" w14:textId="55F9DE8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262.721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5E7D477" w14:textId="6DDAE5F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290.688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9CED77C" w14:textId="01B5176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322.447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F2D8C6E" w14:textId="1B4FF98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358.520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417156BD" w14:textId="6624767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399.514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4197763" w14:textId="1FE20D4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446.126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005EBED" w14:textId="3E23FFE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499.162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E38D092" w14:textId="0F7A28B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559.550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4A632FA" w14:textId="5C79F39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628.358 </w:t>
            </w:r>
          </w:p>
        </w:tc>
      </w:tr>
      <w:tr w:rsidR="00E83765" w:rsidRPr="002E7971" w14:paraId="604A8E64"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4ACE8169" w14:textId="662FD527"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S.G.P. Alimentación escolar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F47894F" w14:textId="202E3D2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822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66B98AE" w14:textId="28ED1AB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846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8CD2428" w14:textId="2B25FF7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872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0F0B6F2" w14:textId="6BC6928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898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DA74664" w14:textId="691C00F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925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5445A6C" w14:textId="725E545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953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6A4DB0E2" w14:textId="27D60EB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981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187AB2A" w14:textId="59FFEB4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1.011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0CBE34AA" w14:textId="49F210B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1.041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7F71F64" w14:textId="6677CAA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1.072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5E7C4406" w14:textId="285322D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1.104 </w:t>
            </w:r>
          </w:p>
        </w:tc>
      </w:tr>
      <w:tr w:rsidR="00E83765" w:rsidRPr="002E7971" w14:paraId="27D03D02"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74587F8" w14:textId="55AF20D5"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S.G.P. Propósito general cultura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317DEF50" w14:textId="4534DF6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824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752AF12" w14:textId="186BBA4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849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A132BAB" w14:textId="77D513C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875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C7F08B3" w14:textId="44655E3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901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07DA31B" w14:textId="7FDB329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928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EE701C0" w14:textId="1732002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956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F3AEC68" w14:textId="743C1AA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28C1A76" w14:textId="40D74DA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1.014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63E0020C" w14:textId="1ECA3F4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1.044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3BB76C1" w14:textId="4FEB6C0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1.076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69C78F45" w14:textId="159D0AF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1.108 </w:t>
            </w:r>
          </w:p>
        </w:tc>
      </w:tr>
      <w:tr w:rsidR="00E83765" w:rsidRPr="002E7971" w14:paraId="5E439F46"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7AC141A0" w14:textId="23303A8A"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S.G.P. Propósito general deporte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2FF9767" w14:textId="44BA49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1.099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02602310" w14:textId="2928ECE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1.132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D2DCBB8" w14:textId="2215281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1.166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0ED2073" w14:textId="20AEFF5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1.201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40294A6" w14:textId="7485E33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1.237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20D78FA" w14:textId="4F6BEEC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1.274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49E6CC09" w14:textId="7AB3608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1.312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62E5E78" w14:textId="4E8A923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1.352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BEAFC55" w14:textId="35179E1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1.392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0DF2171" w14:textId="6618EA5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1.434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B12E0B7" w14:textId="64E1F8F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1.477 </w:t>
            </w:r>
          </w:p>
        </w:tc>
      </w:tr>
      <w:tr w:rsidR="00E83765" w:rsidRPr="002E7971" w14:paraId="7F7CE48B"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6342359E" w14:textId="3FD801AF"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S.G.P. Propósito general otros forzosa inversión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E0FCB88" w14:textId="4C19303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10.442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F001824" w14:textId="7D5C6E7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10.756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1AB00F6" w14:textId="5E0606E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11.078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85095B7" w14:textId="2843663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11.411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68C57BC" w14:textId="3CB542D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11.753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10EB85D" w14:textId="10D128E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12.105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1CC3A54C" w14:textId="431B5C7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12.469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8A92276" w14:textId="0BB6472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12.843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B9BD825" w14:textId="6AD540F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13.228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4BFBDAA" w14:textId="1229553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13.625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1ADBDB68" w14:textId="56B6D59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14.034 </w:t>
            </w:r>
          </w:p>
        </w:tc>
      </w:tr>
      <w:tr w:rsidR="00E83765" w:rsidRPr="002E7971" w14:paraId="6DEA2D95"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75589870" w14:textId="1E815DC5"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lastRenderedPageBreak/>
              <w:t>S.G.P. Agua y saneamiento básico</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2DCE8C3" w14:textId="3F2D5EB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672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FDA6638" w14:textId="4A988B2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692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89042F8" w14:textId="591EE86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713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165E8A8" w14:textId="11C688B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734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D9B3039" w14:textId="0877B16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756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595E794" w14:textId="72DD2C2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779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02E1EFB0" w14:textId="29F3EAC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802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0B4DB07" w14:textId="0D828B8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826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54355D7" w14:textId="642F1BC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851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340EFBA" w14:textId="7E49461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877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0D396526" w14:textId="5C12749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903 </w:t>
            </w:r>
          </w:p>
        </w:tc>
      </w:tr>
      <w:tr w:rsidR="00E83765" w:rsidRPr="002E7971" w14:paraId="568F188B" w14:textId="77777777" w:rsidTr="00341016">
        <w:trPr>
          <w:cantSplit/>
          <w:trHeight w:val="45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4BE3919B" w14:textId="2F311F86"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Transferencia del </w:t>
            </w:r>
            <w:proofErr w:type="spellStart"/>
            <w:r w:rsidRPr="002E7971">
              <w:rPr>
                <w:rFonts w:ascii="Century Gothic" w:eastAsia="Times New Roman" w:hAnsi="Century Gothic" w:cs="Arial"/>
                <w:b/>
                <w:color w:val="000000"/>
                <w:sz w:val="18"/>
                <w:szCs w:val="18"/>
                <w:lang w:val="es-ES" w:eastAsia="es-ES"/>
              </w:rPr>
              <w:t>Mincultura</w:t>
            </w:r>
            <w:proofErr w:type="spellEnd"/>
            <w:r w:rsidRPr="002E7971">
              <w:rPr>
                <w:rFonts w:ascii="Century Gothic" w:eastAsia="Times New Roman" w:hAnsi="Century Gothic" w:cs="Arial"/>
                <w:b/>
                <w:color w:val="000000"/>
                <w:sz w:val="18"/>
                <w:szCs w:val="18"/>
                <w:lang w:val="es-ES" w:eastAsia="es-ES"/>
              </w:rPr>
              <w:t xml:space="preserve"> de la Contribución Parafiscal de los Espectáculos Públicos</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455D779" w14:textId="4B0F79F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47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C3839F1" w14:textId="2BC763B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4138521" w14:textId="1B48E23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BE70DC4" w14:textId="561AE1B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A07FCAF" w14:textId="6052413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F758F61" w14:textId="4E9C87A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1C0A52DC" w14:textId="660C5BF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319747F" w14:textId="033023B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58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2971D48" w14:textId="68D5E96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A4B1146" w14:textId="716920A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CE27429" w14:textId="691611D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63 </w:t>
            </w:r>
          </w:p>
        </w:tc>
      </w:tr>
      <w:tr w:rsidR="00E83765" w:rsidRPr="002E7971" w14:paraId="1E849B4B" w14:textId="77777777" w:rsidTr="00341016">
        <w:trPr>
          <w:cantSplit/>
          <w:trHeight w:val="839"/>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4AAD698F" w14:textId="1D8327F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Transferencia alimentación escolar ley 1450 de 2011</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9B75D5A" w14:textId="0EB72BE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10.300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0A852DB3" w14:textId="241C7C7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10.609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236E400" w14:textId="73DE92A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10.927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ED5A1C6" w14:textId="3CACF2D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11.255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4AC1799" w14:textId="51EC608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11.593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9122D5D" w14:textId="744090C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11.941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09630807" w14:textId="6C0026A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12.299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737B3B5" w14:textId="5CD772D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12.668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6EF60550" w14:textId="505E69E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13.048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F36B0BE" w14:textId="511229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13.439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20274B68" w14:textId="40DC3CA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13.842 </w:t>
            </w:r>
          </w:p>
        </w:tc>
      </w:tr>
      <w:tr w:rsidR="00E83765" w:rsidRPr="002E7971" w14:paraId="51C3BD1E"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60463CCC" w14:textId="7718BADA"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Contribución sobre contratos de obras públicas Fondo de Seguridad</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019752ED" w14:textId="5C0EBB5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2.009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5550865" w14:textId="3C34C93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2.069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A2FCA4E" w14:textId="50177AE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2.131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670FFD8" w14:textId="2FD2AD6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2.195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813DA1C" w14:textId="40545A0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2.261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CA33972" w14:textId="7F0ED58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2.328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6CDF72A6" w14:textId="77224FB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2.398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33E38E6" w14:textId="7A5A129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2.470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519AD4B" w14:textId="6C886B0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2.544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519D2A4" w14:textId="487F81C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2.621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1AB2A07E" w14:textId="5EA18D3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2.699 </w:t>
            </w:r>
          </w:p>
        </w:tc>
      </w:tr>
      <w:tr w:rsidR="00E83765" w:rsidRPr="002E7971" w14:paraId="69D552FE"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5D3AFC57" w14:textId="1D9835A4"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 Multas establecidas en el código nacional de policía Fondo de Seguridad</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3AEF8AA5" w14:textId="76B3A1D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2A6AB25" w14:textId="6453AE2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F005DB2" w14:textId="794D2FA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C17326E" w14:textId="21296AC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0F68BB6" w14:textId="4CF19FE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D5AB896" w14:textId="6C90D57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232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C680272" w14:textId="0B5ACB1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D32B2D7" w14:textId="352E117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246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D03E3BC" w14:textId="4361C3F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9445FEA" w14:textId="18A7FFF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0F206BD4" w14:textId="0012D49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269 </w:t>
            </w:r>
          </w:p>
        </w:tc>
      </w:tr>
      <w:tr w:rsidR="00E83765" w:rsidRPr="002E7971" w14:paraId="07D4DA4C"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37DDD635" w14:textId="0CCDDFE8"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Contribución de valorización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546F735D" w14:textId="6D733B8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3.921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2A994E5" w14:textId="78BEFE6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3.361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EC1F46D" w14:textId="5233DAB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2.240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1CACE45" w14:textId="2A5B6C9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1.120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C57EA48" w14:textId="10618DD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560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3C3B55C" w14:textId="5B54FA3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761155CC" w14:textId="66101E9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21568FA" w14:textId="137193E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A68E7A8" w14:textId="07445FC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58BF1A6" w14:textId="651B6B7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64C22A12" w14:textId="67F5F4E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r>
      <w:tr w:rsidR="00E83765" w:rsidRPr="002E7971" w14:paraId="2DE0CE13"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BC73C5A" w14:textId="58220BBC"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Ingresos Compensación espacio público</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562F8A6" w14:textId="32BFF12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4.941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0E9DBBB" w14:textId="08937A5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5.171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69F96A2" w14:textId="1CC99AF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5.412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362AEE0" w14:textId="7D4B18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5.664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BDBA20A" w14:textId="4505273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5.927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3E42B3A" w14:textId="71BED99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6.201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135B48DC" w14:textId="41ADBFC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6.489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006CBE8" w14:textId="41A249C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6.793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0FC94EAA" w14:textId="09F4F1A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7.111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8DB78E5" w14:textId="14E8049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7.445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56B9B851" w14:textId="2403E12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7.794 </w:t>
            </w:r>
          </w:p>
        </w:tc>
      </w:tr>
      <w:tr w:rsidR="00E83765" w:rsidRPr="002E7971" w14:paraId="1DDC6B73"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44E6FCB" w14:textId="29EC0F5C"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Impuesto a la publicidad exterior visual Fondo de Resarcimiento Ambiental</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0237DC2" w14:textId="43E2658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C9C7277" w14:textId="5F5D87E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8E003CA" w14:textId="22340BB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363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4FE3DF2" w14:textId="41B2B1B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374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89B0D0F" w14:textId="7F59915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385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F50CF5D" w14:textId="2A290C0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396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A301799" w14:textId="03BFFB9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206293D" w14:textId="77243B9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421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2168EF24" w14:textId="440E878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433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1AAF3B8" w14:textId="7C728CD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446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2654CA2A" w14:textId="519176B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460 </w:t>
            </w:r>
          </w:p>
        </w:tc>
      </w:tr>
      <w:tr w:rsidR="00E83765" w:rsidRPr="002E7971" w14:paraId="3FEBECF3" w14:textId="77777777" w:rsidTr="00341016">
        <w:trPr>
          <w:cantSplit/>
          <w:trHeight w:val="51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C12EB7A" w14:textId="6EB6196E"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Recursos de escombrera - Fondo de Resarcimiento Ambiental</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CE072D8" w14:textId="5484DC5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37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9A2CC44" w14:textId="0805F1D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5833A05" w14:textId="671B7EB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655D29E" w14:textId="24D9733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57DDA87" w14:textId="452525E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83552CC" w14:textId="3D2BAF2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42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0B62936" w14:textId="4FEAAF9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757D2F0" w14:textId="795F714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45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4F43FE41" w14:textId="5D896B7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E7DDEDF" w14:textId="7BEC706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48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DDC1A5B" w14:textId="38A0CD6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49 </w:t>
            </w:r>
          </w:p>
        </w:tc>
      </w:tr>
      <w:tr w:rsidR="00E83765" w:rsidRPr="002E7971" w14:paraId="5580E1BD"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58EE0296" w14:textId="57AA0C9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S.G.P. Agua potable y saneamiento básico Fondo Redistribución del Ingreso</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3DE62C4E" w14:textId="5840B5A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7.894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23E70D2" w14:textId="4586811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8.130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07B02E0" w14:textId="541347F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8.374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A2A3C5E" w14:textId="02BD9FB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8.625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015AB8B2" w14:textId="3FA3D03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8.884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06C3047" w14:textId="0A76DCE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9.151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184BC55" w14:textId="0D05EA2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9.425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C39D21E" w14:textId="36F5B32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9.708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13ECB29" w14:textId="0AE62A0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9.999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104C885" w14:textId="3AE7CA2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10.299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5F8D9458" w14:textId="6943120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10.608 </w:t>
            </w:r>
          </w:p>
        </w:tc>
      </w:tr>
      <w:tr w:rsidR="00E83765" w:rsidRPr="002E7971" w14:paraId="4523578C"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4C60ED78" w14:textId="138FD6E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Contribuciones SSF -  Fondo Redistribución del Ingreso</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3D82FE51" w14:textId="4D18A5C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7.673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5634E94" w14:textId="459BFB4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7.903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DCA65D9" w14:textId="0C040A5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8.140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8B206C1" w14:textId="120E92B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8.384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0B9FA8B" w14:textId="5420274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8.636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9CD9DEF" w14:textId="7090186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8.895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5030A1D4" w14:textId="6305DF9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9.162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4BD3135" w14:textId="735EB2F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9.436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915AD60" w14:textId="1303854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9.720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FA8FDBC" w14:textId="091D5B8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10.011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411B0889" w14:textId="464BFB6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10.311 </w:t>
            </w:r>
          </w:p>
        </w:tc>
      </w:tr>
      <w:tr w:rsidR="00E83765" w:rsidRPr="002E7971" w14:paraId="2C18565E"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77E25F49" w14:textId="37BCA4FD"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SGP-Subsidios a la Demanda</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426E7406" w14:textId="6BF8068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69.958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265D170" w14:textId="251ED1F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72.267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7208590" w14:textId="2A69CCA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74.652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5B0B0EA" w14:textId="37DD911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77.115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67FE56A" w14:textId="4A13F87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79.660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390D645" w14:textId="7B2F062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82.289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678E8D7" w14:textId="560AFC3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85.004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789366F" w14:textId="7E7B079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87.810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35F9E7E3" w14:textId="50E054B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90.707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F41C5B5" w14:textId="491E2D1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93.701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294A8D38" w14:textId="25B5CCC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96.793 </w:t>
            </w:r>
          </w:p>
        </w:tc>
      </w:tr>
      <w:tr w:rsidR="00E83765" w:rsidRPr="002E7971" w14:paraId="2DB5B2EA" w14:textId="77777777" w:rsidTr="00341016">
        <w:trPr>
          <w:cantSplit/>
          <w:trHeight w:val="90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3CB61064" w14:textId="248C42E8"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ADRES (Antes FOSYGA)</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2F9FA7AB" w14:textId="4A7E22A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120.693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AF00EB6" w14:textId="6403F5C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121.900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6710974" w14:textId="06F9757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123.119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984567F" w14:textId="2B1D293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124.350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4F7182F" w14:textId="18C2A63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125.594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66798F1" w14:textId="7E6EEB7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126.850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F633589" w14:textId="004BEE2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128.118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C099665" w14:textId="7BFC116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129.399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76DB816C" w14:textId="10338D7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130.693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E00F92E" w14:textId="24C693D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132.000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66643798" w14:textId="7122DD9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133.320 </w:t>
            </w:r>
          </w:p>
        </w:tc>
      </w:tr>
      <w:tr w:rsidR="00E83765" w:rsidRPr="002E7971" w14:paraId="1BADA201"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2E9D75AE" w14:textId="3264959B"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Coljuegos</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69B8504D" w14:textId="619B1FE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2.746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EED8DBC" w14:textId="1723B01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2.837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A63577C" w14:textId="4F28488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2.931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020295B" w14:textId="5772ACB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3.027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CDF64D2" w14:textId="6558F49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3.127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012BA130" w14:textId="20AC5EA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3.230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01D35A33" w14:textId="0FB935E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3.337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4380D01" w14:textId="4F554F4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3.447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1557A05D" w14:textId="16CE723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3.561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DAFD56E" w14:textId="0901712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3.678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D9BC3A7" w14:textId="175E49E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3.800 </w:t>
            </w:r>
          </w:p>
        </w:tc>
      </w:tr>
      <w:tr w:rsidR="00E83765" w:rsidRPr="002E7971" w14:paraId="4F555397"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6F2CCD03" w14:textId="0186518A" w:rsidR="00E83765" w:rsidRPr="002E7971" w:rsidRDefault="00CA56B0"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Cofinanciación</w:t>
            </w:r>
            <w:r w:rsidR="00E83765" w:rsidRPr="002E7971">
              <w:rPr>
                <w:rFonts w:ascii="Century Gothic" w:eastAsia="Times New Roman" w:hAnsi="Century Gothic" w:cs="Arial"/>
                <w:b/>
                <w:color w:val="000000"/>
                <w:sz w:val="18"/>
                <w:szCs w:val="18"/>
                <w:lang w:val="es-ES" w:eastAsia="es-ES"/>
              </w:rPr>
              <w:t xml:space="preserve"> Departamental </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24C1E553" w14:textId="1745AB8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3.879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D8776F2" w14:textId="66D27C5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4.007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0EAFAEF" w14:textId="33F8D9B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4.140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1A94E36" w14:textId="6CC51F9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4.276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72A279C" w14:textId="6159C31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4.417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73E7C24" w14:textId="4B9E1E1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4.563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32D3D48" w14:textId="0BF58FA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4.714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994C295" w14:textId="6693F89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4.869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7AF99648" w14:textId="55B3ADC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5.030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4074549" w14:textId="691EF36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5.196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5F9E866" w14:textId="636D7CA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5.367 </w:t>
            </w:r>
          </w:p>
        </w:tc>
      </w:tr>
      <w:tr w:rsidR="00E83765" w:rsidRPr="002E7971" w14:paraId="5F2E1F4B" w14:textId="77777777" w:rsidTr="00341016">
        <w:trPr>
          <w:cantSplit/>
          <w:trHeight w:val="567"/>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1774AD16" w14:textId="200AB109"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SGP-Prestación de servicios de salud en lo no cubierto con subsidios a la demanda</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220E7AD" w14:textId="7A540D9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364CB02" w14:textId="059B8FB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CCD12F8" w14:textId="3BE60C9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25DAF0D" w14:textId="037EE3C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F116269" w14:textId="35F48BE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8F92413" w14:textId="01A8E60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28E99CC9" w14:textId="478C853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530811F" w14:textId="74DF421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0D63B48" w14:textId="33F7004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5AD1BC3" w14:textId="25D2D68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1D0EE32E" w14:textId="247BA82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684 </w:t>
            </w:r>
          </w:p>
        </w:tc>
      </w:tr>
      <w:tr w:rsidR="00E83765" w:rsidRPr="002E7971" w14:paraId="765DC0E1"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7737A4F" w14:textId="517A73D1"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lastRenderedPageBreak/>
              <w:t>SGP-Salud pública colectiva</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427D80D" w14:textId="36EE5D6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2.404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37986322" w14:textId="7181D03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2.483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C1FE54B" w14:textId="1C1ED19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2.565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EAC5533" w14:textId="655B331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2.650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44D4F08" w14:textId="76C4041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2.737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4DDC704" w14:textId="58DF026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2.828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B28A784" w14:textId="7E6B63C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2.921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1AF3C3C" w14:textId="78E0DFD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3.017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AA695FF" w14:textId="65F89E5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3.117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3D54D6D" w14:textId="0DE02C7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3.220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690816C0" w14:textId="6C17243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3.326 </w:t>
            </w:r>
          </w:p>
        </w:tc>
      </w:tr>
      <w:tr w:rsidR="00E83765" w:rsidRPr="002E7971" w14:paraId="1586AA21" w14:textId="77777777" w:rsidTr="00341016">
        <w:trPr>
          <w:cantSplit/>
          <w:trHeight w:val="68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05BD5E9E" w14:textId="6FE3F4F8"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Coljuegos</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4CE39602" w14:textId="4ED5B21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853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1FEB6EC" w14:textId="771E014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881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3BC60AA" w14:textId="55241AB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910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CD526EF" w14:textId="6520FBF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940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8437C1B" w14:textId="3D6E789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971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FFD1D7B" w14:textId="5214EE2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1.003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3C60D352" w14:textId="0800477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1.037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997D03F" w14:textId="0DC1C9F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1.071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001CEA77" w14:textId="5E6EC62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1.106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05B8815" w14:textId="5AB3A3F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1.143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028077F5" w14:textId="38A57174"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1.180 </w:t>
            </w:r>
          </w:p>
        </w:tc>
      </w:tr>
      <w:tr w:rsidR="00E83765" w:rsidRPr="002E7971" w14:paraId="3765ED44" w14:textId="77777777" w:rsidTr="00341016">
        <w:trPr>
          <w:cantSplit/>
          <w:trHeight w:val="45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6A396956" w14:textId="2015EACD"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Servicios de Salud de Salud</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378B05AC" w14:textId="3DFE304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B6573DE" w14:textId="5B8E018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E1B0A6E" w14:textId="71DDA90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E6BDE53" w14:textId="5FAA5D9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6B3CF11D" w14:textId="25D540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BFAD302" w14:textId="01259A4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007DB5BE" w14:textId="1A9B65C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1B1EE78" w14:textId="569CB65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216777E" w14:textId="550D447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2F2F26B" w14:textId="7909A68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7D4ABDF2" w14:textId="0246ACE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 </w:t>
            </w:r>
          </w:p>
        </w:tc>
      </w:tr>
      <w:tr w:rsidR="00E83765" w:rsidRPr="002E7971" w14:paraId="3C4A7D4E" w14:textId="77777777" w:rsidTr="00341016">
        <w:trPr>
          <w:cantSplit/>
          <w:trHeight w:val="45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5C4C2963" w14:textId="2D0AEAD2"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Tasa de semaforización</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70DC9314" w14:textId="6C644A1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5903577B" w14:textId="5E7A962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703FF534" w14:textId="1FDFC32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0AEBED4" w14:textId="664F106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2ADBBD48" w14:textId="023519B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AF94D12" w14:textId="4A2809D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590E842E" w14:textId="7D0F970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CF1ADFB" w14:textId="5A22421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7EAC44C8" w14:textId="6F4F002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1D79B40" w14:textId="44C63C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376BC3FC" w14:textId="041938C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   </w:t>
            </w:r>
          </w:p>
        </w:tc>
      </w:tr>
      <w:tr w:rsidR="00E83765" w:rsidRPr="002E7971" w14:paraId="0592D4C1" w14:textId="77777777" w:rsidTr="00341016">
        <w:trPr>
          <w:cantSplit/>
          <w:trHeight w:val="794"/>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10B5DC40" w14:textId="2F451282"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Infracciones de Transitó Vigencia Actual</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2BCF3E98" w14:textId="56A341D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3.058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48A121AA" w14:textId="5021CD5D"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3.517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6895456E" w14:textId="3BD0571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4.044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41958286" w14:textId="42A9827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4.651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FBD284C" w14:textId="7BFFE8A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5.349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36BFA861" w14:textId="238D101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6.151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71AB50A0" w14:textId="75AEBF2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7.074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440FD97" w14:textId="4BE75C7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8.135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5C4D603F" w14:textId="05D2DDE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9.355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F723B4A" w14:textId="0598BCBF"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10.758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7C5936A8" w14:textId="4F8D913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12.372 </w:t>
            </w:r>
          </w:p>
        </w:tc>
      </w:tr>
      <w:tr w:rsidR="00E83765" w:rsidRPr="002E7971" w14:paraId="22304958" w14:textId="77777777" w:rsidTr="00341016">
        <w:trPr>
          <w:cantSplit/>
          <w:trHeight w:val="730"/>
        </w:trPr>
        <w:tc>
          <w:tcPr>
            <w:tcW w:w="2400" w:type="pct"/>
            <w:tcBorders>
              <w:top w:val="nil"/>
              <w:left w:val="single" w:sz="4" w:space="0" w:color="000000"/>
              <w:bottom w:val="single" w:sz="4" w:space="0" w:color="000000"/>
              <w:right w:val="nil"/>
            </w:tcBorders>
            <w:shd w:val="clear" w:color="auto" w:fill="C2D69B" w:themeFill="accent3" w:themeFillTint="99"/>
            <w:vAlign w:val="center"/>
          </w:tcPr>
          <w:p w14:paraId="6CF89E0B" w14:textId="1297B066"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 xml:space="preserve">Infracciones de </w:t>
            </w:r>
            <w:r w:rsidR="00CA56B0" w:rsidRPr="002E7971">
              <w:rPr>
                <w:rFonts w:ascii="Century Gothic" w:eastAsia="Times New Roman" w:hAnsi="Century Gothic" w:cs="Arial"/>
                <w:b/>
                <w:color w:val="000000"/>
                <w:sz w:val="18"/>
                <w:szCs w:val="18"/>
                <w:lang w:val="es-ES" w:eastAsia="es-ES"/>
              </w:rPr>
              <w:t>Tránsito</w:t>
            </w:r>
            <w:r w:rsidRPr="002E7971">
              <w:rPr>
                <w:rFonts w:ascii="Century Gothic" w:eastAsia="Times New Roman" w:hAnsi="Century Gothic" w:cs="Arial"/>
                <w:b/>
                <w:color w:val="000000"/>
                <w:sz w:val="18"/>
                <w:szCs w:val="18"/>
                <w:lang w:val="es-ES" w:eastAsia="es-ES"/>
              </w:rPr>
              <w:t xml:space="preserve"> Vigencias Anteriores</w:t>
            </w:r>
          </w:p>
        </w:tc>
        <w:tc>
          <w:tcPr>
            <w:tcW w:w="236" w:type="pct"/>
            <w:tcBorders>
              <w:top w:val="nil"/>
              <w:left w:val="single" w:sz="4" w:space="0" w:color="auto"/>
              <w:bottom w:val="single" w:sz="4" w:space="0" w:color="auto"/>
              <w:right w:val="single" w:sz="4" w:space="0" w:color="auto"/>
            </w:tcBorders>
            <w:shd w:val="clear" w:color="auto" w:fill="auto"/>
            <w:noWrap/>
            <w:textDirection w:val="btLr"/>
            <w:vAlign w:val="center"/>
          </w:tcPr>
          <w:p w14:paraId="18D3F31A" w14:textId="05092D8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2.750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1621DD87" w14:textId="4C23294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3.025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2C3C368C" w14:textId="7BF3F90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3.328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D055CAC" w14:textId="59A4CEF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3.660 </w:t>
            </w:r>
          </w:p>
        </w:tc>
        <w:tc>
          <w:tcPr>
            <w:tcW w:w="235" w:type="pct"/>
            <w:tcBorders>
              <w:top w:val="nil"/>
              <w:left w:val="nil"/>
              <w:bottom w:val="single" w:sz="4" w:space="0" w:color="auto"/>
              <w:right w:val="single" w:sz="4" w:space="0" w:color="auto"/>
            </w:tcBorders>
            <w:shd w:val="clear" w:color="auto" w:fill="auto"/>
            <w:noWrap/>
            <w:textDirection w:val="btLr"/>
            <w:vAlign w:val="center"/>
          </w:tcPr>
          <w:p w14:paraId="71C0F4B8" w14:textId="22A4C2B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4.026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12792691" w14:textId="25CE5F9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4.429 </w:t>
            </w:r>
          </w:p>
        </w:tc>
        <w:tc>
          <w:tcPr>
            <w:tcW w:w="252" w:type="pct"/>
            <w:tcBorders>
              <w:top w:val="nil"/>
              <w:left w:val="nil"/>
              <w:bottom w:val="single" w:sz="4" w:space="0" w:color="auto"/>
              <w:right w:val="single" w:sz="4" w:space="0" w:color="auto"/>
            </w:tcBorders>
            <w:shd w:val="clear" w:color="auto" w:fill="auto"/>
            <w:noWrap/>
            <w:textDirection w:val="btLr"/>
            <w:vAlign w:val="center"/>
          </w:tcPr>
          <w:p w14:paraId="4CC9358F" w14:textId="7935E26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4.872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E188138" w14:textId="233C166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5.359 </w:t>
            </w:r>
          </w:p>
        </w:tc>
        <w:tc>
          <w:tcPr>
            <w:tcW w:w="238" w:type="pct"/>
            <w:tcBorders>
              <w:top w:val="nil"/>
              <w:left w:val="nil"/>
              <w:bottom w:val="single" w:sz="4" w:space="0" w:color="auto"/>
              <w:right w:val="single" w:sz="4" w:space="0" w:color="auto"/>
            </w:tcBorders>
            <w:shd w:val="clear" w:color="auto" w:fill="auto"/>
            <w:noWrap/>
            <w:textDirection w:val="btLr"/>
            <w:vAlign w:val="center"/>
          </w:tcPr>
          <w:p w14:paraId="6D222C1D" w14:textId="5334976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5.895 </w:t>
            </w:r>
          </w:p>
        </w:tc>
        <w:tc>
          <w:tcPr>
            <w:tcW w:w="237" w:type="pct"/>
            <w:tcBorders>
              <w:top w:val="nil"/>
              <w:left w:val="nil"/>
              <w:bottom w:val="single" w:sz="4" w:space="0" w:color="auto"/>
              <w:right w:val="single" w:sz="4" w:space="0" w:color="auto"/>
            </w:tcBorders>
            <w:shd w:val="clear" w:color="auto" w:fill="auto"/>
            <w:noWrap/>
            <w:textDirection w:val="btLr"/>
            <w:vAlign w:val="center"/>
          </w:tcPr>
          <w:p w14:paraId="53034E84" w14:textId="23A2364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6.484 </w:t>
            </w:r>
          </w:p>
        </w:tc>
        <w:tc>
          <w:tcPr>
            <w:tcW w:w="219" w:type="pct"/>
            <w:tcBorders>
              <w:top w:val="nil"/>
              <w:left w:val="nil"/>
              <w:bottom w:val="single" w:sz="4" w:space="0" w:color="auto"/>
              <w:right w:val="single" w:sz="4" w:space="0" w:color="auto"/>
            </w:tcBorders>
            <w:shd w:val="clear" w:color="auto" w:fill="auto"/>
            <w:noWrap/>
            <w:textDirection w:val="btLr"/>
            <w:vAlign w:val="center"/>
          </w:tcPr>
          <w:p w14:paraId="40E81311" w14:textId="2108D0B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7.133 </w:t>
            </w:r>
          </w:p>
        </w:tc>
      </w:tr>
      <w:tr w:rsidR="00E83765" w:rsidRPr="002E7971" w14:paraId="7469D870" w14:textId="77777777" w:rsidTr="00341016">
        <w:trPr>
          <w:cantSplit/>
          <w:trHeight w:val="559"/>
        </w:trPr>
        <w:tc>
          <w:tcPr>
            <w:tcW w:w="2400" w:type="pct"/>
            <w:tcBorders>
              <w:top w:val="nil"/>
              <w:left w:val="single" w:sz="4" w:space="0" w:color="000000"/>
              <w:bottom w:val="nil"/>
              <w:right w:val="nil"/>
            </w:tcBorders>
            <w:shd w:val="clear" w:color="auto" w:fill="C2D69B" w:themeFill="accent3" w:themeFillTint="99"/>
            <w:vAlign w:val="center"/>
          </w:tcPr>
          <w:p w14:paraId="317A8A77" w14:textId="527EB9AB"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Intereses Moratorios  Tránsito y Transporte</w:t>
            </w:r>
          </w:p>
        </w:tc>
        <w:tc>
          <w:tcPr>
            <w:tcW w:w="236" w:type="pct"/>
            <w:tcBorders>
              <w:top w:val="nil"/>
              <w:left w:val="single" w:sz="4" w:space="0" w:color="auto"/>
              <w:bottom w:val="nil"/>
              <w:right w:val="single" w:sz="4" w:space="0" w:color="auto"/>
            </w:tcBorders>
            <w:shd w:val="clear" w:color="auto" w:fill="auto"/>
            <w:noWrap/>
            <w:textDirection w:val="btLr"/>
            <w:vAlign w:val="center"/>
          </w:tcPr>
          <w:p w14:paraId="451EB45F" w14:textId="6A3B68D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325 </w:t>
            </w:r>
          </w:p>
        </w:tc>
        <w:tc>
          <w:tcPr>
            <w:tcW w:w="235" w:type="pct"/>
            <w:tcBorders>
              <w:top w:val="nil"/>
              <w:left w:val="nil"/>
              <w:bottom w:val="nil"/>
              <w:right w:val="single" w:sz="4" w:space="0" w:color="auto"/>
            </w:tcBorders>
            <w:shd w:val="clear" w:color="auto" w:fill="auto"/>
            <w:noWrap/>
            <w:textDirection w:val="btLr"/>
            <w:vAlign w:val="center"/>
          </w:tcPr>
          <w:p w14:paraId="45FA82BE" w14:textId="0432366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357 </w:t>
            </w:r>
          </w:p>
        </w:tc>
        <w:tc>
          <w:tcPr>
            <w:tcW w:w="237" w:type="pct"/>
            <w:tcBorders>
              <w:top w:val="nil"/>
              <w:left w:val="nil"/>
              <w:bottom w:val="nil"/>
              <w:right w:val="single" w:sz="4" w:space="0" w:color="auto"/>
            </w:tcBorders>
            <w:shd w:val="clear" w:color="auto" w:fill="auto"/>
            <w:noWrap/>
            <w:textDirection w:val="btLr"/>
            <w:vAlign w:val="center"/>
          </w:tcPr>
          <w:p w14:paraId="367691E2" w14:textId="155E0B00"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393 </w:t>
            </w:r>
          </w:p>
        </w:tc>
        <w:tc>
          <w:tcPr>
            <w:tcW w:w="237" w:type="pct"/>
            <w:tcBorders>
              <w:top w:val="nil"/>
              <w:left w:val="nil"/>
              <w:bottom w:val="nil"/>
              <w:right w:val="single" w:sz="4" w:space="0" w:color="auto"/>
            </w:tcBorders>
            <w:shd w:val="clear" w:color="auto" w:fill="auto"/>
            <w:noWrap/>
            <w:textDirection w:val="btLr"/>
            <w:vAlign w:val="center"/>
          </w:tcPr>
          <w:p w14:paraId="7DC7634A" w14:textId="53D8C2F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432 </w:t>
            </w:r>
          </w:p>
        </w:tc>
        <w:tc>
          <w:tcPr>
            <w:tcW w:w="235" w:type="pct"/>
            <w:tcBorders>
              <w:top w:val="nil"/>
              <w:left w:val="nil"/>
              <w:bottom w:val="nil"/>
              <w:right w:val="single" w:sz="4" w:space="0" w:color="auto"/>
            </w:tcBorders>
            <w:shd w:val="clear" w:color="auto" w:fill="auto"/>
            <w:noWrap/>
            <w:textDirection w:val="btLr"/>
            <w:vAlign w:val="center"/>
          </w:tcPr>
          <w:p w14:paraId="65390611" w14:textId="3DBC278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476 </w:t>
            </w:r>
          </w:p>
        </w:tc>
        <w:tc>
          <w:tcPr>
            <w:tcW w:w="237" w:type="pct"/>
            <w:tcBorders>
              <w:top w:val="nil"/>
              <w:left w:val="nil"/>
              <w:bottom w:val="nil"/>
              <w:right w:val="single" w:sz="4" w:space="0" w:color="auto"/>
            </w:tcBorders>
            <w:shd w:val="clear" w:color="auto" w:fill="auto"/>
            <w:noWrap/>
            <w:textDirection w:val="btLr"/>
            <w:vAlign w:val="center"/>
          </w:tcPr>
          <w:p w14:paraId="57AAA180" w14:textId="7645C09B"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523 </w:t>
            </w:r>
          </w:p>
        </w:tc>
        <w:tc>
          <w:tcPr>
            <w:tcW w:w="252" w:type="pct"/>
            <w:tcBorders>
              <w:top w:val="nil"/>
              <w:left w:val="nil"/>
              <w:bottom w:val="nil"/>
              <w:right w:val="single" w:sz="4" w:space="0" w:color="auto"/>
            </w:tcBorders>
            <w:shd w:val="clear" w:color="auto" w:fill="auto"/>
            <w:noWrap/>
            <w:textDirection w:val="btLr"/>
            <w:vAlign w:val="center"/>
          </w:tcPr>
          <w:p w14:paraId="480297D9" w14:textId="6CFAF497"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575 </w:t>
            </w:r>
          </w:p>
        </w:tc>
        <w:tc>
          <w:tcPr>
            <w:tcW w:w="237" w:type="pct"/>
            <w:tcBorders>
              <w:top w:val="nil"/>
              <w:left w:val="nil"/>
              <w:bottom w:val="nil"/>
              <w:right w:val="single" w:sz="4" w:space="0" w:color="auto"/>
            </w:tcBorders>
            <w:shd w:val="clear" w:color="auto" w:fill="auto"/>
            <w:noWrap/>
            <w:textDirection w:val="btLr"/>
            <w:vAlign w:val="center"/>
          </w:tcPr>
          <w:p w14:paraId="26882C56" w14:textId="72862F7A"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633 </w:t>
            </w:r>
          </w:p>
        </w:tc>
        <w:tc>
          <w:tcPr>
            <w:tcW w:w="238" w:type="pct"/>
            <w:tcBorders>
              <w:top w:val="nil"/>
              <w:left w:val="nil"/>
              <w:bottom w:val="nil"/>
              <w:right w:val="single" w:sz="4" w:space="0" w:color="auto"/>
            </w:tcBorders>
            <w:shd w:val="clear" w:color="auto" w:fill="auto"/>
            <w:noWrap/>
            <w:textDirection w:val="btLr"/>
            <w:vAlign w:val="center"/>
          </w:tcPr>
          <w:p w14:paraId="5119A42D" w14:textId="20D8477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696 </w:t>
            </w:r>
          </w:p>
        </w:tc>
        <w:tc>
          <w:tcPr>
            <w:tcW w:w="237" w:type="pct"/>
            <w:tcBorders>
              <w:top w:val="nil"/>
              <w:left w:val="nil"/>
              <w:bottom w:val="nil"/>
              <w:right w:val="single" w:sz="4" w:space="0" w:color="auto"/>
            </w:tcBorders>
            <w:shd w:val="clear" w:color="auto" w:fill="auto"/>
            <w:noWrap/>
            <w:textDirection w:val="btLr"/>
            <w:vAlign w:val="center"/>
          </w:tcPr>
          <w:p w14:paraId="5FBC3062" w14:textId="24399816"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766 </w:t>
            </w:r>
          </w:p>
        </w:tc>
        <w:tc>
          <w:tcPr>
            <w:tcW w:w="219" w:type="pct"/>
            <w:tcBorders>
              <w:top w:val="nil"/>
              <w:left w:val="nil"/>
              <w:bottom w:val="nil"/>
              <w:right w:val="single" w:sz="4" w:space="0" w:color="auto"/>
            </w:tcBorders>
            <w:shd w:val="clear" w:color="auto" w:fill="auto"/>
            <w:noWrap/>
            <w:textDirection w:val="btLr"/>
            <w:vAlign w:val="center"/>
          </w:tcPr>
          <w:p w14:paraId="5198F7DE" w14:textId="508C5C42"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842 </w:t>
            </w:r>
          </w:p>
        </w:tc>
      </w:tr>
      <w:tr w:rsidR="00E83765" w:rsidRPr="002E7971" w14:paraId="10B3A00C" w14:textId="77777777" w:rsidTr="00341016">
        <w:trPr>
          <w:cantSplit/>
          <w:trHeight w:val="680"/>
        </w:trPr>
        <w:tc>
          <w:tcPr>
            <w:tcW w:w="2400"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BA123E5" w14:textId="051669D0" w:rsidR="00E83765" w:rsidRPr="002E7971" w:rsidRDefault="00E83765" w:rsidP="00BD6743">
            <w:pPr>
              <w:spacing w:after="0" w:line="240" w:lineRule="auto"/>
              <w:rPr>
                <w:rFonts w:ascii="Century Gothic" w:eastAsia="Times New Roman" w:hAnsi="Century Gothic" w:cs="Arial"/>
                <w:b/>
                <w:color w:val="000000"/>
                <w:sz w:val="18"/>
                <w:szCs w:val="18"/>
                <w:lang w:val="es-ES" w:eastAsia="es-ES"/>
              </w:rPr>
            </w:pPr>
            <w:r w:rsidRPr="002E7971">
              <w:rPr>
                <w:rFonts w:ascii="Century Gothic" w:eastAsia="Times New Roman" w:hAnsi="Century Gothic" w:cs="Arial"/>
                <w:b/>
                <w:color w:val="000000"/>
                <w:sz w:val="18"/>
                <w:szCs w:val="18"/>
                <w:lang w:val="es-ES" w:eastAsia="es-ES"/>
              </w:rPr>
              <w:t>1%  art. 210 ley 1450 de 2011 Medio Ambiente</w:t>
            </w:r>
          </w:p>
        </w:tc>
        <w:tc>
          <w:tcPr>
            <w:tcW w:w="236" w:type="pct"/>
            <w:tcBorders>
              <w:top w:val="single" w:sz="4" w:space="0" w:color="auto"/>
              <w:left w:val="nil"/>
              <w:bottom w:val="single" w:sz="4" w:space="0" w:color="auto"/>
              <w:right w:val="single" w:sz="4" w:space="0" w:color="auto"/>
            </w:tcBorders>
            <w:shd w:val="clear" w:color="auto" w:fill="auto"/>
            <w:noWrap/>
            <w:textDirection w:val="btLr"/>
            <w:vAlign w:val="center"/>
          </w:tcPr>
          <w:p w14:paraId="0FEACE8D" w14:textId="481465C1"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1.047 </w:t>
            </w:r>
          </w:p>
        </w:tc>
        <w:tc>
          <w:tcPr>
            <w:tcW w:w="235" w:type="pct"/>
            <w:tcBorders>
              <w:top w:val="single" w:sz="4" w:space="0" w:color="auto"/>
              <w:left w:val="nil"/>
              <w:bottom w:val="single" w:sz="4" w:space="0" w:color="auto"/>
              <w:right w:val="single" w:sz="4" w:space="0" w:color="auto"/>
            </w:tcBorders>
            <w:shd w:val="clear" w:color="auto" w:fill="auto"/>
            <w:noWrap/>
            <w:textDirection w:val="btLr"/>
            <w:vAlign w:val="center"/>
          </w:tcPr>
          <w:p w14:paraId="3E02C034" w14:textId="51908B0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1.149 </w:t>
            </w:r>
          </w:p>
        </w:tc>
        <w:tc>
          <w:tcPr>
            <w:tcW w:w="237" w:type="pct"/>
            <w:tcBorders>
              <w:top w:val="single" w:sz="4" w:space="0" w:color="auto"/>
              <w:left w:val="nil"/>
              <w:bottom w:val="single" w:sz="4" w:space="0" w:color="auto"/>
              <w:right w:val="single" w:sz="4" w:space="0" w:color="auto"/>
            </w:tcBorders>
            <w:shd w:val="clear" w:color="auto" w:fill="auto"/>
            <w:noWrap/>
            <w:textDirection w:val="btLr"/>
            <w:vAlign w:val="center"/>
          </w:tcPr>
          <w:p w14:paraId="0A946196" w14:textId="31329DA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1.239 </w:t>
            </w:r>
          </w:p>
        </w:tc>
        <w:tc>
          <w:tcPr>
            <w:tcW w:w="237" w:type="pct"/>
            <w:tcBorders>
              <w:top w:val="single" w:sz="4" w:space="0" w:color="auto"/>
              <w:left w:val="nil"/>
              <w:bottom w:val="single" w:sz="4" w:space="0" w:color="auto"/>
              <w:right w:val="single" w:sz="4" w:space="0" w:color="auto"/>
            </w:tcBorders>
            <w:shd w:val="clear" w:color="auto" w:fill="auto"/>
            <w:noWrap/>
            <w:textDirection w:val="btLr"/>
            <w:vAlign w:val="center"/>
          </w:tcPr>
          <w:p w14:paraId="79707109" w14:textId="7DD6F12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1.339 </w:t>
            </w:r>
          </w:p>
        </w:tc>
        <w:tc>
          <w:tcPr>
            <w:tcW w:w="235" w:type="pct"/>
            <w:tcBorders>
              <w:top w:val="single" w:sz="4" w:space="0" w:color="auto"/>
              <w:left w:val="nil"/>
              <w:bottom w:val="single" w:sz="4" w:space="0" w:color="auto"/>
              <w:right w:val="single" w:sz="4" w:space="0" w:color="auto"/>
            </w:tcBorders>
            <w:shd w:val="clear" w:color="auto" w:fill="auto"/>
            <w:noWrap/>
            <w:textDirection w:val="btLr"/>
            <w:vAlign w:val="center"/>
          </w:tcPr>
          <w:p w14:paraId="69AD534A" w14:textId="39EE24B5"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1.448 </w:t>
            </w:r>
          </w:p>
        </w:tc>
        <w:tc>
          <w:tcPr>
            <w:tcW w:w="237" w:type="pct"/>
            <w:tcBorders>
              <w:top w:val="single" w:sz="4" w:space="0" w:color="auto"/>
              <w:left w:val="nil"/>
              <w:bottom w:val="single" w:sz="4" w:space="0" w:color="auto"/>
              <w:right w:val="single" w:sz="4" w:space="0" w:color="auto"/>
            </w:tcBorders>
            <w:shd w:val="clear" w:color="auto" w:fill="auto"/>
            <w:noWrap/>
            <w:textDirection w:val="btLr"/>
            <w:vAlign w:val="center"/>
          </w:tcPr>
          <w:p w14:paraId="396122D0" w14:textId="00030EC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1.569 </w:t>
            </w:r>
          </w:p>
        </w:tc>
        <w:tc>
          <w:tcPr>
            <w:tcW w:w="252" w:type="pct"/>
            <w:tcBorders>
              <w:top w:val="single" w:sz="4" w:space="0" w:color="auto"/>
              <w:left w:val="nil"/>
              <w:bottom w:val="single" w:sz="4" w:space="0" w:color="auto"/>
              <w:right w:val="single" w:sz="4" w:space="0" w:color="auto"/>
            </w:tcBorders>
            <w:shd w:val="clear" w:color="auto" w:fill="auto"/>
            <w:noWrap/>
            <w:textDirection w:val="btLr"/>
            <w:vAlign w:val="center"/>
          </w:tcPr>
          <w:p w14:paraId="5E8152BD" w14:textId="105B4FD3"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1.702 </w:t>
            </w:r>
          </w:p>
        </w:tc>
        <w:tc>
          <w:tcPr>
            <w:tcW w:w="237" w:type="pct"/>
            <w:tcBorders>
              <w:top w:val="single" w:sz="4" w:space="0" w:color="auto"/>
              <w:left w:val="nil"/>
              <w:bottom w:val="single" w:sz="4" w:space="0" w:color="auto"/>
              <w:right w:val="single" w:sz="4" w:space="0" w:color="auto"/>
            </w:tcBorders>
            <w:shd w:val="clear" w:color="auto" w:fill="auto"/>
            <w:noWrap/>
            <w:textDirection w:val="btLr"/>
            <w:vAlign w:val="center"/>
          </w:tcPr>
          <w:p w14:paraId="224FF9F3" w14:textId="1A120F79"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1.849 </w:t>
            </w:r>
          </w:p>
        </w:tc>
        <w:tc>
          <w:tcPr>
            <w:tcW w:w="238" w:type="pct"/>
            <w:tcBorders>
              <w:top w:val="single" w:sz="4" w:space="0" w:color="auto"/>
              <w:left w:val="nil"/>
              <w:bottom w:val="single" w:sz="4" w:space="0" w:color="auto"/>
              <w:right w:val="single" w:sz="4" w:space="0" w:color="auto"/>
            </w:tcBorders>
            <w:shd w:val="clear" w:color="auto" w:fill="auto"/>
            <w:noWrap/>
            <w:textDirection w:val="btLr"/>
            <w:vAlign w:val="center"/>
          </w:tcPr>
          <w:p w14:paraId="71349838" w14:textId="41E850A8"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2.012 </w:t>
            </w:r>
          </w:p>
        </w:tc>
        <w:tc>
          <w:tcPr>
            <w:tcW w:w="237" w:type="pct"/>
            <w:tcBorders>
              <w:top w:val="single" w:sz="4" w:space="0" w:color="auto"/>
              <w:left w:val="nil"/>
              <w:bottom w:val="single" w:sz="4" w:space="0" w:color="auto"/>
              <w:right w:val="single" w:sz="4" w:space="0" w:color="auto"/>
            </w:tcBorders>
            <w:shd w:val="clear" w:color="auto" w:fill="auto"/>
            <w:noWrap/>
            <w:textDirection w:val="btLr"/>
            <w:vAlign w:val="center"/>
          </w:tcPr>
          <w:p w14:paraId="09C09E59" w14:textId="086B15CE"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2.192 </w:t>
            </w:r>
          </w:p>
        </w:tc>
        <w:tc>
          <w:tcPr>
            <w:tcW w:w="219" w:type="pct"/>
            <w:tcBorders>
              <w:top w:val="single" w:sz="4" w:space="0" w:color="auto"/>
              <w:left w:val="nil"/>
              <w:bottom w:val="single" w:sz="4" w:space="0" w:color="auto"/>
              <w:right w:val="single" w:sz="4" w:space="0" w:color="auto"/>
            </w:tcBorders>
            <w:shd w:val="clear" w:color="auto" w:fill="auto"/>
            <w:noWrap/>
            <w:textDirection w:val="btLr"/>
            <w:vAlign w:val="center"/>
          </w:tcPr>
          <w:p w14:paraId="3D877581" w14:textId="0F30448C" w:rsidR="00E83765" w:rsidRPr="002E7971" w:rsidRDefault="00E83765" w:rsidP="002E7971">
            <w:pPr>
              <w:spacing w:after="0" w:line="240" w:lineRule="auto"/>
              <w:ind w:left="113" w:right="113"/>
              <w:jc w:val="right"/>
              <w:rPr>
                <w:rFonts w:ascii="Century Gothic" w:eastAsia="Times New Roman" w:hAnsi="Century Gothic" w:cs="Arial"/>
                <w:color w:val="000000"/>
                <w:sz w:val="18"/>
                <w:szCs w:val="18"/>
                <w:lang w:val="es-ES" w:eastAsia="es-ES"/>
              </w:rPr>
            </w:pPr>
            <w:r w:rsidRPr="002E7971">
              <w:rPr>
                <w:rFonts w:ascii="Century Gothic" w:eastAsia="Times New Roman" w:hAnsi="Century Gothic" w:cs="Arial"/>
                <w:color w:val="000000"/>
                <w:sz w:val="18"/>
                <w:szCs w:val="18"/>
                <w:lang w:val="es-ES" w:eastAsia="es-ES"/>
              </w:rPr>
              <w:t xml:space="preserve">2.391 </w:t>
            </w:r>
          </w:p>
        </w:tc>
      </w:tr>
      <w:tr w:rsidR="00341016" w:rsidRPr="00AF28D3" w14:paraId="4CEFADF6" w14:textId="77777777" w:rsidTr="00341016">
        <w:trPr>
          <w:cantSplit/>
          <w:trHeight w:val="1077"/>
        </w:trPr>
        <w:tc>
          <w:tcPr>
            <w:tcW w:w="2400" w:type="pct"/>
            <w:tcBorders>
              <w:top w:val="nil"/>
              <w:left w:val="single" w:sz="4" w:space="0" w:color="auto"/>
              <w:bottom w:val="single" w:sz="4" w:space="0" w:color="auto"/>
              <w:right w:val="single" w:sz="4" w:space="0" w:color="auto"/>
            </w:tcBorders>
            <w:shd w:val="clear" w:color="auto" w:fill="C2D69B" w:themeFill="accent3" w:themeFillTint="99"/>
            <w:vAlign w:val="center"/>
          </w:tcPr>
          <w:p w14:paraId="560F9917" w14:textId="60C3C9F8" w:rsidR="00E83765" w:rsidRPr="002E7971" w:rsidRDefault="00E83765" w:rsidP="00BD6743">
            <w:pPr>
              <w:spacing w:after="0" w:line="240" w:lineRule="auto"/>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Total ingresos corrientes de destinación especifica</w:t>
            </w:r>
          </w:p>
        </w:tc>
        <w:tc>
          <w:tcPr>
            <w:tcW w:w="236"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2F70F20E" w14:textId="3EA9E061"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524.291 </w:t>
            </w:r>
          </w:p>
        </w:tc>
        <w:tc>
          <w:tcPr>
            <w:tcW w:w="235"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1B02CFBD" w14:textId="1611CF85"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554.371 </w:t>
            </w:r>
          </w:p>
        </w:tc>
        <w:tc>
          <w:tcPr>
            <w:tcW w:w="237"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55E85888" w14:textId="4452D278"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586.480 </w:t>
            </w:r>
          </w:p>
        </w:tc>
        <w:tc>
          <w:tcPr>
            <w:tcW w:w="237"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4D992F33" w14:textId="3861256E"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622.327 </w:t>
            </w:r>
          </w:p>
        </w:tc>
        <w:tc>
          <w:tcPr>
            <w:tcW w:w="235"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08B4908C" w14:textId="01E5ACA7"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662.943 </w:t>
            </w:r>
          </w:p>
        </w:tc>
        <w:tc>
          <w:tcPr>
            <w:tcW w:w="237"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1219F63F" w14:textId="631D4547"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708.324 </w:t>
            </w:r>
          </w:p>
        </w:tc>
        <w:tc>
          <w:tcPr>
            <w:tcW w:w="252"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090888E3" w14:textId="74F7A0FD"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759.672 </w:t>
            </w:r>
          </w:p>
        </w:tc>
        <w:tc>
          <w:tcPr>
            <w:tcW w:w="237"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27781035" w14:textId="5AE805D7"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817.167 </w:t>
            </w:r>
          </w:p>
        </w:tc>
        <w:tc>
          <w:tcPr>
            <w:tcW w:w="238"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44128D62" w14:textId="1234F395"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881.657 </w:t>
            </w:r>
          </w:p>
        </w:tc>
        <w:tc>
          <w:tcPr>
            <w:tcW w:w="237"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16C6B10F" w14:textId="147152E1" w:rsidR="00E83765" w:rsidRPr="002E7971"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 xml:space="preserve">954.118 </w:t>
            </w:r>
          </w:p>
        </w:tc>
        <w:tc>
          <w:tcPr>
            <w:tcW w:w="219" w:type="pct"/>
            <w:tcBorders>
              <w:top w:val="nil"/>
              <w:left w:val="nil"/>
              <w:bottom w:val="single" w:sz="4" w:space="0" w:color="auto"/>
              <w:right w:val="single" w:sz="4" w:space="0" w:color="auto"/>
            </w:tcBorders>
            <w:shd w:val="clear" w:color="auto" w:fill="C2D69B" w:themeFill="accent3" w:themeFillTint="99"/>
            <w:noWrap/>
            <w:textDirection w:val="btLr"/>
            <w:vAlign w:val="center"/>
          </w:tcPr>
          <w:p w14:paraId="5F8358BA" w14:textId="5A853A9C" w:rsidR="00E83765" w:rsidRPr="00AF28D3" w:rsidRDefault="00E83765" w:rsidP="002E7971">
            <w:pPr>
              <w:spacing w:after="0" w:line="240" w:lineRule="auto"/>
              <w:ind w:left="113" w:right="113"/>
              <w:jc w:val="right"/>
              <w:rPr>
                <w:rFonts w:ascii="Century Gothic" w:eastAsia="Times New Roman" w:hAnsi="Century Gothic" w:cs="Arial"/>
                <w:b/>
                <w:bCs/>
                <w:color w:val="000000"/>
                <w:sz w:val="18"/>
                <w:szCs w:val="18"/>
                <w:lang w:val="es-ES" w:eastAsia="es-ES"/>
              </w:rPr>
            </w:pPr>
            <w:r w:rsidRPr="002E7971">
              <w:rPr>
                <w:rFonts w:ascii="Century Gothic" w:eastAsia="Times New Roman" w:hAnsi="Century Gothic" w:cs="Arial"/>
                <w:b/>
                <w:bCs/>
                <w:color w:val="000000"/>
                <w:sz w:val="18"/>
                <w:szCs w:val="18"/>
                <w:lang w:val="es-ES" w:eastAsia="es-ES"/>
              </w:rPr>
              <w:t>1.035.683</w:t>
            </w:r>
            <w:r w:rsidRPr="00AF28D3">
              <w:rPr>
                <w:rFonts w:ascii="Century Gothic" w:eastAsia="Times New Roman" w:hAnsi="Century Gothic" w:cs="Arial"/>
                <w:b/>
                <w:bCs/>
                <w:color w:val="000000"/>
                <w:sz w:val="18"/>
                <w:szCs w:val="18"/>
                <w:lang w:val="es-ES" w:eastAsia="es-ES"/>
              </w:rPr>
              <w:t xml:space="preserve"> </w:t>
            </w:r>
          </w:p>
        </w:tc>
      </w:tr>
    </w:tbl>
    <w:p w14:paraId="66C2F209" w14:textId="77777777" w:rsidR="00142385" w:rsidRPr="00AF28D3" w:rsidRDefault="00142385" w:rsidP="00142385">
      <w:pPr>
        <w:jc w:val="center"/>
        <w:rPr>
          <w:rFonts w:ascii="Century Gothic" w:hAnsi="Century Gothic"/>
          <w:sz w:val="20"/>
          <w:lang w:val="es-ES"/>
        </w:rPr>
      </w:pPr>
      <w:r w:rsidRPr="00AF28D3">
        <w:rPr>
          <w:rFonts w:ascii="Century Gothic" w:hAnsi="Century Gothic"/>
          <w:sz w:val="20"/>
          <w:lang w:val="es-ES"/>
        </w:rPr>
        <w:t>Fuente: Secretaría de Hacienda, 2018</w:t>
      </w:r>
    </w:p>
    <w:p w14:paraId="317F585C" w14:textId="7DF93043" w:rsidR="00341016" w:rsidRDefault="00142385" w:rsidP="00142385">
      <w:pPr>
        <w:jc w:val="both"/>
        <w:rPr>
          <w:rFonts w:ascii="Century Gothic" w:hAnsi="Century Gothic"/>
          <w:lang w:val="es-ES"/>
        </w:rPr>
      </w:pPr>
      <w:r w:rsidRPr="00AF28D3">
        <w:rPr>
          <w:rFonts w:ascii="Century Gothic" w:hAnsi="Century Gothic"/>
          <w:lang w:val="es-ES"/>
        </w:rPr>
        <w:t>Los ingresos corrientes de destinación específica son del orden de $524.</w:t>
      </w:r>
      <w:r w:rsidR="00AF28D3">
        <w:rPr>
          <w:rFonts w:ascii="Century Gothic" w:hAnsi="Century Gothic"/>
          <w:lang w:val="es-ES"/>
        </w:rPr>
        <w:t>291</w:t>
      </w:r>
      <w:r w:rsidRPr="00AF28D3">
        <w:rPr>
          <w:rFonts w:ascii="Century Gothic" w:hAnsi="Century Gothic"/>
          <w:lang w:val="es-ES"/>
        </w:rPr>
        <w:t xml:space="preserve"> millones, de los cuales los de mayor participación son las transferencias del orden </w:t>
      </w:r>
      <w:r w:rsidRPr="002408EA">
        <w:rPr>
          <w:rFonts w:ascii="Century Gothic" w:hAnsi="Century Gothic"/>
          <w:lang w:val="es-ES"/>
        </w:rPr>
        <w:t>nacional</w:t>
      </w:r>
      <w:r w:rsidR="00AF28D3" w:rsidRPr="002408EA">
        <w:rPr>
          <w:rFonts w:ascii="Century Gothic" w:hAnsi="Century Gothic"/>
          <w:lang w:val="es-ES"/>
        </w:rPr>
        <w:t>,</w:t>
      </w:r>
      <w:r w:rsidRPr="002408EA">
        <w:rPr>
          <w:rFonts w:ascii="Century Gothic" w:hAnsi="Century Gothic"/>
          <w:lang w:val="es-ES"/>
        </w:rPr>
        <w:t xml:space="preserve"> </w:t>
      </w:r>
      <w:r w:rsidR="00AF28D3" w:rsidRPr="002408EA">
        <w:rPr>
          <w:rFonts w:ascii="Century Gothic" w:hAnsi="Century Gothic"/>
          <w:lang w:val="es-ES"/>
        </w:rPr>
        <w:t xml:space="preserve">tales como: </w:t>
      </w:r>
      <w:r w:rsidR="002408EA" w:rsidRPr="002408EA">
        <w:rPr>
          <w:rFonts w:ascii="Century Gothic" w:hAnsi="Century Gothic"/>
          <w:lang w:val="es-ES"/>
        </w:rPr>
        <w:t xml:space="preserve">Sistema General </w:t>
      </w:r>
      <w:r w:rsidRPr="002408EA">
        <w:rPr>
          <w:rFonts w:ascii="Century Gothic" w:hAnsi="Century Gothic"/>
          <w:lang w:val="es-ES"/>
        </w:rPr>
        <w:t xml:space="preserve">de </w:t>
      </w:r>
      <w:r w:rsidR="002408EA" w:rsidRPr="002408EA">
        <w:rPr>
          <w:rFonts w:ascii="Century Gothic" w:hAnsi="Century Gothic"/>
          <w:lang w:val="es-ES"/>
        </w:rPr>
        <w:t xml:space="preserve">Participaciones </w:t>
      </w:r>
      <w:r w:rsidR="00AF28D3" w:rsidRPr="002408EA">
        <w:rPr>
          <w:rFonts w:ascii="Century Gothic" w:hAnsi="Century Gothic"/>
          <w:lang w:val="es-ES"/>
        </w:rPr>
        <w:t xml:space="preserve">y </w:t>
      </w:r>
      <w:r w:rsidRPr="002408EA">
        <w:rPr>
          <w:rFonts w:ascii="Century Gothic" w:hAnsi="Century Gothic"/>
          <w:lang w:val="es-ES"/>
        </w:rPr>
        <w:t xml:space="preserve">recursos del </w:t>
      </w:r>
      <w:r w:rsidR="00AF28D3" w:rsidRPr="002408EA">
        <w:rPr>
          <w:rFonts w:ascii="Century Gothic" w:hAnsi="Century Gothic"/>
          <w:lang w:val="es-ES"/>
        </w:rPr>
        <w:t>FOSYGA</w:t>
      </w:r>
      <w:r w:rsidRPr="002408EA">
        <w:rPr>
          <w:rFonts w:ascii="Century Gothic" w:hAnsi="Century Gothic"/>
          <w:lang w:val="es-ES"/>
        </w:rPr>
        <w:t>.</w:t>
      </w:r>
    </w:p>
    <w:p w14:paraId="5BB889DC" w14:textId="77777777" w:rsidR="00384866" w:rsidRPr="002408EA" w:rsidRDefault="00384866" w:rsidP="002E7971">
      <w:pPr>
        <w:pStyle w:val="Epgrafe"/>
        <w:spacing w:after="0"/>
        <w:jc w:val="center"/>
        <w:rPr>
          <w:rFonts w:ascii="Century Gothic" w:hAnsi="Century Gothic"/>
          <w:b w:val="0"/>
          <w:color w:val="auto"/>
          <w:sz w:val="22"/>
          <w:szCs w:val="22"/>
          <w:lang w:val="es-ES"/>
        </w:rPr>
      </w:pPr>
      <w:bookmarkStart w:id="79" w:name="_Toc532570530"/>
      <w:r w:rsidRPr="002408EA">
        <w:rPr>
          <w:rFonts w:ascii="Century Gothic" w:hAnsi="Century Gothic"/>
          <w:b w:val="0"/>
          <w:color w:val="auto"/>
          <w:sz w:val="22"/>
          <w:szCs w:val="22"/>
          <w:lang w:val="es-ES"/>
        </w:rPr>
        <w:t xml:space="preserve">Tabla </w:t>
      </w:r>
      <w:r w:rsidRPr="002408EA">
        <w:rPr>
          <w:rFonts w:ascii="Century Gothic" w:hAnsi="Century Gothic"/>
          <w:b w:val="0"/>
          <w:color w:val="auto"/>
          <w:sz w:val="22"/>
          <w:szCs w:val="22"/>
          <w:lang w:val="es-ES"/>
        </w:rPr>
        <w:fldChar w:fldCharType="begin"/>
      </w:r>
      <w:r w:rsidRPr="002408EA">
        <w:rPr>
          <w:rFonts w:ascii="Century Gothic" w:hAnsi="Century Gothic"/>
          <w:b w:val="0"/>
          <w:color w:val="auto"/>
          <w:sz w:val="22"/>
          <w:szCs w:val="22"/>
          <w:lang w:val="es-ES"/>
        </w:rPr>
        <w:instrText xml:space="preserve"> SEQ Tabla \* ARABIC </w:instrText>
      </w:r>
      <w:r w:rsidRPr="002408EA">
        <w:rPr>
          <w:rFonts w:ascii="Century Gothic" w:hAnsi="Century Gothic"/>
          <w:b w:val="0"/>
          <w:color w:val="auto"/>
          <w:sz w:val="22"/>
          <w:szCs w:val="22"/>
          <w:lang w:val="es-ES"/>
        </w:rPr>
        <w:fldChar w:fldCharType="separate"/>
      </w:r>
      <w:r w:rsidR="00934BA3" w:rsidRPr="002408EA">
        <w:rPr>
          <w:rFonts w:ascii="Century Gothic" w:hAnsi="Century Gothic"/>
          <w:b w:val="0"/>
          <w:noProof/>
          <w:color w:val="auto"/>
          <w:sz w:val="22"/>
          <w:szCs w:val="22"/>
          <w:lang w:val="es-ES"/>
        </w:rPr>
        <w:t>39</w:t>
      </w:r>
      <w:r w:rsidRPr="002408EA">
        <w:rPr>
          <w:rFonts w:ascii="Century Gothic" w:hAnsi="Century Gothic"/>
          <w:b w:val="0"/>
          <w:color w:val="auto"/>
          <w:sz w:val="22"/>
          <w:szCs w:val="22"/>
          <w:lang w:val="es-ES"/>
        </w:rPr>
        <w:fldChar w:fldCharType="end"/>
      </w:r>
      <w:r w:rsidRPr="002408EA">
        <w:rPr>
          <w:rFonts w:ascii="Century Gothic" w:hAnsi="Century Gothic"/>
          <w:b w:val="0"/>
          <w:color w:val="auto"/>
          <w:sz w:val="22"/>
          <w:szCs w:val="22"/>
          <w:lang w:val="es-ES"/>
        </w:rPr>
        <w:t>. Comparativo apropiación inicial  ingresos corrientes 2018 - 2019</w:t>
      </w:r>
      <w:bookmarkEnd w:id="79"/>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3"/>
        <w:gridCol w:w="1417"/>
        <w:gridCol w:w="1560"/>
        <w:gridCol w:w="1479"/>
      </w:tblGrid>
      <w:tr w:rsidR="00384866" w:rsidRPr="002408EA" w14:paraId="3FFA84A2" w14:textId="77777777" w:rsidTr="00E74FB1">
        <w:trPr>
          <w:trHeight w:val="20"/>
          <w:tblHeader/>
        </w:trPr>
        <w:tc>
          <w:tcPr>
            <w:tcW w:w="4323" w:type="dxa"/>
            <w:shd w:val="clear" w:color="auto" w:fill="C4D79B"/>
            <w:noWrap/>
            <w:vAlign w:val="center"/>
            <w:hideMark/>
          </w:tcPr>
          <w:p w14:paraId="518DAB37" w14:textId="77777777" w:rsidR="00384866" w:rsidRPr="002408EA" w:rsidRDefault="00384866" w:rsidP="00384866">
            <w:pPr>
              <w:spacing w:after="0" w:line="240" w:lineRule="auto"/>
              <w:jc w:val="center"/>
              <w:rPr>
                <w:rFonts w:ascii="Century Gothic" w:eastAsia="Times New Roman" w:hAnsi="Century Gothic" w:cs="Arial"/>
                <w:b/>
                <w:color w:val="000000"/>
                <w:sz w:val="20"/>
                <w:szCs w:val="20"/>
                <w:lang w:val="es-ES"/>
              </w:rPr>
            </w:pPr>
            <w:r w:rsidRPr="002408EA">
              <w:rPr>
                <w:rFonts w:ascii="Century Gothic" w:eastAsia="Times New Roman" w:hAnsi="Century Gothic" w:cs="Arial"/>
                <w:b/>
                <w:color w:val="000000"/>
                <w:sz w:val="20"/>
                <w:szCs w:val="20"/>
                <w:lang w:val="es-ES"/>
              </w:rPr>
              <w:t>Concepto</w:t>
            </w:r>
          </w:p>
        </w:tc>
        <w:tc>
          <w:tcPr>
            <w:tcW w:w="1417" w:type="dxa"/>
            <w:shd w:val="clear" w:color="auto" w:fill="C4D79B"/>
            <w:vAlign w:val="center"/>
            <w:hideMark/>
          </w:tcPr>
          <w:p w14:paraId="42EE4535" w14:textId="77777777" w:rsidR="00384866" w:rsidRPr="002408EA" w:rsidRDefault="00384866" w:rsidP="00384866">
            <w:pPr>
              <w:spacing w:after="0" w:line="240" w:lineRule="auto"/>
              <w:jc w:val="center"/>
              <w:rPr>
                <w:rFonts w:ascii="Century Gothic" w:eastAsia="Times New Roman" w:hAnsi="Century Gothic" w:cs="Arial"/>
                <w:b/>
                <w:color w:val="000000"/>
                <w:sz w:val="20"/>
                <w:szCs w:val="20"/>
                <w:lang w:val="es-ES"/>
              </w:rPr>
            </w:pPr>
            <w:r w:rsidRPr="002408EA">
              <w:rPr>
                <w:rFonts w:ascii="Century Gothic" w:eastAsia="Times New Roman" w:hAnsi="Century Gothic" w:cs="Arial"/>
                <w:b/>
                <w:color w:val="000000"/>
                <w:sz w:val="20"/>
                <w:szCs w:val="20"/>
                <w:lang w:val="es-ES"/>
              </w:rPr>
              <w:t>Presupuesto inicial 2018</w:t>
            </w:r>
          </w:p>
        </w:tc>
        <w:tc>
          <w:tcPr>
            <w:tcW w:w="1560" w:type="dxa"/>
            <w:shd w:val="clear" w:color="auto" w:fill="C4D79B"/>
            <w:vAlign w:val="center"/>
            <w:hideMark/>
          </w:tcPr>
          <w:p w14:paraId="49E1CF21" w14:textId="77777777" w:rsidR="00384866" w:rsidRPr="002408EA" w:rsidRDefault="00384866" w:rsidP="00384866">
            <w:pPr>
              <w:spacing w:after="0" w:line="240" w:lineRule="auto"/>
              <w:jc w:val="center"/>
              <w:rPr>
                <w:rFonts w:ascii="Century Gothic" w:eastAsia="Times New Roman" w:hAnsi="Century Gothic" w:cs="Arial"/>
                <w:b/>
                <w:color w:val="000000"/>
                <w:sz w:val="20"/>
                <w:szCs w:val="20"/>
                <w:lang w:val="es-ES"/>
              </w:rPr>
            </w:pPr>
            <w:r w:rsidRPr="002408EA">
              <w:rPr>
                <w:rFonts w:ascii="Century Gothic" w:eastAsia="Times New Roman" w:hAnsi="Century Gothic" w:cs="Arial"/>
                <w:b/>
                <w:color w:val="000000"/>
                <w:sz w:val="20"/>
                <w:szCs w:val="20"/>
                <w:lang w:val="es-ES"/>
              </w:rPr>
              <w:t>Presupuesto inicial 2019</w:t>
            </w:r>
          </w:p>
        </w:tc>
        <w:tc>
          <w:tcPr>
            <w:tcW w:w="1479" w:type="dxa"/>
            <w:shd w:val="clear" w:color="auto" w:fill="C4D79B"/>
            <w:noWrap/>
            <w:vAlign w:val="center"/>
            <w:hideMark/>
          </w:tcPr>
          <w:p w14:paraId="76D40CC3" w14:textId="77777777" w:rsidR="00384866" w:rsidRPr="002408EA" w:rsidRDefault="00384866" w:rsidP="00384866">
            <w:pPr>
              <w:spacing w:after="0" w:line="240" w:lineRule="auto"/>
              <w:jc w:val="center"/>
              <w:rPr>
                <w:rFonts w:ascii="Century Gothic" w:eastAsia="Times New Roman" w:hAnsi="Century Gothic" w:cs="Arial"/>
                <w:b/>
                <w:color w:val="000000"/>
                <w:sz w:val="20"/>
                <w:szCs w:val="20"/>
                <w:lang w:val="es-ES"/>
              </w:rPr>
            </w:pPr>
            <w:r w:rsidRPr="002408EA">
              <w:rPr>
                <w:rFonts w:ascii="Century Gothic" w:eastAsia="Times New Roman" w:hAnsi="Century Gothic" w:cs="Arial"/>
                <w:b/>
                <w:color w:val="000000"/>
                <w:sz w:val="20"/>
                <w:szCs w:val="20"/>
                <w:lang w:val="es-ES"/>
              </w:rPr>
              <w:t>Variación %</w:t>
            </w:r>
          </w:p>
        </w:tc>
      </w:tr>
      <w:tr w:rsidR="00384866" w:rsidRPr="002408EA" w14:paraId="46CAC7AD" w14:textId="77777777" w:rsidTr="002408EA">
        <w:trPr>
          <w:trHeight w:val="20"/>
        </w:trPr>
        <w:tc>
          <w:tcPr>
            <w:tcW w:w="4323" w:type="dxa"/>
            <w:noWrap/>
            <w:vAlign w:val="bottom"/>
            <w:hideMark/>
          </w:tcPr>
          <w:p w14:paraId="08BF14FE"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Impuesto predial</w:t>
            </w:r>
          </w:p>
        </w:tc>
        <w:tc>
          <w:tcPr>
            <w:tcW w:w="1417" w:type="dxa"/>
            <w:noWrap/>
            <w:vAlign w:val="center"/>
            <w:hideMark/>
          </w:tcPr>
          <w:p w14:paraId="25951B75"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48.874 </w:t>
            </w:r>
          </w:p>
        </w:tc>
        <w:tc>
          <w:tcPr>
            <w:tcW w:w="1560" w:type="dxa"/>
            <w:noWrap/>
            <w:vAlign w:val="center"/>
            <w:hideMark/>
          </w:tcPr>
          <w:p w14:paraId="644B2068"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52.560 </w:t>
            </w:r>
          </w:p>
        </w:tc>
        <w:tc>
          <w:tcPr>
            <w:tcW w:w="1479" w:type="dxa"/>
            <w:noWrap/>
            <w:vAlign w:val="bottom"/>
            <w:hideMark/>
          </w:tcPr>
          <w:p w14:paraId="31272BDF"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w:t>
            </w:r>
          </w:p>
        </w:tc>
      </w:tr>
      <w:tr w:rsidR="00384866" w:rsidRPr="002408EA" w14:paraId="36C802C4" w14:textId="77777777" w:rsidTr="002408EA">
        <w:trPr>
          <w:trHeight w:val="20"/>
        </w:trPr>
        <w:tc>
          <w:tcPr>
            <w:tcW w:w="4323" w:type="dxa"/>
            <w:vAlign w:val="bottom"/>
            <w:hideMark/>
          </w:tcPr>
          <w:p w14:paraId="6C5B247E"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Impuesto de industria y comercio (96%)</w:t>
            </w:r>
          </w:p>
        </w:tc>
        <w:tc>
          <w:tcPr>
            <w:tcW w:w="1417" w:type="dxa"/>
            <w:noWrap/>
            <w:vAlign w:val="center"/>
            <w:hideMark/>
          </w:tcPr>
          <w:p w14:paraId="7F93DE25"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39.331 </w:t>
            </w:r>
          </w:p>
        </w:tc>
        <w:tc>
          <w:tcPr>
            <w:tcW w:w="1560" w:type="dxa"/>
            <w:noWrap/>
            <w:vAlign w:val="center"/>
            <w:hideMark/>
          </w:tcPr>
          <w:p w14:paraId="66BE32B1"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41.065 </w:t>
            </w:r>
          </w:p>
        </w:tc>
        <w:tc>
          <w:tcPr>
            <w:tcW w:w="1479" w:type="dxa"/>
            <w:noWrap/>
            <w:vAlign w:val="bottom"/>
            <w:hideMark/>
          </w:tcPr>
          <w:p w14:paraId="29AB96E1"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4</w:t>
            </w:r>
          </w:p>
        </w:tc>
      </w:tr>
      <w:tr w:rsidR="00384866" w:rsidRPr="002408EA" w14:paraId="4E4C6005" w14:textId="77777777" w:rsidTr="002408EA">
        <w:trPr>
          <w:trHeight w:val="20"/>
        </w:trPr>
        <w:tc>
          <w:tcPr>
            <w:tcW w:w="4323" w:type="dxa"/>
            <w:vAlign w:val="bottom"/>
            <w:hideMark/>
          </w:tcPr>
          <w:p w14:paraId="321EE88E"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Sobretasa consumo a la gasolina</w:t>
            </w:r>
          </w:p>
        </w:tc>
        <w:tc>
          <w:tcPr>
            <w:tcW w:w="1417" w:type="dxa"/>
            <w:noWrap/>
            <w:vAlign w:val="center"/>
            <w:hideMark/>
          </w:tcPr>
          <w:p w14:paraId="66CC50C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7.845 </w:t>
            </w:r>
          </w:p>
        </w:tc>
        <w:tc>
          <w:tcPr>
            <w:tcW w:w="1560" w:type="dxa"/>
            <w:noWrap/>
            <w:vAlign w:val="center"/>
            <w:hideMark/>
          </w:tcPr>
          <w:p w14:paraId="474396D1"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8.238 </w:t>
            </w:r>
          </w:p>
        </w:tc>
        <w:tc>
          <w:tcPr>
            <w:tcW w:w="1479" w:type="dxa"/>
            <w:noWrap/>
            <w:vAlign w:val="bottom"/>
            <w:hideMark/>
          </w:tcPr>
          <w:p w14:paraId="06FDB66E"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5</w:t>
            </w:r>
          </w:p>
        </w:tc>
      </w:tr>
      <w:tr w:rsidR="00384866" w:rsidRPr="002408EA" w14:paraId="180EB67E" w14:textId="77777777" w:rsidTr="002408EA">
        <w:trPr>
          <w:trHeight w:val="20"/>
        </w:trPr>
        <w:tc>
          <w:tcPr>
            <w:tcW w:w="4323" w:type="dxa"/>
            <w:vAlign w:val="bottom"/>
            <w:hideMark/>
          </w:tcPr>
          <w:p w14:paraId="630C7349"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Impuesto alumbrado Público</w:t>
            </w:r>
          </w:p>
        </w:tc>
        <w:tc>
          <w:tcPr>
            <w:tcW w:w="1417" w:type="dxa"/>
            <w:noWrap/>
            <w:vAlign w:val="center"/>
            <w:hideMark/>
          </w:tcPr>
          <w:p w14:paraId="6FAF9EB1"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16.599 </w:t>
            </w:r>
          </w:p>
        </w:tc>
        <w:tc>
          <w:tcPr>
            <w:tcW w:w="1560" w:type="dxa"/>
            <w:noWrap/>
            <w:vAlign w:val="center"/>
            <w:hideMark/>
          </w:tcPr>
          <w:p w14:paraId="3F67F113"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17.867 </w:t>
            </w:r>
          </w:p>
        </w:tc>
        <w:tc>
          <w:tcPr>
            <w:tcW w:w="1479" w:type="dxa"/>
            <w:noWrap/>
            <w:vAlign w:val="bottom"/>
            <w:hideMark/>
          </w:tcPr>
          <w:p w14:paraId="11983AA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w:t>
            </w:r>
          </w:p>
        </w:tc>
      </w:tr>
      <w:tr w:rsidR="00384866" w:rsidRPr="002408EA" w14:paraId="6BAE974B" w14:textId="77777777" w:rsidTr="002408EA">
        <w:trPr>
          <w:trHeight w:val="20"/>
        </w:trPr>
        <w:tc>
          <w:tcPr>
            <w:tcW w:w="4323" w:type="dxa"/>
            <w:noWrap/>
            <w:vAlign w:val="bottom"/>
            <w:hideMark/>
          </w:tcPr>
          <w:p w14:paraId="077BBE7E"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Estampillas</w:t>
            </w:r>
          </w:p>
        </w:tc>
        <w:tc>
          <w:tcPr>
            <w:tcW w:w="1417" w:type="dxa"/>
            <w:noWrap/>
            <w:vAlign w:val="center"/>
            <w:hideMark/>
          </w:tcPr>
          <w:p w14:paraId="31479C8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8.487 </w:t>
            </w:r>
          </w:p>
        </w:tc>
        <w:tc>
          <w:tcPr>
            <w:tcW w:w="1560" w:type="dxa"/>
            <w:noWrap/>
            <w:vAlign w:val="center"/>
            <w:hideMark/>
          </w:tcPr>
          <w:p w14:paraId="234C95BA"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9.255 </w:t>
            </w:r>
          </w:p>
        </w:tc>
        <w:tc>
          <w:tcPr>
            <w:tcW w:w="1479" w:type="dxa"/>
            <w:noWrap/>
            <w:vAlign w:val="bottom"/>
            <w:hideMark/>
          </w:tcPr>
          <w:p w14:paraId="4C18BA44"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9</w:t>
            </w:r>
          </w:p>
        </w:tc>
      </w:tr>
      <w:tr w:rsidR="00384866" w:rsidRPr="002408EA" w14:paraId="2E7CAA50" w14:textId="77777777" w:rsidTr="002408EA">
        <w:trPr>
          <w:trHeight w:val="20"/>
        </w:trPr>
        <w:tc>
          <w:tcPr>
            <w:tcW w:w="4323" w:type="dxa"/>
            <w:noWrap/>
            <w:vAlign w:val="bottom"/>
            <w:hideMark/>
          </w:tcPr>
          <w:p w14:paraId="23EF1B39"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Otros</w:t>
            </w:r>
          </w:p>
        </w:tc>
        <w:tc>
          <w:tcPr>
            <w:tcW w:w="1417" w:type="dxa"/>
            <w:noWrap/>
            <w:vAlign w:val="center"/>
            <w:hideMark/>
          </w:tcPr>
          <w:p w14:paraId="26F420AA"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9.093 </w:t>
            </w:r>
          </w:p>
        </w:tc>
        <w:tc>
          <w:tcPr>
            <w:tcW w:w="1560" w:type="dxa"/>
            <w:noWrap/>
            <w:vAlign w:val="center"/>
            <w:hideMark/>
          </w:tcPr>
          <w:p w14:paraId="7E95F41E"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8.943 </w:t>
            </w:r>
          </w:p>
        </w:tc>
        <w:tc>
          <w:tcPr>
            <w:tcW w:w="1479" w:type="dxa"/>
            <w:noWrap/>
            <w:vAlign w:val="bottom"/>
            <w:hideMark/>
          </w:tcPr>
          <w:p w14:paraId="59C32559"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-2</w:t>
            </w:r>
          </w:p>
        </w:tc>
      </w:tr>
      <w:tr w:rsidR="00384866" w:rsidRPr="002408EA" w14:paraId="1403DE39" w14:textId="77777777" w:rsidTr="002408EA">
        <w:trPr>
          <w:trHeight w:val="20"/>
        </w:trPr>
        <w:tc>
          <w:tcPr>
            <w:tcW w:w="4323" w:type="dxa"/>
            <w:noWrap/>
            <w:vAlign w:val="bottom"/>
            <w:hideMark/>
          </w:tcPr>
          <w:p w14:paraId="7F9E96E0"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Plazas de Mercado</w:t>
            </w:r>
          </w:p>
        </w:tc>
        <w:tc>
          <w:tcPr>
            <w:tcW w:w="1417" w:type="dxa"/>
            <w:noWrap/>
            <w:vAlign w:val="center"/>
            <w:hideMark/>
          </w:tcPr>
          <w:p w14:paraId="020F0B1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1.854 </w:t>
            </w:r>
          </w:p>
        </w:tc>
        <w:tc>
          <w:tcPr>
            <w:tcW w:w="1560" w:type="dxa"/>
            <w:noWrap/>
            <w:vAlign w:val="center"/>
            <w:hideMark/>
          </w:tcPr>
          <w:p w14:paraId="1628FA4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1.913 </w:t>
            </w:r>
          </w:p>
        </w:tc>
        <w:tc>
          <w:tcPr>
            <w:tcW w:w="1479" w:type="dxa"/>
            <w:noWrap/>
            <w:vAlign w:val="bottom"/>
            <w:hideMark/>
          </w:tcPr>
          <w:p w14:paraId="3D161A83"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3</w:t>
            </w:r>
          </w:p>
        </w:tc>
      </w:tr>
      <w:tr w:rsidR="00384866" w:rsidRPr="002408EA" w14:paraId="2D087DD6" w14:textId="77777777" w:rsidTr="002408EA">
        <w:trPr>
          <w:trHeight w:val="20"/>
        </w:trPr>
        <w:tc>
          <w:tcPr>
            <w:tcW w:w="4323" w:type="dxa"/>
            <w:noWrap/>
            <w:vAlign w:val="bottom"/>
            <w:hideMark/>
          </w:tcPr>
          <w:p w14:paraId="7370E0E2"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Multas</w:t>
            </w:r>
          </w:p>
        </w:tc>
        <w:tc>
          <w:tcPr>
            <w:tcW w:w="1417" w:type="dxa"/>
            <w:noWrap/>
            <w:vAlign w:val="center"/>
            <w:hideMark/>
          </w:tcPr>
          <w:p w14:paraId="4C703670"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75 </w:t>
            </w:r>
          </w:p>
        </w:tc>
        <w:tc>
          <w:tcPr>
            <w:tcW w:w="1560" w:type="dxa"/>
            <w:noWrap/>
            <w:vAlign w:val="center"/>
            <w:hideMark/>
          </w:tcPr>
          <w:p w14:paraId="07E53597"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15 </w:t>
            </w:r>
          </w:p>
        </w:tc>
        <w:tc>
          <w:tcPr>
            <w:tcW w:w="1479" w:type="dxa"/>
            <w:noWrap/>
            <w:vAlign w:val="bottom"/>
            <w:hideMark/>
          </w:tcPr>
          <w:p w14:paraId="7F459F98"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-80</w:t>
            </w:r>
          </w:p>
        </w:tc>
      </w:tr>
      <w:tr w:rsidR="00384866" w:rsidRPr="002408EA" w14:paraId="58D85A13" w14:textId="77777777" w:rsidTr="002408EA">
        <w:trPr>
          <w:trHeight w:val="20"/>
        </w:trPr>
        <w:tc>
          <w:tcPr>
            <w:tcW w:w="4323" w:type="dxa"/>
            <w:vAlign w:val="bottom"/>
            <w:hideMark/>
          </w:tcPr>
          <w:p w14:paraId="39D038B5"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Intereses moratorios</w:t>
            </w:r>
          </w:p>
        </w:tc>
        <w:tc>
          <w:tcPr>
            <w:tcW w:w="1417" w:type="dxa"/>
            <w:noWrap/>
            <w:vAlign w:val="center"/>
            <w:hideMark/>
          </w:tcPr>
          <w:p w14:paraId="041C59EA"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3.312 </w:t>
            </w:r>
          </w:p>
        </w:tc>
        <w:tc>
          <w:tcPr>
            <w:tcW w:w="1560" w:type="dxa"/>
            <w:noWrap/>
            <w:vAlign w:val="center"/>
            <w:hideMark/>
          </w:tcPr>
          <w:p w14:paraId="4EB21789"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3.262 </w:t>
            </w:r>
          </w:p>
        </w:tc>
        <w:tc>
          <w:tcPr>
            <w:tcW w:w="1479" w:type="dxa"/>
            <w:noWrap/>
            <w:vAlign w:val="bottom"/>
            <w:hideMark/>
          </w:tcPr>
          <w:p w14:paraId="213DBF15"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-2</w:t>
            </w:r>
          </w:p>
        </w:tc>
      </w:tr>
      <w:tr w:rsidR="00384866" w:rsidRPr="002408EA" w14:paraId="2D186278" w14:textId="77777777" w:rsidTr="002408EA">
        <w:trPr>
          <w:trHeight w:val="20"/>
        </w:trPr>
        <w:tc>
          <w:tcPr>
            <w:tcW w:w="4323" w:type="dxa"/>
            <w:vAlign w:val="bottom"/>
            <w:hideMark/>
          </w:tcPr>
          <w:p w14:paraId="7F0475BF"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Sanciones Tributarias</w:t>
            </w:r>
          </w:p>
        </w:tc>
        <w:tc>
          <w:tcPr>
            <w:tcW w:w="1417" w:type="dxa"/>
            <w:noWrap/>
            <w:vAlign w:val="center"/>
            <w:hideMark/>
          </w:tcPr>
          <w:p w14:paraId="6926215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1.240 </w:t>
            </w:r>
          </w:p>
        </w:tc>
        <w:tc>
          <w:tcPr>
            <w:tcW w:w="1560" w:type="dxa"/>
            <w:noWrap/>
            <w:vAlign w:val="center"/>
            <w:hideMark/>
          </w:tcPr>
          <w:p w14:paraId="76D9D14E"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674 </w:t>
            </w:r>
          </w:p>
        </w:tc>
        <w:tc>
          <w:tcPr>
            <w:tcW w:w="1479" w:type="dxa"/>
            <w:noWrap/>
            <w:vAlign w:val="bottom"/>
            <w:hideMark/>
          </w:tcPr>
          <w:p w14:paraId="1D3FA136"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-46</w:t>
            </w:r>
          </w:p>
        </w:tc>
      </w:tr>
      <w:tr w:rsidR="00384866" w:rsidRPr="002408EA" w14:paraId="16B4524B" w14:textId="77777777" w:rsidTr="002408EA">
        <w:trPr>
          <w:trHeight w:val="20"/>
        </w:trPr>
        <w:tc>
          <w:tcPr>
            <w:tcW w:w="4323" w:type="dxa"/>
            <w:vAlign w:val="bottom"/>
            <w:hideMark/>
          </w:tcPr>
          <w:p w14:paraId="1B8664DF"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lastRenderedPageBreak/>
              <w:t>Rentas Contractuales</w:t>
            </w:r>
          </w:p>
        </w:tc>
        <w:tc>
          <w:tcPr>
            <w:tcW w:w="1417" w:type="dxa"/>
            <w:noWrap/>
            <w:vAlign w:val="center"/>
            <w:hideMark/>
          </w:tcPr>
          <w:p w14:paraId="0DD8793C"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96 </w:t>
            </w:r>
          </w:p>
        </w:tc>
        <w:tc>
          <w:tcPr>
            <w:tcW w:w="1560" w:type="dxa"/>
            <w:noWrap/>
            <w:vAlign w:val="center"/>
            <w:hideMark/>
          </w:tcPr>
          <w:p w14:paraId="44AFAB71"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110 </w:t>
            </w:r>
          </w:p>
        </w:tc>
        <w:tc>
          <w:tcPr>
            <w:tcW w:w="1479" w:type="dxa"/>
            <w:noWrap/>
            <w:vAlign w:val="bottom"/>
            <w:hideMark/>
          </w:tcPr>
          <w:p w14:paraId="2250F42E"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15</w:t>
            </w:r>
          </w:p>
        </w:tc>
      </w:tr>
      <w:tr w:rsidR="00384866" w:rsidRPr="002408EA" w14:paraId="44E206D8" w14:textId="77777777" w:rsidTr="002408EA">
        <w:trPr>
          <w:trHeight w:val="20"/>
        </w:trPr>
        <w:tc>
          <w:tcPr>
            <w:tcW w:w="4323" w:type="dxa"/>
            <w:vAlign w:val="bottom"/>
            <w:hideMark/>
          </w:tcPr>
          <w:p w14:paraId="1EC5C8F6"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Transferencias libre destinación</w:t>
            </w:r>
          </w:p>
        </w:tc>
        <w:tc>
          <w:tcPr>
            <w:tcW w:w="1417" w:type="dxa"/>
            <w:noWrap/>
            <w:vAlign w:val="center"/>
            <w:hideMark/>
          </w:tcPr>
          <w:p w14:paraId="24BB444F"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1.780 </w:t>
            </w:r>
          </w:p>
        </w:tc>
        <w:tc>
          <w:tcPr>
            <w:tcW w:w="1560" w:type="dxa"/>
            <w:noWrap/>
            <w:vAlign w:val="center"/>
            <w:hideMark/>
          </w:tcPr>
          <w:p w14:paraId="3F38545B"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1.532 </w:t>
            </w:r>
          </w:p>
        </w:tc>
        <w:tc>
          <w:tcPr>
            <w:tcW w:w="1479" w:type="dxa"/>
            <w:noWrap/>
            <w:vAlign w:val="bottom"/>
            <w:hideMark/>
          </w:tcPr>
          <w:p w14:paraId="6F08EFBD"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-14</w:t>
            </w:r>
          </w:p>
        </w:tc>
      </w:tr>
      <w:tr w:rsidR="00384866" w:rsidRPr="002408EA" w14:paraId="00FDF2B6" w14:textId="77777777" w:rsidTr="002408EA">
        <w:trPr>
          <w:trHeight w:val="20"/>
        </w:trPr>
        <w:tc>
          <w:tcPr>
            <w:tcW w:w="4323" w:type="dxa"/>
            <w:vAlign w:val="bottom"/>
            <w:hideMark/>
          </w:tcPr>
          <w:p w14:paraId="2E2D5693"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SGP  Educación</w:t>
            </w:r>
          </w:p>
        </w:tc>
        <w:tc>
          <w:tcPr>
            <w:tcW w:w="1417" w:type="dxa"/>
            <w:noWrap/>
            <w:vAlign w:val="center"/>
            <w:hideMark/>
          </w:tcPr>
          <w:p w14:paraId="1C5F1188"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199.654 </w:t>
            </w:r>
          </w:p>
        </w:tc>
        <w:tc>
          <w:tcPr>
            <w:tcW w:w="1560" w:type="dxa"/>
            <w:noWrap/>
            <w:vAlign w:val="center"/>
            <w:hideMark/>
          </w:tcPr>
          <w:p w14:paraId="063056DE"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216.440 </w:t>
            </w:r>
          </w:p>
        </w:tc>
        <w:tc>
          <w:tcPr>
            <w:tcW w:w="1479" w:type="dxa"/>
            <w:noWrap/>
            <w:vAlign w:val="bottom"/>
            <w:hideMark/>
          </w:tcPr>
          <w:p w14:paraId="07812891"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w:t>
            </w:r>
          </w:p>
        </w:tc>
      </w:tr>
      <w:tr w:rsidR="00384866" w:rsidRPr="002408EA" w14:paraId="1B996392" w14:textId="77777777" w:rsidTr="002408EA">
        <w:trPr>
          <w:trHeight w:val="20"/>
        </w:trPr>
        <w:tc>
          <w:tcPr>
            <w:tcW w:w="4323" w:type="dxa"/>
            <w:vAlign w:val="bottom"/>
            <w:hideMark/>
          </w:tcPr>
          <w:p w14:paraId="2954CDCA"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SGP  Alimentación escolar</w:t>
            </w:r>
          </w:p>
        </w:tc>
        <w:tc>
          <w:tcPr>
            <w:tcW w:w="1417" w:type="dxa"/>
            <w:noWrap/>
            <w:vAlign w:val="center"/>
            <w:hideMark/>
          </w:tcPr>
          <w:p w14:paraId="35679587"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893 </w:t>
            </w:r>
          </w:p>
        </w:tc>
        <w:tc>
          <w:tcPr>
            <w:tcW w:w="1560" w:type="dxa"/>
            <w:noWrap/>
            <w:vAlign w:val="center"/>
            <w:hideMark/>
          </w:tcPr>
          <w:p w14:paraId="61E02489"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822 </w:t>
            </w:r>
          </w:p>
        </w:tc>
        <w:tc>
          <w:tcPr>
            <w:tcW w:w="1479" w:type="dxa"/>
            <w:noWrap/>
            <w:vAlign w:val="bottom"/>
            <w:hideMark/>
          </w:tcPr>
          <w:p w14:paraId="6EE67EBF"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w:t>
            </w:r>
          </w:p>
        </w:tc>
      </w:tr>
      <w:tr w:rsidR="00384866" w:rsidRPr="002408EA" w14:paraId="51D2D753" w14:textId="77777777" w:rsidTr="002408EA">
        <w:trPr>
          <w:trHeight w:val="20"/>
        </w:trPr>
        <w:tc>
          <w:tcPr>
            <w:tcW w:w="4323" w:type="dxa"/>
            <w:vAlign w:val="bottom"/>
            <w:hideMark/>
          </w:tcPr>
          <w:p w14:paraId="668D8704"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SGP  Propósito general</w:t>
            </w:r>
          </w:p>
        </w:tc>
        <w:tc>
          <w:tcPr>
            <w:tcW w:w="1417" w:type="dxa"/>
            <w:noWrap/>
            <w:vAlign w:val="center"/>
            <w:hideMark/>
          </w:tcPr>
          <w:p w14:paraId="5E81A062"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12.524 </w:t>
            </w:r>
          </w:p>
        </w:tc>
        <w:tc>
          <w:tcPr>
            <w:tcW w:w="1560" w:type="dxa"/>
            <w:noWrap/>
            <w:vAlign w:val="center"/>
            <w:hideMark/>
          </w:tcPr>
          <w:p w14:paraId="2DF2BA13"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12.366 </w:t>
            </w:r>
          </w:p>
        </w:tc>
        <w:tc>
          <w:tcPr>
            <w:tcW w:w="1479" w:type="dxa"/>
            <w:noWrap/>
            <w:vAlign w:val="bottom"/>
            <w:hideMark/>
          </w:tcPr>
          <w:p w14:paraId="53D94903"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-1</w:t>
            </w:r>
          </w:p>
        </w:tc>
      </w:tr>
      <w:tr w:rsidR="00384866" w:rsidRPr="002408EA" w14:paraId="6A39E79A" w14:textId="77777777" w:rsidTr="002408EA">
        <w:trPr>
          <w:trHeight w:val="20"/>
        </w:trPr>
        <w:tc>
          <w:tcPr>
            <w:tcW w:w="4323" w:type="dxa"/>
            <w:vAlign w:val="bottom"/>
            <w:hideMark/>
          </w:tcPr>
          <w:p w14:paraId="209B5FD3"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SGP Agua Potable y Saneamiento Básico</w:t>
            </w:r>
          </w:p>
        </w:tc>
        <w:tc>
          <w:tcPr>
            <w:tcW w:w="1417" w:type="dxa"/>
            <w:noWrap/>
            <w:vAlign w:val="center"/>
            <w:hideMark/>
          </w:tcPr>
          <w:p w14:paraId="03B7DEDF"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3.650 </w:t>
            </w:r>
          </w:p>
        </w:tc>
        <w:tc>
          <w:tcPr>
            <w:tcW w:w="1560" w:type="dxa"/>
            <w:noWrap/>
            <w:vAlign w:val="center"/>
            <w:hideMark/>
          </w:tcPr>
          <w:p w14:paraId="3FEDD3D9"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672 </w:t>
            </w:r>
          </w:p>
        </w:tc>
        <w:tc>
          <w:tcPr>
            <w:tcW w:w="1479" w:type="dxa"/>
            <w:noWrap/>
            <w:vAlign w:val="bottom"/>
            <w:hideMark/>
          </w:tcPr>
          <w:p w14:paraId="21E50693"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-82</w:t>
            </w:r>
          </w:p>
        </w:tc>
      </w:tr>
      <w:tr w:rsidR="00384866" w:rsidRPr="002408EA" w14:paraId="572157E5" w14:textId="77777777" w:rsidTr="002408EA">
        <w:trPr>
          <w:trHeight w:val="20"/>
        </w:trPr>
        <w:tc>
          <w:tcPr>
            <w:tcW w:w="4323" w:type="dxa"/>
            <w:vAlign w:val="bottom"/>
            <w:hideMark/>
          </w:tcPr>
          <w:p w14:paraId="4A76F39C"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Otras transferencias</w:t>
            </w:r>
          </w:p>
        </w:tc>
        <w:tc>
          <w:tcPr>
            <w:tcW w:w="1417" w:type="dxa"/>
            <w:noWrap/>
            <w:vAlign w:val="center"/>
            <w:hideMark/>
          </w:tcPr>
          <w:p w14:paraId="506C7A64"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46 </w:t>
            </w:r>
          </w:p>
        </w:tc>
        <w:tc>
          <w:tcPr>
            <w:tcW w:w="1560" w:type="dxa"/>
            <w:noWrap/>
            <w:vAlign w:val="center"/>
            <w:hideMark/>
          </w:tcPr>
          <w:p w14:paraId="6CA03C8C"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10.347 </w:t>
            </w:r>
          </w:p>
        </w:tc>
        <w:tc>
          <w:tcPr>
            <w:tcW w:w="1479" w:type="dxa"/>
            <w:noWrap/>
            <w:vAlign w:val="bottom"/>
            <w:hideMark/>
          </w:tcPr>
          <w:p w14:paraId="5A3FA81D"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22.590</w:t>
            </w:r>
          </w:p>
        </w:tc>
      </w:tr>
      <w:tr w:rsidR="00384866" w:rsidRPr="002408EA" w14:paraId="68A07904" w14:textId="77777777" w:rsidTr="002E7971">
        <w:trPr>
          <w:trHeight w:val="20"/>
        </w:trPr>
        <w:tc>
          <w:tcPr>
            <w:tcW w:w="4323" w:type="dxa"/>
            <w:shd w:val="clear" w:color="auto" w:fill="D8E4BC"/>
            <w:noWrap/>
            <w:vAlign w:val="bottom"/>
            <w:hideMark/>
          </w:tcPr>
          <w:p w14:paraId="3535D398" w14:textId="77777777" w:rsidR="00384866" w:rsidRPr="002E7971" w:rsidRDefault="00384866" w:rsidP="00384866">
            <w:pPr>
              <w:spacing w:after="0" w:line="240" w:lineRule="auto"/>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Total</w:t>
            </w:r>
          </w:p>
        </w:tc>
        <w:tc>
          <w:tcPr>
            <w:tcW w:w="1417" w:type="dxa"/>
            <w:shd w:val="clear" w:color="auto" w:fill="D8E4BC"/>
            <w:noWrap/>
            <w:vAlign w:val="center"/>
            <w:hideMark/>
          </w:tcPr>
          <w:p w14:paraId="6D033B2B" w14:textId="77777777" w:rsidR="00384866" w:rsidRPr="002E7971" w:rsidRDefault="00384866" w:rsidP="00384866">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 xml:space="preserve">355.353 </w:t>
            </w:r>
          </w:p>
        </w:tc>
        <w:tc>
          <w:tcPr>
            <w:tcW w:w="1560" w:type="dxa"/>
            <w:shd w:val="clear" w:color="auto" w:fill="D8E4BC"/>
            <w:noWrap/>
            <w:vAlign w:val="center"/>
            <w:hideMark/>
          </w:tcPr>
          <w:p w14:paraId="3001CF5E" w14:textId="77777777" w:rsidR="00384866" w:rsidRPr="002E7971" w:rsidRDefault="00384866" w:rsidP="00384866">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 xml:space="preserve">386.228 </w:t>
            </w:r>
          </w:p>
        </w:tc>
        <w:tc>
          <w:tcPr>
            <w:tcW w:w="1479" w:type="dxa"/>
            <w:shd w:val="clear" w:color="auto" w:fill="D6E3BC" w:themeFill="accent3" w:themeFillTint="66"/>
            <w:noWrap/>
            <w:vAlign w:val="bottom"/>
            <w:hideMark/>
          </w:tcPr>
          <w:p w14:paraId="507D0E75" w14:textId="77777777" w:rsidR="00384866" w:rsidRPr="002E7971" w:rsidRDefault="00384866" w:rsidP="00384866">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9</w:t>
            </w:r>
          </w:p>
        </w:tc>
      </w:tr>
      <w:tr w:rsidR="00384866" w:rsidRPr="002408EA" w14:paraId="41B458A2" w14:textId="77777777" w:rsidTr="002408EA">
        <w:trPr>
          <w:trHeight w:val="20"/>
        </w:trPr>
        <w:tc>
          <w:tcPr>
            <w:tcW w:w="4323" w:type="dxa"/>
            <w:vAlign w:val="bottom"/>
            <w:hideMark/>
          </w:tcPr>
          <w:p w14:paraId="6F4F7879" w14:textId="77777777" w:rsidR="00384866" w:rsidRPr="002408EA" w:rsidRDefault="00384866" w:rsidP="00384866">
            <w:pPr>
              <w:spacing w:after="0" w:line="240" w:lineRule="auto"/>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Ingresos corrientes Fondos</w:t>
            </w:r>
          </w:p>
        </w:tc>
        <w:tc>
          <w:tcPr>
            <w:tcW w:w="1417" w:type="dxa"/>
            <w:noWrap/>
            <w:vAlign w:val="center"/>
            <w:hideMark/>
          </w:tcPr>
          <w:p w14:paraId="56CDBAFC"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 xml:space="preserve">225.089 </w:t>
            </w:r>
          </w:p>
        </w:tc>
        <w:tc>
          <w:tcPr>
            <w:tcW w:w="1560" w:type="dxa"/>
            <w:noWrap/>
            <w:vAlign w:val="center"/>
            <w:hideMark/>
          </w:tcPr>
          <w:p w14:paraId="2D8B2725"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241.837</w:t>
            </w:r>
          </w:p>
        </w:tc>
        <w:tc>
          <w:tcPr>
            <w:tcW w:w="1479" w:type="dxa"/>
            <w:noWrap/>
            <w:vAlign w:val="bottom"/>
            <w:hideMark/>
          </w:tcPr>
          <w:p w14:paraId="4E6988DD" w14:textId="77777777" w:rsidR="00384866" w:rsidRPr="002408EA" w:rsidRDefault="00384866" w:rsidP="00384866">
            <w:pPr>
              <w:spacing w:after="0" w:line="240" w:lineRule="auto"/>
              <w:jc w:val="right"/>
              <w:rPr>
                <w:rFonts w:ascii="Century Gothic" w:eastAsia="Times New Roman" w:hAnsi="Century Gothic" w:cs="Arial"/>
                <w:color w:val="000000"/>
                <w:sz w:val="20"/>
                <w:szCs w:val="20"/>
                <w:lang w:val="es-ES"/>
              </w:rPr>
            </w:pPr>
            <w:r w:rsidRPr="002408EA">
              <w:rPr>
                <w:rFonts w:ascii="Century Gothic" w:eastAsia="Times New Roman" w:hAnsi="Century Gothic" w:cs="Arial"/>
                <w:color w:val="000000"/>
                <w:sz w:val="20"/>
                <w:szCs w:val="20"/>
                <w:lang w:val="es-ES"/>
              </w:rPr>
              <w:t>8</w:t>
            </w:r>
          </w:p>
        </w:tc>
      </w:tr>
      <w:tr w:rsidR="00384866" w:rsidRPr="002408EA" w14:paraId="55BE500F" w14:textId="77777777" w:rsidTr="002408EA">
        <w:trPr>
          <w:trHeight w:val="20"/>
        </w:trPr>
        <w:tc>
          <w:tcPr>
            <w:tcW w:w="4323" w:type="dxa"/>
            <w:shd w:val="clear" w:color="auto" w:fill="C4D79B"/>
            <w:vAlign w:val="bottom"/>
            <w:hideMark/>
          </w:tcPr>
          <w:p w14:paraId="3EB90A3B" w14:textId="77777777" w:rsidR="00384866" w:rsidRPr="002E7971" w:rsidRDefault="00384866" w:rsidP="00384866">
            <w:pPr>
              <w:spacing w:after="0" w:line="240" w:lineRule="auto"/>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Total ingresos corrientes</w:t>
            </w:r>
          </w:p>
        </w:tc>
        <w:tc>
          <w:tcPr>
            <w:tcW w:w="1417" w:type="dxa"/>
            <w:shd w:val="clear" w:color="auto" w:fill="C4D79B"/>
            <w:noWrap/>
            <w:vAlign w:val="center"/>
            <w:hideMark/>
          </w:tcPr>
          <w:p w14:paraId="5BCA48EE" w14:textId="77777777" w:rsidR="00384866" w:rsidRPr="002E7971" w:rsidRDefault="00384866" w:rsidP="00384866">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 xml:space="preserve">580.442 </w:t>
            </w:r>
          </w:p>
        </w:tc>
        <w:tc>
          <w:tcPr>
            <w:tcW w:w="1560" w:type="dxa"/>
            <w:shd w:val="clear" w:color="auto" w:fill="C4D79B"/>
            <w:noWrap/>
            <w:vAlign w:val="center"/>
            <w:hideMark/>
          </w:tcPr>
          <w:p w14:paraId="7A5CC7F2" w14:textId="77777777" w:rsidR="00384866" w:rsidRPr="002E7971" w:rsidRDefault="00384866" w:rsidP="00384866">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 xml:space="preserve">627.918 </w:t>
            </w:r>
          </w:p>
        </w:tc>
        <w:tc>
          <w:tcPr>
            <w:tcW w:w="1479" w:type="dxa"/>
            <w:shd w:val="clear" w:color="auto" w:fill="C4D79B"/>
            <w:noWrap/>
            <w:vAlign w:val="bottom"/>
            <w:hideMark/>
          </w:tcPr>
          <w:p w14:paraId="546F87EC" w14:textId="77777777" w:rsidR="00384866" w:rsidRPr="002E7971" w:rsidRDefault="00384866" w:rsidP="00384866">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8</w:t>
            </w:r>
          </w:p>
        </w:tc>
      </w:tr>
    </w:tbl>
    <w:p w14:paraId="01123BCD" w14:textId="77777777" w:rsidR="00384866" w:rsidRPr="00F55BF9" w:rsidRDefault="00384866" w:rsidP="00384866">
      <w:pPr>
        <w:jc w:val="center"/>
        <w:rPr>
          <w:rFonts w:ascii="Century Gothic" w:hAnsi="Century Gothic"/>
          <w:sz w:val="20"/>
          <w:lang w:val="es-ES"/>
        </w:rPr>
      </w:pPr>
      <w:r w:rsidRPr="002408EA">
        <w:rPr>
          <w:rFonts w:ascii="Century Gothic" w:hAnsi="Century Gothic"/>
          <w:sz w:val="20"/>
          <w:lang w:val="es-ES"/>
        </w:rPr>
        <w:t>Fuente: Secretaría de Hacienda, 2018</w:t>
      </w:r>
    </w:p>
    <w:p w14:paraId="50942D44" w14:textId="3D49E93A" w:rsidR="002D3259" w:rsidRPr="002408EA" w:rsidRDefault="002D3259" w:rsidP="001603BE">
      <w:pPr>
        <w:jc w:val="both"/>
        <w:rPr>
          <w:rFonts w:ascii="Century Gothic" w:hAnsi="Century Gothic"/>
          <w:lang w:val="es-ES"/>
        </w:rPr>
      </w:pPr>
      <w:r w:rsidRPr="002408EA">
        <w:rPr>
          <w:rFonts w:ascii="Century Gothic" w:hAnsi="Century Gothic"/>
          <w:lang w:val="es-ES"/>
        </w:rPr>
        <w:t>Los ingresos corrientes presentan un crecimiento del 8</w:t>
      </w:r>
      <w:r w:rsidR="004F5BDD" w:rsidRPr="002408EA">
        <w:rPr>
          <w:rFonts w:ascii="Century Gothic" w:hAnsi="Century Gothic"/>
          <w:lang w:val="es-ES"/>
        </w:rPr>
        <w:t xml:space="preserve"> por ciento</w:t>
      </w:r>
      <w:r w:rsidRPr="002408EA">
        <w:rPr>
          <w:rFonts w:ascii="Century Gothic" w:hAnsi="Century Gothic"/>
          <w:lang w:val="es-ES"/>
        </w:rPr>
        <w:t xml:space="preserve"> frente al 2018, </w:t>
      </w:r>
      <w:r w:rsidR="002408EA" w:rsidRPr="002408EA">
        <w:rPr>
          <w:rFonts w:ascii="Century Gothic" w:hAnsi="Century Gothic"/>
          <w:lang w:val="es-ES"/>
        </w:rPr>
        <w:t xml:space="preserve">no obstante, en algunos casos su </w:t>
      </w:r>
      <w:r w:rsidRPr="002408EA">
        <w:rPr>
          <w:rFonts w:ascii="Century Gothic" w:hAnsi="Century Gothic"/>
          <w:lang w:val="es-ES"/>
        </w:rPr>
        <w:t xml:space="preserve">crecimiento </w:t>
      </w:r>
      <w:r w:rsidR="002408EA" w:rsidRPr="002408EA">
        <w:rPr>
          <w:rFonts w:ascii="Century Gothic" w:hAnsi="Century Gothic"/>
          <w:lang w:val="es-ES"/>
        </w:rPr>
        <w:t>supera dicho porcentaje,</w:t>
      </w:r>
      <w:r w:rsidRPr="002408EA">
        <w:rPr>
          <w:rFonts w:ascii="Century Gothic" w:hAnsi="Century Gothic"/>
          <w:lang w:val="es-ES"/>
        </w:rPr>
        <w:t xml:space="preserve"> </w:t>
      </w:r>
      <w:r w:rsidR="002408EA" w:rsidRPr="002408EA">
        <w:rPr>
          <w:rFonts w:ascii="Century Gothic" w:hAnsi="Century Gothic"/>
          <w:lang w:val="es-ES"/>
        </w:rPr>
        <w:t>debido a q</w:t>
      </w:r>
      <w:r w:rsidRPr="002408EA">
        <w:rPr>
          <w:rFonts w:ascii="Century Gothic" w:hAnsi="Century Gothic"/>
          <w:lang w:val="es-ES"/>
        </w:rPr>
        <w:t xml:space="preserve">ue para el </w:t>
      </w:r>
      <w:r w:rsidR="002408EA" w:rsidRPr="002408EA">
        <w:rPr>
          <w:rFonts w:ascii="Century Gothic" w:hAnsi="Century Gothic"/>
          <w:lang w:val="es-ES"/>
        </w:rPr>
        <w:t xml:space="preserve">año </w:t>
      </w:r>
      <w:r w:rsidRPr="002408EA">
        <w:rPr>
          <w:rFonts w:ascii="Century Gothic" w:hAnsi="Century Gothic"/>
          <w:lang w:val="es-ES"/>
        </w:rPr>
        <w:t>2018</w:t>
      </w:r>
      <w:r w:rsidR="002408EA" w:rsidRPr="002408EA">
        <w:rPr>
          <w:rFonts w:ascii="Century Gothic" w:hAnsi="Century Gothic"/>
          <w:lang w:val="es-ES"/>
        </w:rPr>
        <w:t>,</w:t>
      </w:r>
      <w:r w:rsidRPr="002408EA">
        <w:rPr>
          <w:rFonts w:ascii="Century Gothic" w:hAnsi="Century Gothic"/>
          <w:lang w:val="es-ES"/>
        </w:rPr>
        <w:t xml:space="preserve"> los recursos para cofinanciar el </w:t>
      </w:r>
      <w:r w:rsidR="002408EA" w:rsidRPr="002408EA">
        <w:rPr>
          <w:rFonts w:ascii="Century Gothic" w:hAnsi="Century Gothic"/>
          <w:lang w:val="es-ES"/>
        </w:rPr>
        <w:t xml:space="preserve">Plan </w:t>
      </w:r>
      <w:r w:rsidRPr="002408EA">
        <w:rPr>
          <w:rFonts w:ascii="Century Gothic" w:hAnsi="Century Gothic"/>
          <w:lang w:val="es-ES"/>
        </w:rPr>
        <w:t xml:space="preserve">de </w:t>
      </w:r>
      <w:r w:rsidR="002408EA" w:rsidRPr="002408EA">
        <w:rPr>
          <w:rFonts w:ascii="Century Gothic" w:hAnsi="Century Gothic"/>
          <w:lang w:val="es-ES"/>
        </w:rPr>
        <w:t xml:space="preserve">Alimentación Escolar – PAE, </w:t>
      </w:r>
      <w:r w:rsidRPr="002408EA">
        <w:rPr>
          <w:rFonts w:ascii="Century Gothic" w:hAnsi="Century Gothic"/>
          <w:lang w:val="es-ES"/>
        </w:rPr>
        <w:t xml:space="preserve">se </w:t>
      </w:r>
      <w:r w:rsidR="002408EA" w:rsidRPr="002408EA">
        <w:rPr>
          <w:rFonts w:ascii="Century Gothic" w:hAnsi="Century Gothic"/>
          <w:lang w:val="es-ES"/>
        </w:rPr>
        <w:t xml:space="preserve">clasificaban </w:t>
      </w:r>
      <w:r w:rsidRPr="002408EA">
        <w:rPr>
          <w:rFonts w:ascii="Century Gothic" w:hAnsi="Century Gothic"/>
          <w:lang w:val="es-ES"/>
        </w:rPr>
        <w:t>en el presupuesto como una cofinanciación y para el 2019 se</w:t>
      </w:r>
      <w:r w:rsidR="002408EA" w:rsidRPr="002408EA">
        <w:rPr>
          <w:rFonts w:ascii="Century Gothic" w:hAnsi="Century Gothic"/>
          <w:lang w:val="es-ES"/>
        </w:rPr>
        <w:t xml:space="preserve"> clasificará como transferencia</w:t>
      </w:r>
      <w:r w:rsidRPr="002408EA">
        <w:rPr>
          <w:rFonts w:ascii="Century Gothic" w:hAnsi="Century Gothic"/>
          <w:lang w:val="es-ES"/>
        </w:rPr>
        <w:t>.</w:t>
      </w:r>
    </w:p>
    <w:p w14:paraId="5F9967A9" w14:textId="61515FD6" w:rsidR="002D3259" w:rsidRPr="002408EA" w:rsidRDefault="00384866" w:rsidP="002D3259">
      <w:pPr>
        <w:jc w:val="both"/>
        <w:rPr>
          <w:rFonts w:ascii="Century Gothic" w:hAnsi="Century Gothic"/>
          <w:lang w:val="es-ES"/>
        </w:rPr>
      </w:pPr>
      <w:r w:rsidRPr="002408EA">
        <w:rPr>
          <w:rFonts w:ascii="Century Gothic" w:hAnsi="Century Gothic"/>
          <w:lang w:val="es-ES"/>
        </w:rPr>
        <w:t xml:space="preserve">Los recursos correspondientes a transferencias del sistema general de participaciones </w:t>
      </w:r>
      <w:r w:rsidR="002408EA" w:rsidRPr="002408EA">
        <w:rPr>
          <w:rFonts w:ascii="Century Gothic" w:hAnsi="Century Gothic"/>
          <w:lang w:val="es-ES"/>
        </w:rPr>
        <w:t xml:space="preserve">en agua potable y saneamiento básico </w:t>
      </w:r>
      <w:r w:rsidRPr="002408EA">
        <w:rPr>
          <w:rFonts w:ascii="Century Gothic" w:hAnsi="Century Gothic"/>
          <w:lang w:val="es-ES"/>
        </w:rPr>
        <w:t>asignados durante el 2018</w:t>
      </w:r>
      <w:r w:rsidR="002408EA" w:rsidRPr="002408EA">
        <w:rPr>
          <w:rFonts w:ascii="Century Gothic" w:hAnsi="Century Gothic"/>
          <w:lang w:val="es-ES"/>
        </w:rPr>
        <w:t>,</w:t>
      </w:r>
      <w:r w:rsidRPr="002408EA">
        <w:rPr>
          <w:rFonts w:ascii="Century Gothic" w:hAnsi="Century Gothic"/>
          <w:lang w:val="es-ES"/>
        </w:rPr>
        <w:t xml:space="preserve"> no alcanzaron los valores aforados y además fueron inferiores al 2017, el saldo de estos recursos en el presupuesto se ubican en el Fondo de Redistribución del Ingreso</w:t>
      </w:r>
      <w:r w:rsidR="002408EA" w:rsidRPr="002408EA">
        <w:rPr>
          <w:rFonts w:ascii="Century Gothic" w:hAnsi="Century Gothic"/>
          <w:lang w:val="es-ES"/>
        </w:rPr>
        <w:t>,</w:t>
      </w:r>
      <w:r w:rsidRPr="002408EA">
        <w:rPr>
          <w:rFonts w:ascii="Century Gothic" w:hAnsi="Century Gothic"/>
          <w:lang w:val="es-ES"/>
        </w:rPr>
        <w:t xml:space="preserve"> para cubri</w:t>
      </w:r>
      <w:r w:rsidR="002408EA" w:rsidRPr="002408EA">
        <w:rPr>
          <w:rFonts w:ascii="Century Gothic" w:hAnsi="Century Gothic"/>
          <w:lang w:val="es-ES"/>
        </w:rPr>
        <w:t xml:space="preserve">r </w:t>
      </w:r>
      <w:r w:rsidRPr="002408EA">
        <w:rPr>
          <w:rFonts w:ascii="Century Gothic" w:hAnsi="Century Gothic"/>
          <w:lang w:val="es-ES"/>
        </w:rPr>
        <w:t>los subsidios de los estratos 1, 2 y 3, se destina más del 90 por ciento. El valor esperado por este concepto es de $8.565 millones</w:t>
      </w:r>
      <w:r w:rsidR="002408EA" w:rsidRPr="002408EA">
        <w:rPr>
          <w:rFonts w:ascii="Century Gothic" w:hAnsi="Century Gothic"/>
          <w:lang w:val="es-ES"/>
        </w:rPr>
        <w:t>,</w:t>
      </w:r>
      <w:r w:rsidRPr="002408EA">
        <w:rPr>
          <w:rFonts w:ascii="Century Gothic" w:hAnsi="Century Gothic"/>
          <w:lang w:val="es-ES"/>
        </w:rPr>
        <w:t xml:space="preserve"> de los cuales</w:t>
      </w:r>
      <w:r w:rsidR="002408EA" w:rsidRPr="002408EA">
        <w:rPr>
          <w:rFonts w:ascii="Century Gothic" w:hAnsi="Century Gothic"/>
          <w:lang w:val="es-ES"/>
        </w:rPr>
        <w:t>,</w:t>
      </w:r>
      <w:r w:rsidRPr="002408EA">
        <w:rPr>
          <w:rFonts w:ascii="Century Gothic" w:hAnsi="Century Gothic"/>
          <w:lang w:val="es-ES"/>
        </w:rPr>
        <w:t xml:space="preserve"> se destina</w:t>
      </w:r>
      <w:r w:rsidR="002408EA" w:rsidRPr="002408EA">
        <w:rPr>
          <w:rFonts w:ascii="Century Gothic" w:hAnsi="Century Gothic"/>
          <w:lang w:val="es-ES"/>
        </w:rPr>
        <w:t>n</w:t>
      </w:r>
      <w:r w:rsidRPr="002408EA">
        <w:rPr>
          <w:rFonts w:ascii="Century Gothic" w:hAnsi="Century Gothic"/>
          <w:lang w:val="es-ES"/>
        </w:rPr>
        <w:t xml:space="preserve"> $7.893 millones</w:t>
      </w:r>
      <w:r w:rsidR="002408EA" w:rsidRPr="002408EA">
        <w:rPr>
          <w:rFonts w:ascii="Century Gothic" w:hAnsi="Century Gothic"/>
          <w:lang w:val="es-ES"/>
        </w:rPr>
        <w:t xml:space="preserve"> para subsidios</w:t>
      </w:r>
      <w:r w:rsidRPr="002408EA">
        <w:rPr>
          <w:rFonts w:ascii="Century Gothic" w:hAnsi="Century Gothic"/>
          <w:lang w:val="es-ES"/>
        </w:rPr>
        <w:t>.</w:t>
      </w:r>
    </w:p>
    <w:p w14:paraId="6F693010" w14:textId="1B2AB60F" w:rsidR="002D3259" w:rsidRPr="00D5157C" w:rsidRDefault="002D3259" w:rsidP="001603BE">
      <w:pPr>
        <w:jc w:val="both"/>
        <w:rPr>
          <w:rFonts w:ascii="Century Gothic" w:hAnsi="Century Gothic"/>
          <w:sz w:val="20"/>
          <w:lang w:val="es-ES"/>
        </w:rPr>
      </w:pPr>
      <w:r w:rsidRPr="002408EA">
        <w:rPr>
          <w:rFonts w:ascii="Century Gothic" w:hAnsi="Century Gothic"/>
          <w:lang w:val="es-ES"/>
        </w:rPr>
        <w:t>Las demás transferencias correspondientes al sistema general de participac</w:t>
      </w:r>
      <w:r w:rsidRPr="00D5157C">
        <w:rPr>
          <w:rFonts w:ascii="Century Gothic" w:hAnsi="Century Gothic"/>
          <w:lang w:val="es-ES"/>
        </w:rPr>
        <w:t>iones se proyectan teniendo como base los valores asignados para el 2018.</w:t>
      </w:r>
    </w:p>
    <w:p w14:paraId="6959CAAD" w14:textId="77777777" w:rsidR="00762E4A" w:rsidRPr="00D5157C" w:rsidRDefault="00762E4A" w:rsidP="00762E4A">
      <w:pPr>
        <w:pStyle w:val="Ttulo3"/>
        <w:jc w:val="both"/>
        <w:rPr>
          <w:lang w:val="es-ES"/>
        </w:rPr>
      </w:pPr>
      <w:bookmarkStart w:id="80" w:name="_Toc532565939"/>
      <w:r w:rsidRPr="00D5157C">
        <w:rPr>
          <w:lang w:val="es-ES"/>
        </w:rPr>
        <w:t>Ingresos fondos</w:t>
      </w:r>
      <w:bookmarkEnd w:id="80"/>
      <w:r w:rsidRPr="00D5157C">
        <w:rPr>
          <w:lang w:val="es-ES"/>
        </w:rPr>
        <w:t xml:space="preserve"> </w:t>
      </w:r>
    </w:p>
    <w:p w14:paraId="059065B3" w14:textId="77777777" w:rsidR="002D3259" w:rsidRPr="00D5157C" w:rsidRDefault="002D3259" w:rsidP="001603BE">
      <w:pPr>
        <w:jc w:val="both"/>
        <w:rPr>
          <w:rFonts w:ascii="Century Gothic" w:hAnsi="Century Gothic"/>
          <w:lang w:val="es-ES"/>
        </w:rPr>
      </w:pPr>
      <w:r w:rsidRPr="00D5157C">
        <w:rPr>
          <w:rFonts w:ascii="Century Gothic" w:hAnsi="Century Gothic"/>
          <w:lang w:val="es-ES"/>
        </w:rPr>
        <w:t>Los ingresos de los Fondos están desagregados por cada uno en ingresos corrientes y recursos de capital.</w:t>
      </w:r>
    </w:p>
    <w:p w14:paraId="29342954" w14:textId="41466484" w:rsidR="00F86452" w:rsidRPr="00D5157C" w:rsidRDefault="00E6494E" w:rsidP="00F86452">
      <w:pPr>
        <w:jc w:val="both"/>
        <w:rPr>
          <w:rFonts w:ascii="Century Gothic" w:hAnsi="Century Gothic"/>
          <w:lang w:val="es-ES"/>
        </w:rPr>
      </w:pPr>
      <w:r w:rsidRPr="00D5157C">
        <w:rPr>
          <w:rFonts w:ascii="Century Gothic" w:hAnsi="Century Gothic"/>
          <w:lang w:val="es-ES"/>
        </w:rPr>
        <w:t xml:space="preserve">El </w:t>
      </w:r>
      <w:r w:rsidRPr="00D5157C">
        <w:rPr>
          <w:rFonts w:ascii="Century Gothic" w:eastAsia="Times New Roman" w:hAnsi="Century Gothic" w:cs="Arial"/>
          <w:color w:val="000000"/>
          <w:lang w:val="es-ES"/>
        </w:rPr>
        <w:t xml:space="preserve">Fondo de Seguridad </w:t>
      </w:r>
      <w:r w:rsidR="00F86452" w:rsidRPr="00D5157C">
        <w:rPr>
          <w:rFonts w:ascii="Century Gothic" w:hAnsi="Century Gothic"/>
          <w:lang w:val="es-ES"/>
        </w:rPr>
        <w:t>se nutre de los ingresos obtenidos por la contribución de obras del 5</w:t>
      </w:r>
      <w:r w:rsidR="004F5BDD" w:rsidRPr="00D5157C">
        <w:rPr>
          <w:rFonts w:ascii="Century Gothic" w:hAnsi="Century Gothic"/>
          <w:lang w:val="es-ES"/>
        </w:rPr>
        <w:t xml:space="preserve"> por ciento</w:t>
      </w:r>
      <w:r w:rsidR="00F86452" w:rsidRPr="00D5157C">
        <w:rPr>
          <w:rFonts w:ascii="Century Gothic" w:hAnsi="Century Gothic"/>
          <w:lang w:val="es-ES"/>
        </w:rPr>
        <w:t xml:space="preserve"> y de las multas del </w:t>
      </w:r>
      <w:r w:rsidR="002408EA" w:rsidRPr="00D5157C">
        <w:rPr>
          <w:rFonts w:ascii="Century Gothic" w:hAnsi="Century Gothic"/>
          <w:lang w:val="es-ES"/>
        </w:rPr>
        <w:t xml:space="preserve">Código </w:t>
      </w:r>
      <w:r w:rsidR="00F86452" w:rsidRPr="00D5157C">
        <w:rPr>
          <w:rFonts w:ascii="Century Gothic" w:hAnsi="Century Gothic"/>
          <w:lang w:val="es-ES"/>
        </w:rPr>
        <w:t xml:space="preserve">de </w:t>
      </w:r>
      <w:r w:rsidR="002408EA" w:rsidRPr="00D5157C">
        <w:rPr>
          <w:rFonts w:ascii="Century Gothic" w:hAnsi="Century Gothic"/>
          <w:lang w:val="es-ES"/>
        </w:rPr>
        <w:t>Policía</w:t>
      </w:r>
      <w:r w:rsidR="00F86452" w:rsidRPr="00D5157C">
        <w:rPr>
          <w:rFonts w:ascii="Century Gothic" w:hAnsi="Century Gothic"/>
          <w:lang w:val="es-ES"/>
        </w:rPr>
        <w:t>, se presenta una disminución en los ingresos corrientes del 60</w:t>
      </w:r>
      <w:r w:rsidR="004F5BDD" w:rsidRPr="00D5157C">
        <w:rPr>
          <w:rFonts w:ascii="Century Gothic" w:hAnsi="Century Gothic"/>
          <w:lang w:val="es-ES"/>
        </w:rPr>
        <w:t xml:space="preserve"> por ciento</w:t>
      </w:r>
      <w:r w:rsidR="00F86452" w:rsidRPr="00D5157C">
        <w:rPr>
          <w:rFonts w:ascii="Century Gothic" w:hAnsi="Century Gothic"/>
          <w:lang w:val="es-ES"/>
        </w:rPr>
        <w:t>, esto es porque el recaudo de la vigencia 2018</w:t>
      </w:r>
      <w:r w:rsidR="002408EA" w:rsidRPr="00D5157C">
        <w:rPr>
          <w:rFonts w:ascii="Century Gothic" w:hAnsi="Century Gothic"/>
          <w:lang w:val="es-ES"/>
        </w:rPr>
        <w:t xml:space="preserve"> fue inferior, </w:t>
      </w:r>
      <w:r w:rsidR="00F86452" w:rsidRPr="00D5157C">
        <w:rPr>
          <w:rFonts w:ascii="Century Gothic" w:hAnsi="Century Gothic"/>
          <w:lang w:val="es-ES"/>
        </w:rPr>
        <w:t xml:space="preserve">esto </w:t>
      </w:r>
      <w:r w:rsidR="002408EA" w:rsidRPr="00D5157C">
        <w:rPr>
          <w:rFonts w:ascii="Century Gothic" w:hAnsi="Century Gothic"/>
          <w:lang w:val="es-ES"/>
        </w:rPr>
        <w:t xml:space="preserve">ocasionó que el recaudo efectivo fuese menor al programado, igual sucede con </w:t>
      </w:r>
      <w:r w:rsidR="00F86452" w:rsidRPr="00D5157C">
        <w:rPr>
          <w:rFonts w:ascii="Century Gothic" w:hAnsi="Century Gothic"/>
          <w:lang w:val="es-ES"/>
        </w:rPr>
        <w:t xml:space="preserve">los recursos </w:t>
      </w:r>
      <w:r w:rsidR="002408EA" w:rsidRPr="00D5157C">
        <w:rPr>
          <w:rFonts w:ascii="Century Gothic" w:hAnsi="Century Gothic"/>
          <w:lang w:val="es-ES"/>
        </w:rPr>
        <w:t xml:space="preserve">de capital; </w:t>
      </w:r>
      <w:r w:rsidR="00F86452" w:rsidRPr="00D5157C">
        <w:rPr>
          <w:rFonts w:ascii="Century Gothic" w:hAnsi="Century Gothic"/>
          <w:lang w:val="es-ES"/>
        </w:rPr>
        <w:t>se espera</w:t>
      </w:r>
      <w:r w:rsidR="002408EA" w:rsidRPr="00D5157C">
        <w:rPr>
          <w:rFonts w:ascii="Century Gothic" w:hAnsi="Century Gothic"/>
          <w:lang w:val="es-ES"/>
        </w:rPr>
        <w:t xml:space="preserve"> que</w:t>
      </w:r>
      <w:r w:rsidR="00F86452" w:rsidRPr="00D5157C">
        <w:rPr>
          <w:rFonts w:ascii="Century Gothic" w:hAnsi="Century Gothic"/>
          <w:lang w:val="es-ES"/>
        </w:rPr>
        <w:t xml:space="preserve"> la ejecución de este año sea superior.</w:t>
      </w:r>
    </w:p>
    <w:p w14:paraId="17A765B3" w14:textId="17B2CA32" w:rsidR="00762E4A" w:rsidRPr="00D5157C" w:rsidRDefault="00762E4A" w:rsidP="002D3259">
      <w:pPr>
        <w:spacing w:after="0" w:line="240" w:lineRule="auto"/>
        <w:jc w:val="center"/>
        <w:rPr>
          <w:rFonts w:ascii="Century Gothic" w:eastAsia="Times New Roman" w:hAnsi="Century Gothic" w:cs="Arial"/>
          <w:color w:val="000000"/>
          <w:lang w:val="es-ES"/>
        </w:rPr>
      </w:pPr>
      <w:bookmarkStart w:id="81" w:name="_Toc532570531"/>
      <w:r w:rsidRPr="00D5157C">
        <w:rPr>
          <w:rFonts w:ascii="Century Gothic" w:hAnsi="Century Gothic"/>
          <w:lang w:val="es-ES"/>
        </w:rPr>
        <w:lastRenderedPageBreak/>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40</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002D3259" w:rsidRPr="00D5157C">
        <w:rPr>
          <w:rFonts w:ascii="Century Gothic" w:eastAsia="Times New Roman" w:hAnsi="Century Gothic" w:cs="Arial"/>
          <w:color w:val="000000"/>
          <w:lang w:val="es-ES"/>
        </w:rPr>
        <w:t>Comparativo presupuesto inicial Fondo de Seguridad 2018 – 2019</w:t>
      </w:r>
      <w:r w:rsidR="002D3259" w:rsidRPr="00D5157C">
        <w:rPr>
          <w:rFonts w:ascii="Century Gothic" w:hAnsi="Century Gothic"/>
          <w:b/>
          <w:lang w:val="es-ES"/>
        </w:rPr>
        <w:t xml:space="preserve"> </w:t>
      </w:r>
      <w:r w:rsidRPr="00D5157C">
        <w:rPr>
          <w:rFonts w:ascii="Century Gothic" w:hAnsi="Century Gothic"/>
          <w:lang w:val="es-ES"/>
        </w:rPr>
        <w:t>(millones</w:t>
      </w:r>
      <w:r w:rsidR="002D3259" w:rsidRPr="00D5157C">
        <w:rPr>
          <w:rFonts w:ascii="Century Gothic" w:hAnsi="Century Gothic"/>
          <w:lang w:val="es-ES"/>
        </w:rPr>
        <w:t xml:space="preserve"> de pesos</w:t>
      </w:r>
      <w:r w:rsidRPr="00D5157C">
        <w:rPr>
          <w:rFonts w:ascii="Century Gothic" w:hAnsi="Century Gothic"/>
          <w:lang w:val="es-ES"/>
        </w:rPr>
        <w:t>)</w:t>
      </w:r>
      <w:bookmarkEnd w:id="81"/>
    </w:p>
    <w:tbl>
      <w:tblPr>
        <w:tblW w:w="8637" w:type="dxa"/>
        <w:tblCellMar>
          <w:left w:w="70" w:type="dxa"/>
          <w:right w:w="70" w:type="dxa"/>
        </w:tblCellMar>
        <w:tblLook w:val="04A0" w:firstRow="1" w:lastRow="0" w:firstColumn="1" w:lastColumn="0" w:noHBand="0" w:noVBand="1"/>
      </w:tblPr>
      <w:tblGrid>
        <w:gridCol w:w="2197"/>
        <w:gridCol w:w="2551"/>
        <w:gridCol w:w="2552"/>
        <w:gridCol w:w="1337"/>
      </w:tblGrid>
      <w:tr w:rsidR="003763EF" w:rsidRPr="00CA56B0" w14:paraId="744369E4" w14:textId="77777777" w:rsidTr="00CA56B0">
        <w:trPr>
          <w:trHeight w:val="58"/>
        </w:trPr>
        <w:tc>
          <w:tcPr>
            <w:tcW w:w="2197"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15AB380A" w14:textId="77777777" w:rsidR="003763EF" w:rsidRPr="00CA56B0" w:rsidRDefault="003763EF" w:rsidP="00704887">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Concepto</w:t>
            </w:r>
          </w:p>
        </w:tc>
        <w:tc>
          <w:tcPr>
            <w:tcW w:w="2551" w:type="dxa"/>
            <w:tcBorders>
              <w:top w:val="single" w:sz="4" w:space="0" w:color="auto"/>
              <w:left w:val="nil"/>
              <w:bottom w:val="single" w:sz="4" w:space="0" w:color="auto"/>
              <w:right w:val="single" w:sz="4" w:space="0" w:color="auto"/>
            </w:tcBorders>
            <w:shd w:val="clear" w:color="auto" w:fill="C4D79B"/>
            <w:vAlign w:val="center"/>
            <w:hideMark/>
          </w:tcPr>
          <w:p w14:paraId="64919F56" w14:textId="77777777" w:rsidR="003763EF" w:rsidRPr="00CA56B0" w:rsidRDefault="003763EF" w:rsidP="00704887">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2018</w:t>
            </w:r>
          </w:p>
        </w:tc>
        <w:tc>
          <w:tcPr>
            <w:tcW w:w="2552" w:type="dxa"/>
            <w:tcBorders>
              <w:top w:val="single" w:sz="4" w:space="0" w:color="auto"/>
              <w:left w:val="nil"/>
              <w:bottom w:val="single" w:sz="4" w:space="0" w:color="auto"/>
              <w:right w:val="single" w:sz="4" w:space="0" w:color="auto"/>
            </w:tcBorders>
            <w:shd w:val="clear" w:color="auto" w:fill="C4D79B"/>
            <w:vAlign w:val="center"/>
            <w:hideMark/>
          </w:tcPr>
          <w:p w14:paraId="419A9FED" w14:textId="77777777" w:rsidR="003763EF" w:rsidRPr="00CA56B0" w:rsidRDefault="003763EF" w:rsidP="00704887">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2019</w:t>
            </w:r>
          </w:p>
        </w:tc>
        <w:tc>
          <w:tcPr>
            <w:tcW w:w="1337" w:type="dxa"/>
            <w:tcBorders>
              <w:top w:val="single" w:sz="4" w:space="0" w:color="auto"/>
              <w:left w:val="nil"/>
              <w:bottom w:val="single" w:sz="4" w:space="0" w:color="auto"/>
              <w:right w:val="single" w:sz="4" w:space="0" w:color="auto"/>
            </w:tcBorders>
            <w:shd w:val="clear" w:color="auto" w:fill="C4D79B"/>
            <w:noWrap/>
            <w:vAlign w:val="center"/>
            <w:hideMark/>
          </w:tcPr>
          <w:p w14:paraId="63F62056" w14:textId="77777777" w:rsidR="003763EF" w:rsidRPr="00CA56B0" w:rsidRDefault="003763EF" w:rsidP="00704887">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Variación %</w:t>
            </w:r>
          </w:p>
        </w:tc>
      </w:tr>
      <w:tr w:rsidR="003763EF" w:rsidRPr="00CA56B0" w14:paraId="70F58EA6" w14:textId="77777777" w:rsidTr="00CA56B0">
        <w:trPr>
          <w:trHeight w:val="58"/>
        </w:trPr>
        <w:tc>
          <w:tcPr>
            <w:tcW w:w="2197" w:type="dxa"/>
            <w:tcBorders>
              <w:top w:val="nil"/>
              <w:left w:val="single" w:sz="8" w:space="0" w:color="auto"/>
              <w:bottom w:val="single" w:sz="4" w:space="0" w:color="auto"/>
              <w:right w:val="single" w:sz="4" w:space="0" w:color="auto"/>
            </w:tcBorders>
            <w:vAlign w:val="center"/>
            <w:hideMark/>
          </w:tcPr>
          <w:p w14:paraId="59424A2F" w14:textId="04F3328C" w:rsidR="003763EF" w:rsidRPr="00CA56B0" w:rsidRDefault="003763EF" w:rsidP="00341016">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Ingresos </w:t>
            </w:r>
            <w:r w:rsidR="00341016">
              <w:rPr>
                <w:rFonts w:ascii="Century Gothic" w:eastAsia="Times New Roman" w:hAnsi="Century Gothic" w:cs="Arial"/>
                <w:color w:val="000000"/>
                <w:sz w:val="20"/>
                <w:lang w:val="es-ES"/>
              </w:rPr>
              <w:t>c</w:t>
            </w:r>
            <w:r w:rsidRPr="00CA56B0">
              <w:rPr>
                <w:rFonts w:ascii="Century Gothic" w:eastAsia="Times New Roman" w:hAnsi="Century Gothic" w:cs="Arial"/>
                <w:color w:val="000000"/>
                <w:sz w:val="20"/>
                <w:lang w:val="es-ES"/>
              </w:rPr>
              <w:t>orrientes</w:t>
            </w:r>
          </w:p>
        </w:tc>
        <w:tc>
          <w:tcPr>
            <w:tcW w:w="2551" w:type="dxa"/>
            <w:tcBorders>
              <w:top w:val="nil"/>
              <w:left w:val="nil"/>
              <w:bottom w:val="single" w:sz="4" w:space="0" w:color="auto"/>
              <w:right w:val="single" w:sz="4" w:space="0" w:color="auto"/>
            </w:tcBorders>
            <w:noWrap/>
            <w:vAlign w:val="center"/>
            <w:hideMark/>
          </w:tcPr>
          <w:p w14:paraId="5F24DEBD" w14:textId="77777777" w:rsidR="003763EF" w:rsidRPr="00CA56B0" w:rsidRDefault="003763EF" w:rsidP="00704887">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2,808 </w:t>
            </w:r>
          </w:p>
        </w:tc>
        <w:tc>
          <w:tcPr>
            <w:tcW w:w="2552" w:type="dxa"/>
            <w:tcBorders>
              <w:top w:val="nil"/>
              <w:left w:val="nil"/>
              <w:bottom w:val="single" w:sz="4" w:space="0" w:color="auto"/>
              <w:right w:val="single" w:sz="4" w:space="0" w:color="auto"/>
            </w:tcBorders>
            <w:noWrap/>
            <w:vAlign w:val="center"/>
            <w:hideMark/>
          </w:tcPr>
          <w:p w14:paraId="2481E78E" w14:textId="77777777" w:rsidR="003763EF" w:rsidRPr="00CA56B0" w:rsidRDefault="003763EF" w:rsidP="00704887">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2,209 </w:t>
            </w:r>
          </w:p>
        </w:tc>
        <w:tc>
          <w:tcPr>
            <w:tcW w:w="1337" w:type="dxa"/>
            <w:tcBorders>
              <w:top w:val="nil"/>
              <w:left w:val="nil"/>
              <w:bottom w:val="single" w:sz="4" w:space="0" w:color="auto"/>
              <w:right w:val="single" w:sz="4" w:space="0" w:color="auto"/>
            </w:tcBorders>
            <w:noWrap/>
            <w:vAlign w:val="center"/>
            <w:hideMark/>
          </w:tcPr>
          <w:p w14:paraId="269D05D5" w14:textId="77777777" w:rsidR="003763EF" w:rsidRPr="00CA56B0" w:rsidRDefault="003763EF" w:rsidP="00704887">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-21</w:t>
            </w:r>
          </w:p>
        </w:tc>
      </w:tr>
      <w:tr w:rsidR="003763EF" w:rsidRPr="00CA56B0" w14:paraId="100D1D01" w14:textId="77777777" w:rsidTr="00CA56B0">
        <w:trPr>
          <w:trHeight w:val="58"/>
        </w:trPr>
        <w:tc>
          <w:tcPr>
            <w:tcW w:w="2197" w:type="dxa"/>
            <w:tcBorders>
              <w:top w:val="nil"/>
              <w:left w:val="single" w:sz="8" w:space="0" w:color="auto"/>
              <w:bottom w:val="single" w:sz="4" w:space="0" w:color="auto"/>
              <w:right w:val="single" w:sz="4" w:space="0" w:color="auto"/>
            </w:tcBorders>
            <w:vAlign w:val="center"/>
            <w:hideMark/>
          </w:tcPr>
          <w:p w14:paraId="176E6115" w14:textId="77777777" w:rsidR="003763EF" w:rsidRPr="00CA56B0" w:rsidRDefault="003763EF" w:rsidP="00704887">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Recursos de capital</w:t>
            </w:r>
          </w:p>
        </w:tc>
        <w:tc>
          <w:tcPr>
            <w:tcW w:w="2551" w:type="dxa"/>
            <w:tcBorders>
              <w:top w:val="nil"/>
              <w:left w:val="nil"/>
              <w:bottom w:val="single" w:sz="4" w:space="0" w:color="auto"/>
              <w:right w:val="single" w:sz="4" w:space="0" w:color="auto"/>
            </w:tcBorders>
            <w:noWrap/>
            <w:vAlign w:val="center"/>
            <w:hideMark/>
          </w:tcPr>
          <w:p w14:paraId="008F0FF7" w14:textId="77777777" w:rsidR="003763EF" w:rsidRPr="00CA56B0" w:rsidRDefault="003763EF" w:rsidP="00704887">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1,582 </w:t>
            </w:r>
          </w:p>
        </w:tc>
        <w:tc>
          <w:tcPr>
            <w:tcW w:w="2552" w:type="dxa"/>
            <w:tcBorders>
              <w:top w:val="nil"/>
              <w:left w:val="nil"/>
              <w:bottom w:val="single" w:sz="4" w:space="0" w:color="auto"/>
              <w:right w:val="single" w:sz="4" w:space="0" w:color="auto"/>
            </w:tcBorders>
            <w:noWrap/>
            <w:vAlign w:val="center"/>
            <w:hideMark/>
          </w:tcPr>
          <w:p w14:paraId="0B642617" w14:textId="77777777" w:rsidR="003763EF" w:rsidRPr="00CA56B0" w:rsidRDefault="003763EF" w:rsidP="00704887">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770 </w:t>
            </w:r>
          </w:p>
        </w:tc>
        <w:tc>
          <w:tcPr>
            <w:tcW w:w="1337" w:type="dxa"/>
            <w:tcBorders>
              <w:top w:val="nil"/>
              <w:left w:val="nil"/>
              <w:bottom w:val="single" w:sz="4" w:space="0" w:color="auto"/>
              <w:right w:val="single" w:sz="4" w:space="0" w:color="auto"/>
            </w:tcBorders>
            <w:noWrap/>
            <w:vAlign w:val="center"/>
            <w:hideMark/>
          </w:tcPr>
          <w:p w14:paraId="1C15EC0B" w14:textId="77777777" w:rsidR="003763EF" w:rsidRPr="00CA56B0" w:rsidRDefault="003763EF" w:rsidP="00704887">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-51</w:t>
            </w:r>
          </w:p>
        </w:tc>
      </w:tr>
      <w:tr w:rsidR="003763EF" w:rsidRPr="00CA56B0" w14:paraId="49C42B11" w14:textId="77777777" w:rsidTr="00CA56B0">
        <w:trPr>
          <w:trHeight w:val="58"/>
        </w:trPr>
        <w:tc>
          <w:tcPr>
            <w:tcW w:w="2197" w:type="dxa"/>
            <w:tcBorders>
              <w:top w:val="nil"/>
              <w:left w:val="single" w:sz="8" w:space="0" w:color="auto"/>
              <w:bottom w:val="single" w:sz="8" w:space="0" w:color="auto"/>
              <w:right w:val="single" w:sz="4" w:space="0" w:color="auto"/>
            </w:tcBorders>
            <w:shd w:val="clear" w:color="auto" w:fill="C4D79B"/>
            <w:vAlign w:val="center"/>
            <w:hideMark/>
          </w:tcPr>
          <w:p w14:paraId="621E77A1" w14:textId="77777777" w:rsidR="003763EF" w:rsidRPr="00CA56B0" w:rsidRDefault="003763EF" w:rsidP="00704887">
            <w:pPr>
              <w:spacing w:after="0" w:line="240" w:lineRule="auto"/>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Total</w:t>
            </w:r>
          </w:p>
        </w:tc>
        <w:tc>
          <w:tcPr>
            <w:tcW w:w="2551" w:type="dxa"/>
            <w:tcBorders>
              <w:top w:val="nil"/>
              <w:left w:val="nil"/>
              <w:bottom w:val="single" w:sz="8" w:space="0" w:color="auto"/>
              <w:right w:val="single" w:sz="4" w:space="0" w:color="auto"/>
            </w:tcBorders>
            <w:shd w:val="clear" w:color="auto" w:fill="C4D79B"/>
            <w:noWrap/>
            <w:vAlign w:val="center"/>
            <w:hideMark/>
          </w:tcPr>
          <w:p w14:paraId="45E04FE4" w14:textId="77777777" w:rsidR="003763EF" w:rsidRPr="00CA56B0" w:rsidRDefault="003763EF" w:rsidP="00704887">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 xml:space="preserve">4,390 </w:t>
            </w:r>
          </w:p>
        </w:tc>
        <w:tc>
          <w:tcPr>
            <w:tcW w:w="2552" w:type="dxa"/>
            <w:tcBorders>
              <w:top w:val="nil"/>
              <w:left w:val="nil"/>
              <w:bottom w:val="single" w:sz="8" w:space="0" w:color="auto"/>
              <w:right w:val="single" w:sz="4" w:space="0" w:color="auto"/>
            </w:tcBorders>
            <w:shd w:val="clear" w:color="auto" w:fill="C4D79B"/>
            <w:noWrap/>
            <w:vAlign w:val="center"/>
            <w:hideMark/>
          </w:tcPr>
          <w:p w14:paraId="4965AB61" w14:textId="77777777" w:rsidR="003763EF" w:rsidRPr="00CA56B0" w:rsidRDefault="003763EF" w:rsidP="00704887">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 xml:space="preserve">2,978 </w:t>
            </w:r>
          </w:p>
        </w:tc>
        <w:tc>
          <w:tcPr>
            <w:tcW w:w="1337" w:type="dxa"/>
            <w:tcBorders>
              <w:top w:val="nil"/>
              <w:left w:val="nil"/>
              <w:bottom w:val="single" w:sz="4" w:space="0" w:color="auto"/>
              <w:right w:val="single" w:sz="4" w:space="0" w:color="auto"/>
            </w:tcBorders>
            <w:shd w:val="clear" w:color="auto" w:fill="C4D79B"/>
            <w:noWrap/>
            <w:vAlign w:val="center"/>
            <w:hideMark/>
          </w:tcPr>
          <w:p w14:paraId="5C6C8200" w14:textId="77777777" w:rsidR="003763EF" w:rsidRPr="00CA56B0" w:rsidRDefault="003763EF" w:rsidP="00704887">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-32</w:t>
            </w:r>
          </w:p>
        </w:tc>
      </w:tr>
    </w:tbl>
    <w:p w14:paraId="592B63DD" w14:textId="4332C807" w:rsidR="00762E4A" w:rsidRPr="00D5157C" w:rsidRDefault="00762E4A" w:rsidP="00762E4A">
      <w:pPr>
        <w:jc w:val="center"/>
        <w:rPr>
          <w:rFonts w:ascii="Century Gothic" w:hAnsi="Century Gothic"/>
          <w:sz w:val="20"/>
          <w:lang w:val="es-ES"/>
        </w:rPr>
      </w:pPr>
      <w:r w:rsidRPr="00D5157C">
        <w:rPr>
          <w:rFonts w:ascii="Century Gothic" w:hAnsi="Century Gothic"/>
          <w:sz w:val="20"/>
          <w:lang w:val="es-ES"/>
        </w:rPr>
        <w:t>Fuent</w:t>
      </w:r>
      <w:r w:rsidR="002D3259" w:rsidRPr="00D5157C">
        <w:rPr>
          <w:rFonts w:ascii="Century Gothic" w:hAnsi="Century Gothic"/>
          <w:sz w:val="20"/>
          <w:lang w:val="es-ES"/>
        </w:rPr>
        <w:t>e: Secretaría de Hacienda, 2018</w:t>
      </w:r>
    </w:p>
    <w:p w14:paraId="53C2F3A6" w14:textId="1FB1CA6F" w:rsidR="00E6494E" w:rsidRPr="00D5157C" w:rsidRDefault="00E6494E" w:rsidP="00D5157C">
      <w:pPr>
        <w:jc w:val="both"/>
        <w:rPr>
          <w:rFonts w:ascii="Century Gothic" w:hAnsi="Century Gothic"/>
          <w:sz w:val="20"/>
          <w:lang w:val="es-ES"/>
        </w:rPr>
      </w:pPr>
      <w:r w:rsidRPr="00D5157C">
        <w:rPr>
          <w:rFonts w:ascii="Century Gothic" w:hAnsi="Century Gothic"/>
          <w:lang w:val="es-ES"/>
        </w:rPr>
        <w:t>Los ingresos del Fondo de Infraestructura y Valorización para el 2019 presenta</w:t>
      </w:r>
      <w:r w:rsidR="00D5157C" w:rsidRPr="00D5157C">
        <w:rPr>
          <w:rFonts w:ascii="Century Gothic" w:hAnsi="Century Gothic"/>
          <w:lang w:val="es-ES"/>
        </w:rPr>
        <w:t>n</w:t>
      </w:r>
      <w:r w:rsidRPr="00D5157C">
        <w:rPr>
          <w:rFonts w:ascii="Century Gothic" w:hAnsi="Century Gothic"/>
          <w:lang w:val="es-ES"/>
        </w:rPr>
        <w:t xml:space="preserve"> una disminución</w:t>
      </w:r>
      <w:r w:rsidR="00D5157C" w:rsidRPr="00D5157C">
        <w:rPr>
          <w:rFonts w:ascii="Century Gothic" w:hAnsi="Century Gothic"/>
          <w:lang w:val="es-ES"/>
        </w:rPr>
        <w:t xml:space="preserve">, debido a </w:t>
      </w:r>
      <w:r w:rsidRPr="00D5157C">
        <w:rPr>
          <w:rFonts w:ascii="Century Gothic" w:hAnsi="Century Gothic"/>
          <w:lang w:val="es-ES"/>
        </w:rPr>
        <w:t>que el riego de valorización por las obras del Sistema Estratégico de Movilidad se realizó durante el 2017 y el mayor recaudo se hizo en el 2018, quedando unos saldos por ingresar.</w:t>
      </w:r>
    </w:p>
    <w:p w14:paraId="3B61E226" w14:textId="65837C2A" w:rsidR="001603BE" w:rsidRPr="00D5157C" w:rsidRDefault="001603BE" w:rsidP="001603BE">
      <w:pPr>
        <w:spacing w:after="0" w:line="240" w:lineRule="auto"/>
        <w:jc w:val="center"/>
        <w:rPr>
          <w:rFonts w:ascii="Century Gothic" w:eastAsia="Times New Roman" w:hAnsi="Century Gothic" w:cs="Arial"/>
          <w:color w:val="000000"/>
          <w:lang w:val="es-ES"/>
        </w:rPr>
      </w:pPr>
      <w:bookmarkStart w:id="82" w:name="_Toc532570532"/>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41</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 xml:space="preserve">Comparativo </w:t>
      </w:r>
      <w:r w:rsidR="00851090" w:rsidRPr="00D5157C">
        <w:rPr>
          <w:rFonts w:ascii="Century Gothic" w:eastAsia="Times New Roman" w:hAnsi="Century Gothic" w:cs="Arial"/>
          <w:color w:val="000000"/>
          <w:lang w:val="es-ES"/>
        </w:rPr>
        <w:t>presupuesto inicial Fondo de Infraestructura y Valorización</w:t>
      </w:r>
      <w:r w:rsidRPr="00D5157C">
        <w:rPr>
          <w:rFonts w:ascii="Century Gothic" w:eastAsia="Times New Roman" w:hAnsi="Century Gothic" w:cs="Arial"/>
          <w:color w:val="000000"/>
          <w:lang w:val="es-ES"/>
        </w:rPr>
        <w:t xml:space="preserve"> 2018 – 2019</w:t>
      </w:r>
      <w:r w:rsidRPr="00D5157C">
        <w:rPr>
          <w:rFonts w:ascii="Century Gothic" w:hAnsi="Century Gothic"/>
          <w:b/>
          <w:lang w:val="es-ES"/>
        </w:rPr>
        <w:t xml:space="preserve"> </w:t>
      </w:r>
      <w:r w:rsidRPr="00D5157C">
        <w:rPr>
          <w:rFonts w:ascii="Century Gothic" w:hAnsi="Century Gothic"/>
          <w:lang w:val="es-ES"/>
        </w:rPr>
        <w:t>(millones de pesos)</w:t>
      </w:r>
      <w:bookmarkEnd w:id="82"/>
    </w:p>
    <w:tbl>
      <w:tblPr>
        <w:tblW w:w="8637" w:type="dxa"/>
        <w:tblCellMar>
          <w:left w:w="70" w:type="dxa"/>
          <w:right w:w="70" w:type="dxa"/>
        </w:tblCellMar>
        <w:tblLook w:val="04A0" w:firstRow="1" w:lastRow="0" w:firstColumn="1" w:lastColumn="0" w:noHBand="0" w:noVBand="1"/>
      </w:tblPr>
      <w:tblGrid>
        <w:gridCol w:w="2197"/>
        <w:gridCol w:w="2551"/>
        <w:gridCol w:w="2552"/>
        <w:gridCol w:w="1337"/>
      </w:tblGrid>
      <w:tr w:rsidR="001603BE" w:rsidRPr="00CA56B0" w14:paraId="4A671397" w14:textId="77777777" w:rsidTr="00CA56B0">
        <w:trPr>
          <w:trHeight w:val="84"/>
        </w:trPr>
        <w:tc>
          <w:tcPr>
            <w:tcW w:w="2197"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4EA9D1CD"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Concepto</w:t>
            </w:r>
          </w:p>
        </w:tc>
        <w:tc>
          <w:tcPr>
            <w:tcW w:w="2551" w:type="dxa"/>
            <w:tcBorders>
              <w:top w:val="single" w:sz="4" w:space="0" w:color="auto"/>
              <w:left w:val="nil"/>
              <w:bottom w:val="single" w:sz="4" w:space="0" w:color="auto"/>
              <w:right w:val="single" w:sz="4" w:space="0" w:color="auto"/>
            </w:tcBorders>
            <w:shd w:val="clear" w:color="auto" w:fill="C4D79B"/>
            <w:vAlign w:val="center"/>
            <w:hideMark/>
          </w:tcPr>
          <w:p w14:paraId="63E27EBF"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2018</w:t>
            </w:r>
          </w:p>
        </w:tc>
        <w:tc>
          <w:tcPr>
            <w:tcW w:w="2552" w:type="dxa"/>
            <w:tcBorders>
              <w:top w:val="single" w:sz="4" w:space="0" w:color="auto"/>
              <w:left w:val="nil"/>
              <w:bottom w:val="single" w:sz="4" w:space="0" w:color="auto"/>
              <w:right w:val="single" w:sz="4" w:space="0" w:color="auto"/>
            </w:tcBorders>
            <w:shd w:val="clear" w:color="auto" w:fill="C4D79B"/>
            <w:vAlign w:val="center"/>
            <w:hideMark/>
          </w:tcPr>
          <w:p w14:paraId="032562BF"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2019</w:t>
            </w:r>
          </w:p>
        </w:tc>
        <w:tc>
          <w:tcPr>
            <w:tcW w:w="1337" w:type="dxa"/>
            <w:tcBorders>
              <w:top w:val="single" w:sz="4" w:space="0" w:color="auto"/>
              <w:left w:val="nil"/>
              <w:bottom w:val="single" w:sz="4" w:space="0" w:color="auto"/>
              <w:right w:val="single" w:sz="4" w:space="0" w:color="auto"/>
            </w:tcBorders>
            <w:shd w:val="clear" w:color="auto" w:fill="C4D79B"/>
            <w:noWrap/>
            <w:vAlign w:val="center"/>
            <w:hideMark/>
          </w:tcPr>
          <w:p w14:paraId="4C49E871"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Variación %</w:t>
            </w:r>
          </w:p>
        </w:tc>
      </w:tr>
      <w:tr w:rsidR="001603BE" w:rsidRPr="00CA56B0" w14:paraId="6F6C96DD" w14:textId="77777777" w:rsidTr="00CA56B0">
        <w:trPr>
          <w:trHeight w:val="58"/>
        </w:trPr>
        <w:tc>
          <w:tcPr>
            <w:tcW w:w="2197" w:type="dxa"/>
            <w:tcBorders>
              <w:top w:val="nil"/>
              <w:left w:val="single" w:sz="8" w:space="0" w:color="auto"/>
              <w:bottom w:val="single" w:sz="4" w:space="0" w:color="auto"/>
              <w:right w:val="single" w:sz="4" w:space="0" w:color="auto"/>
            </w:tcBorders>
            <w:vAlign w:val="center"/>
            <w:hideMark/>
          </w:tcPr>
          <w:p w14:paraId="6F675ED8" w14:textId="355C1204" w:rsidR="001603BE" w:rsidRPr="00CA56B0" w:rsidRDefault="001603BE" w:rsidP="00341016">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Ingresos </w:t>
            </w:r>
            <w:r w:rsidR="00341016">
              <w:rPr>
                <w:rFonts w:ascii="Century Gothic" w:eastAsia="Times New Roman" w:hAnsi="Century Gothic" w:cs="Arial"/>
                <w:color w:val="000000"/>
                <w:sz w:val="20"/>
                <w:lang w:val="es-ES"/>
              </w:rPr>
              <w:t>c</w:t>
            </w:r>
            <w:r w:rsidRPr="00CA56B0">
              <w:rPr>
                <w:rFonts w:ascii="Century Gothic" w:eastAsia="Times New Roman" w:hAnsi="Century Gothic" w:cs="Arial"/>
                <w:color w:val="000000"/>
                <w:sz w:val="20"/>
                <w:lang w:val="es-ES"/>
              </w:rPr>
              <w:t>orrientes</w:t>
            </w:r>
          </w:p>
        </w:tc>
        <w:tc>
          <w:tcPr>
            <w:tcW w:w="2551" w:type="dxa"/>
            <w:tcBorders>
              <w:top w:val="nil"/>
              <w:left w:val="nil"/>
              <w:bottom w:val="single" w:sz="4" w:space="0" w:color="auto"/>
              <w:right w:val="single" w:sz="4" w:space="0" w:color="auto"/>
            </w:tcBorders>
            <w:noWrap/>
            <w:vAlign w:val="bottom"/>
          </w:tcPr>
          <w:p w14:paraId="6BAE803F" w14:textId="3C3D966C" w:rsidR="001603BE" w:rsidRPr="00CA56B0" w:rsidRDefault="001603BE" w:rsidP="001603BE">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5.116 </w:t>
            </w:r>
          </w:p>
        </w:tc>
        <w:tc>
          <w:tcPr>
            <w:tcW w:w="2552" w:type="dxa"/>
            <w:tcBorders>
              <w:top w:val="nil"/>
              <w:left w:val="nil"/>
              <w:bottom w:val="single" w:sz="4" w:space="0" w:color="auto"/>
              <w:right w:val="single" w:sz="4" w:space="0" w:color="auto"/>
            </w:tcBorders>
            <w:noWrap/>
            <w:vAlign w:val="bottom"/>
          </w:tcPr>
          <w:p w14:paraId="207AF3CA" w14:textId="78431669" w:rsidR="001603BE" w:rsidRPr="00CA56B0" w:rsidRDefault="001603BE"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3.921 </w:t>
            </w:r>
          </w:p>
        </w:tc>
        <w:tc>
          <w:tcPr>
            <w:tcW w:w="1337" w:type="dxa"/>
            <w:tcBorders>
              <w:top w:val="nil"/>
              <w:left w:val="nil"/>
              <w:bottom w:val="single" w:sz="4" w:space="0" w:color="auto"/>
              <w:right w:val="single" w:sz="4" w:space="0" w:color="auto"/>
            </w:tcBorders>
            <w:noWrap/>
            <w:vAlign w:val="bottom"/>
          </w:tcPr>
          <w:p w14:paraId="27E74C73" w14:textId="0047EA15" w:rsidR="001603BE" w:rsidRPr="00CA56B0" w:rsidRDefault="001603BE" w:rsidP="004F5BDD">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-23</w:t>
            </w:r>
          </w:p>
        </w:tc>
      </w:tr>
      <w:tr w:rsidR="001603BE" w:rsidRPr="00CA56B0" w14:paraId="3B816EE2" w14:textId="77777777" w:rsidTr="00CA56B0">
        <w:trPr>
          <w:trHeight w:val="58"/>
        </w:trPr>
        <w:tc>
          <w:tcPr>
            <w:tcW w:w="2197" w:type="dxa"/>
            <w:tcBorders>
              <w:top w:val="nil"/>
              <w:left w:val="single" w:sz="8" w:space="0" w:color="auto"/>
              <w:bottom w:val="single" w:sz="4" w:space="0" w:color="auto"/>
              <w:right w:val="single" w:sz="4" w:space="0" w:color="auto"/>
            </w:tcBorders>
            <w:vAlign w:val="center"/>
            <w:hideMark/>
          </w:tcPr>
          <w:p w14:paraId="33E49A3E" w14:textId="77777777" w:rsidR="001603BE" w:rsidRPr="00CA56B0" w:rsidRDefault="001603BE" w:rsidP="00FE59EC">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Recursos de capital</w:t>
            </w:r>
          </w:p>
        </w:tc>
        <w:tc>
          <w:tcPr>
            <w:tcW w:w="2551" w:type="dxa"/>
            <w:tcBorders>
              <w:top w:val="nil"/>
              <w:left w:val="nil"/>
              <w:bottom w:val="single" w:sz="4" w:space="0" w:color="auto"/>
              <w:right w:val="single" w:sz="4" w:space="0" w:color="auto"/>
            </w:tcBorders>
            <w:noWrap/>
            <w:vAlign w:val="bottom"/>
          </w:tcPr>
          <w:p w14:paraId="63FDFD09" w14:textId="21C08D38" w:rsidR="001603BE" w:rsidRPr="00CA56B0" w:rsidRDefault="001603BE"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400 </w:t>
            </w:r>
          </w:p>
        </w:tc>
        <w:tc>
          <w:tcPr>
            <w:tcW w:w="2552" w:type="dxa"/>
            <w:tcBorders>
              <w:top w:val="nil"/>
              <w:left w:val="nil"/>
              <w:bottom w:val="single" w:sz="4" w:space="0" w:color="auto"/>
              <w:right w:val="single" w:sz="4" w:space="0" w:color="auto"/>
            </w:tcBorders>
            <w:noWrap/>
            <w:vAlign w:val="bottom"/>
          </w:tcPr>
          <w:p w14:paraId="21E12B2C" w14:textId="40BFADAF" w:rsidR="001603BE" w:rsidRPr="00CA56B0" w:rsidRDefault="001603BE"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300 </w:t>
            </w:r>
          </w:p>
        </w:tc>
        <w:tc>
          <w:tcPr>
            <w:tcW w:w="1337" w:type="dxa"/>
            <w:tcBorders>
              <w:top w:val="nil"/>
              <w:left w:val="nil"/>
              <w:bottom w:val="single" w:sz="4" w:space="0" w:color="auto"/>
              <w:right w:val="single" w:sz="4" w:space="0" w:color="auto"/>
            </w:tcBorders>
            <w:noWrap/>
            <w:vAlign w:val="bottom"/>
          </w:tcPr>
          <w:p w14:paraId="5641F5D9" w14:textId="0D6094F4" w:rsidR="001603BE" w:rsidRPr="00CA56B0" w:rsidRDefault="001603BE" w:rsidP="004F5BDD">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-25</w:t>
            </w:r>
          </w:p>
        </w:tc>
      </w:tr>
      <w:tr w:rsidR="001603BE" w:rsidRPr="00CA56B0" w14:paraId="1262E540" w14:textId="77777777" w:rsidTr="00CA56B0">
        <w:trPr>
          <w:trHeight w:val="58"/>
        </w:trPr>
        <w:tc>
          <w:tcPr>
            <w:tcW w:w="2197" w:type="dxa"/>
            <w:tcBorders>
              <w:top w:val="nil"/>
              <w:left w:val="single" w:sz="8" w:space="0" w:color="auto"/>
              <w:bottom w:val="single" w:sz="8" w:space="0" w:color="auto"/>
              <w:right w:val="single" w:sz="4" w:space="0" w:color="auto"/>
            </w:tcBorders>
            <w:shd w:val="clear" w:color="auto" w:fill="C4D79B"/>
            <w:vAlign w:val="center"/>
            <w:hideMark/>
          </w:tcPr>
          <w:p w14:paraId="6F87A0E7" w14:textId="77777777" w:rsidR="001603BE" w:rsidRPr="00CA56B0" w:rsidRDefault="001603BE" w:rsidP="00FE59EC">
            <w:pPr>
              <w:spacing w:after="0" w:line="240" w:lineRule="auto"/>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Total</w:t>
            </w:r>
          </w:p>
        </w:tc>
        <w:tc>
          <w:tcPr>
            <w:tcW w:w="2551" w:type="dxa"/>
            <w:tcBorders>
              <w:top w:val="nil"/>
              <w:left w:val="nil"/>
              <w:bottom w:val="single" w:sz="8" w:space="0" w:color="auto"/>
              <w:right w:val="single" w:sz="4" w:space="0" w:color="auto"/>
            </w:tcBorders>
            <w:shd w:val="clear" w:color="auto" w:fill="C4D79B"/>
            <w:noWrap/>
            <w:vAlign w:val="bottom"/>
          </w:tcPr>
          <w:p w14:paraId="41349EBA" w14:textId="65255C18" w:rsidR="001603BE" w:rsidRPr="00CA56B0" w:rsidRDefault="00CA56B0" w:rsidP="00FE59EC">
            <w:pPr>
              <w:spacing w:after="0" w:line="240" w:lineRule="auto"/>
              <w:jc w:val="right"/>
              <w:rPr>
                <w:rFonts w:ascii="Century Gothic" w:eastAsia="Times New Roman" w:hAnsi="Century Gothic" w:cs="Arial"/>
                <w:b/>
                <w:color w:val="000000"/>
                <w:sz w:val="20"/>
                <w:lang w:val="es-ES"/>
              </w:rPr>
            </w:pPr>
            <w:r>
              <w:rPr>
                <w:rFonts w:ascii="Century Gothic" w:eastAsia="Times New Roman" w:hAnsi="Century Gothic" w:cs="Arial"/>
                <w:b/>
                <w:color w:val="000000"/>
                <w:sz w:val="20"/>
                <w:lang w:val="es-ES"/>
              </w:rPr>
              <w:t>5.</w:t>
            </w:r>
            <w:r w:rsidR="001603BE" w:rsidRPr="00CA56B0">
              <w:rPr>
                <w:rFonts w:ascii="Century Gothic" w:eastAsia="Times New Roman" w:hAnsi="Century Gothic" w:cs="Arial"/>
                <w:b/>
                <w:color w:val="000000"/>
                <w:sz w:val="20"/>
                <w:lang w:val="es-ES"/>
              </w:rPr>
              <w:t xml:space="preserve">516 </w:t>
            </w:r>
          </w:p>
        </w:tc>
        <w:tc>
          <w:tcPr>
            <w:tcW w:w="2552" w:type="dxa"/>
            <w:tcBorders>
              <w:top w:val="nil"/>
              <w:left w:val="nil"/>
              <w:bottom w:val="single" w:sz="8" w:space="0" w:color="auto"/>
              <w:right w:val="single" w:sz="4" w:space="0" w:color="auto"/>
            </w:tcBorders>
            <w:shd w:val="clear" w:color="auto" w:fill="C4D79B"/>
            <w:noWrap/>
            <w:vAlign w:val="bottom"/>
          </w:tcPr>
          <w:p w14:paraId="1ABA1320" w14:textId="6D359BBD" w:rsidR="001603BE" w:rsidRPr="00CA56B0" w:rsidRDefault="00CA56B0" w:rsidP="00FE59EC">
            <w:pPr>
              <w:spacing w:after="0" w:line="240" w:lineRule="auto"/>
              <w:jc w:val="right"/>
              <w:rPr>
                <w:rFonts w:ascii="Century Gothic" w:eastAsia="Times New Roman" w:hAnsi="Century Gothic" w:cs="Arial"/>
                <w:b/>
                <w:color w:val="000000"/>
                <w:sz w:val="20"/>
                <w:lang w:val="es-ES"/>
              </w:rPr>
            </w:pPr>
            <w:r>
              <w:rPr>
                <w:rFonts w:ascii="Century Gothic" w:eastAsia="Times New Roman" w:hAnsi="Century Gothic" w:cs="Arial"/>
                <w:b/>
                <w:color w:val="000000"/>
                <w:sz w:val="20"/>
                <w:lang w:val="es-ES"/>
              </w:rPr>
              <w:t>4.</w:t>
            </w:r>
            <w:r w:rsidR="001603BE" w:rsidRPr="00CA56B0">
              <w:rPr>
                <w:rFonts w:ascii="Century Gothic" w:eastAsia="Times New Roman" w:hAnsi="Century Gothic" w:cs="Arial"/>
                <w:b/>
                <w:color w:val="000000"/>
                <w:sz w:val="20"/>
                <w:lang w:val="es-ES"/>
              </w:rPr>
              <w:t>221</w:t>
            </w:r>
            <w:r w:rsidR="001603BE" w:rsidRPr="00CA56B0">
              <w:rPr>
                <w:rFonts w:ascii="Century Gothic" w:eastAsia="Times New Roman" w:hAnsi="Century Gothic" w:cs="Arial"/>
                <w:color w:val="000000"/>
                <w:sz w:val="20"/>
                <w:lang w:val="es-ES"/>
              </w:rPr>
              <w:t xml:space="preserve"> </w:t>
            </w:r>
          </w:p>
        </w:tc>
        <w:tc>
          <w:tcPr>
            <w:tcW w:w="1337" w:type="dxa"/>
            <w:tcBorders>
              <w:top w:val="nil"/>
              <w:left w:val="nil"/>
              <w:bottom w:val="single" w:sz="4" w:space="0" w:color="auto"/>
              <w:right w:val="single" w:sz="4" w:space="0" w:color="auto"/>
            </w:tcBorders>
            <w:shd w:val="clear" w:color="auto" w:fill="C4D79B"/>
            <w:noWrap/>
            <w:vAlign w:val="bottom"/>
          </w:tcPr>
          <w:p w14:paraId="6F7C6606" w14:textId="14C5B02A" w:rsidR="001603BE" w:rsidRPr="00CA56B0" w:rsidRDefault="001603BE" w:rsidP="004F5BDD">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-48</w:t>
            </w:r>
          </w:p>
        </w:tc>
      </w:tr>
    </w:tbl>
    <w:p w14:paraId="31DCAA3B" w14:textId="77777777" w:rsidR="001603BE" w:rsidRPr="00D5157C" w:rsidRDefault="001603BE" w:rsidP="001603BE">
      <w:pPr>
        <w:jc w:val="center"/>
        <w:rPr>
          <w:rFonts w:ascii="Century Gothic" w:hAnsi="Century Gothic"/>
          <w:sz w:val="20"/>
          <w:lang w:val="es-ES"/>
        </w:rPr>
      </w:pPr>
      <w:r w:rsidRPr="00D5157C">
        <w:rPr>
          <w:rFonts w:ascii="Century Gothic" w:hAnsi="Century Gothic"/>
          <w:sz w:val="20"/>
          <w:lang w:val="es-ES"/>
        </w:rPr>
        <w:t>Fuente: Secretaría de Hacienda, 2018</w:t>
      </w:r>
    </w:p>
    <w:p w14:paraId="2BB74A3C" w14:textId="27E81E09" w:rsidR="001603BE" w:rsidRPr="00D5157C" w:rsidRDefault="00E6494E" w:rsidP="001603BE">
      <w:pPr>
        <w:jc w:val="both"/>
        <w:rPr>
          <w:rFonts w:ascii="Century Gothic" w:hAnsi="Century Gothic"/>
          <w:lang w:val="es-ES"/>
        </w:rPr>
      </w:pPr>
      <w:r w:rsidRPr="00D5157C">
        <w:rPr>
          <w:rFonts w:ascii="Century Gothic" w:hAnsi="Century Gothic"/>
          <w:lang w:val="es-ES"/>
        </w:rPr>
        <w:t>Los ingresos dl Fondo de Compensación de Espacio Público proviene</w:t>
      </w:r>
      <w:r w:rsidR="00D5157C" w:rsidRPr="00D5157C">
        <w:rPr>
          <w:rFonts w:ascii="Century Gothic" w:hAnsi="Century Gothic"/>
          <w:lang w:val="es-ES"/>
        </w:rPr>
        <w:t>n</w:t>
      </w:r>
      <w:r w:rsidRPr="00D5157C">
        <w:rPr>
          <w:rFonts w:ascii="Century Gothic" w:hAnsi="Century Gothic"/>
          <w:lang w:val="es-ES"/>
        </w:rPr>
        <w:t xml:space="preserve"> de las compensaciones que realizan los constructores, la responsabilidad de </w:t>
      </w:r>
      <w:r w:rsidR="00D5157C" w:rsidRPr="00D5157C">
        <w:rPr>
          <w:rFonts w:ascii="Century Gothic" w:hAnsi="Century Gothic"/>
          <w:lang w:val="es-ES"/>
        </w:rPr>
        <w:t>este Fondo recae en la Secretarí</w:t>
      </w:r>
      <w:r w:rsidRPr="00D5157C">
        <w:rPr>
          <w:rFonts w:ascii="Century Gothic" w:hAnsi="Century Gothic"/>
          <w:lang w:val="es-ES"/>
        </w:rPr>
        <w:t>a de Planeació</w:t>
      </w:r>
      <w:r w:rsidR="00D5157C" w:rsidRPr="00D5157C">
        <w:rPr>
          <w:rFonts w:ascii="Century Gothic" w:hAnsi="Century Gothic"/>
          <w:lang w:val="es-ES"/>
        </w:rPr>
        <w:t xml:space="preserve">n, que implementará medidas para </w:t>
      </w:r>
      <w:r w:rsidRPr="00D5157C">
        <w:rPr>
          <w:rFonts w:ascii="Century Gothic" w:hAnsi="Century Gothic"/>
          <w:lang w:val="es-ES"/>
        </w:rPr>
        <w:t>logra</w:t>
      </w:r>
      <w:r w:rsidR="00D5157C" w:rsidRPr="00D5157C">
        <w:rPr>
          <w:rFonts w:ascii="Century Gothic" w:hAnsi="Century Gothic"/>
          <w:lang w:val="es-ES"/>
        </w:rPr>
        <w:t xml:space="preserve">r el recaudo, tales como: </w:t>
      </w:r>
      <w:r w:rsidRPr="00D5157C">
        <w:rPr>
          <w:rFonts w:ascii="Century Gothic" w:hAnsi="Century Gothic"/>
          <w:lang w:val="es-ES"/>
        </w:rPr>
        <w:t>la revisión de los avalúos</w:t>
      </w:r>
      <w:r w:rsidR="00D5157C">
        <w:rPr>
          <w:rFonts w:ascii="Century Gothic" w:hAnsi="Century Gothic"/>
          <w:lang w:val="es-ES"/>
        </w:rPr>
        <w:t xml:space="preserve"> y</w:t>
      </w:r>
      <w:r w:rsidRPr="00D5157C">
        <w:rPr>
          <w:rFonts w:ascii="Century Gothic" w:hAnsi="Century Gothic"/>
          <w:lang w:val="es-ES"/>
        </w:rPr>
        <w:t xml:space="preserve"> de las liquidaciones.</w:t>
      </w:r>
    </w:p>
    <w:p w14:paraId="31A7B571" w14:textId="6161694E" w:rsidR="001603BE" w:rsidRPr="00D5157C" w:rsidRDefault="001603BE" w:rsidP="0001178D">
      <w:pPr>
        <w:spacing w:after="0"/>
        <w:jc w:val="center"/>
        <w:rPr>
          <w:rFonts w:ascii="Century Gothic" w:hAnsi="Century Gothic"/>
          <w:lang w:val="es-ES"/>
        </w:rPr>
      </w:pPr>
      <w:bookmarkStart w:id="83" w:name="_Toc532570533"/>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42</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 xml:space="preserve">Comparativo presupuesto inicial Fondo de Compensación de Espacio Público 2018 2019 </w:t>
      </w:r>
      <w:r w:rsidRPr="00D5157C">
        <w:rPr>
          <w:rFonts w:ascii="Century Gothic" w:hAnsi="Century Gothic"/>
          <w:lang w:val="es-ES"/>
        </w:rPr>
        <w:t>(millones de pesos)</w:t>
      </w:r>
      <w:bookmarkEnd w:id="83"/>
    </w:p>
    <w:tbl>
      <w:tblPr>
        <w:tblW w:w="8637" w:type="dxa"/>
        <w:tblCellMar>
          <w:left w:w="70" w:type="dxa"/>
          <w:right w:w="70" w:type="dxa"/>
        </w:tblCellMar>
        <w:tblLook w:val="04A0" w:firstRow="1" w:lastRow="0" w:firstColumn="1" w:lastColumn="0" w:noHBand="0" w:noVBand="1"/>
      </w:tblPr>
      <w:tblGrid>
        <w:gridCol w:w="2197"/>
        <w:gridCol w:w="2551"/>
        <w:gridCol w:w="2552"/>
        <w:gridCol w:w="1337"/>
      </w:tblGrid>
      <w:tr w:rsidR="001603BE" w:rsidRPr="00CA56B0" w14:paraId="7ECFB777" w14:textId="77777777" w:rsidTr="00CA56B0">
        <w:trPr>
          <w:trHeight w:val="58"/>
        </w:trPr>
        <w:tc>
          <w:tcPr>
            <w:tcW w:w="2197"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7B3056A7"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Concepto</w:t>
            </w:r>
          </w:p>
        </w:tc>
        <w:tc>
          <w:tcPr>
            <w:tcW w:w="2551" w:type="dxa"/>
            <w:tcBorders>
              <w:top w:val="single" w:sz="4" w:space="0" w:color="auto"/>
              <w:left w:val="nil"/>
              <w:bottom w:val="single" w:sz="4" w:space="0" w:color="auto"/>
              <w:right w:val="single" w:sz="4" w:space="0" w:color="auto"/>
            </w:tcBorders>
            <w:shd w:val="clear" w:color="auto" w:fill="C4D79B"/>
            <w:vAlign w:val="center"/>
            <w:hideMark/>
          </w:tcPr>
          <w:p w14:paraId="08794579"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2018</w:t>
            </w:r>
          </w:p>
        </w:tc>
        <w:tc>
          <w:tcPr>
            <w:tcW w:w="2552" w:type="dxa"/>
            <w:tcBorders>
              <w:top w:val="single" w:sz="4" w:space="0" w:color="auto"/>
              <w:left w:val="nil"/>
              <w:bottom w:val="single" w:sz="4" w:space="0" w:color="auto"/>
              <w:right w:val="single" w:sz="4" w:space="0" w:color="auto"/>
            </w:tcBorders>
            <w:shd w:val="clear" w:color="auto" w:fill="C4D79B"/>
            <w:vAlign w:val="center"/>
            <w:hideMark/>
          </w:tcPr>
          <w:p w14:paraId="2F6AEFBA"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2019</w:t>
            </w:r>
          </w:p>
        </w:tc>
        <w:tc>
          <w:tcPr>
            <w:tcW w:w="1337" w:type="dxa"/>
            <w:tcBorders>
              <w:top w:val="single" w:sz="4" w:space="0" w:color="auto"/>
              <w:left w:val="nil"/>
              <w:bottom w:val="single" w:sz="4" w:space="0" w:color="auto"/>
              <w:right w:val="single" w:sz="4" w:space="0" w:color="auto"/>
            </w:tcBorders>
            <w:shd w:val="clear" w:color="auto" w:fill="C4D79B"/>
            <w:noWrap/>
            <w:vAlign w:val="center"/>
            <w:hideMark/>
          </w:tcPr>
          <w:p w14:paraId="347B71F6" w14:textId="77777777" w:rsidR="001603BE" w:rsidRPr="00CA56B0" w:rsidRDefault="001603BE"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Variación %</w:t>
            </w:r>
          </w:p>
        </w:tc>
      </w:tr>
      <w:tr w:rsidR="008818FA" w:rsidRPr="00CA56B0" w14:paraId="1858B068" w14:textId="77777777" w:rsidTr="00CA56B0">
        <w:trPr>
          <w:trHeight w:val="58"/>
        </w:trPr>
        <w:tc>
          <w:tcPr>
            <w:tcW w:w="2197" w:type="dxa"/>
            <w:tcBorders>
              <w:top w:val="nil"/>
              <w:left w:val="single" w:sz="8" w:space="0" w:color="auto"/>
              <w:bottom w:val="single" w:sz="4" w:space="0" w:color="auto"/>
              <w:right w:val="single" w:sz="4" w:space="0" w:color="auto"/>
            </w:tcBorders>
            <w:vAlign w:val="center"/>
            <w:hideMark/>
          </w:tcPr>
          <w:p w14:paraId="01BE4CEA" w14:textId="3895DAF5" w:rsidR="008818FA" w:rsidRPr="00CA56B0" w:rsidRDefault="008818FA" w:rsidP="00341016">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Ingresos </w:t>
            </w:r>
            <w:r w:rsidR="00341016">
              <w:rPr>
                <w:rFonts w:ascii="Century Gothic" w:eastAsia="Times New Roman" w:hAnsi="Century Gothic" w:cs="Arial"/>
                <w:color w:val="000000"/>
                <w:sz w:val="20"/>
                <w:lang w:val="es-ES"/>
              </w:rPr>
              <w:t>c</w:t>
            </w:r>
            <w:r w:rsidRPr="00CA56B0">
              <w:rPr>
                <w:rFonts w:ascii="Century Gothic" w:eastAsia="Times New Roman" w:hAnsi="Century Gothic" w:cs="Arial"/>
                <w:color w:val="000000"/>
                <w:sz w:val="20"/>
                <w:lang w:val="es-ES"/>
              </w:rPr>
              <w:t>orrientes</w:t>
            </w:r>
          </w:p>
        </w:tc>
        <w:tc>
          <w:tcPr>
            <w:tcW w:w="2551" w:type="dxa"/>
            <w:tcBorders>
              <w:top w:val="nil"/>
              <w:left w:val="nil"/>
              <w:bottom w:val="single" w:sz="4" w:space="0" w:color="auto"/>
              <w:right w:val="single" w:sz="4" w:space="0" w:color="auto"/>
            </w:tcBorders>
            <w:noWrap/>
            <w:vAlign w:val="bottom"/>
          </w:tcPr>
          <w:p w14:paraId="7C996A12" w14:textId="46025491"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2.220 </w:t>
            </w:r>
          </w:p>
        </w:tc>
        <w:tc>
          <w:tcPr>
            <w:tcW w:w="2552" w:type="dxa"/>
            <w:tcBorders>
              <w:top w:val="nil"/>
              <w:left w:val="nil"/>
              <w:bottom w:val="single" w:sz="4" w:space="0" w:color="auto"/>
              <w:right w:val="single" w:sz="4" w:space="0" w:color="auto"/>
            </w:tcBorders>
            <w:noWrap/>
            <w:vAlign w:val="bottom"/>
          </w:tcPr>
          <w:p w14:paraId="2487362B" w14:textId="2AF3E3F8"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4.941 </w:t>
            </w:r>
          </w:p>
        </w:tc>
        <w:tc>
          <w:tcPr>
            <w:tcW w:w="1337" w:type="dxa"/>
            <w:tcBorders>
              <w:top w:val="nil"/>
              <w:left w:val="nil"/>
              <w:bottom w:val="single" w:sz="4" w:space="0" w:color="auto"/>
              <w:right w:val="single" w:sz="4" w:space="0" w:color="auto"/>
            </w:tcBorders>
            <w:noWrap/>
            <w:vAlign w:val="bottom"/>
          </w:tcPr>
          <w:p w14:paraId="7235E32A" w14:textId="43779B67" w:rsidR="008818FA" w:rsidRPr="00CA56B0" w:rsidRDefault="008818FA" w:rsidP="004F5BDD">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123</w:t>
            </w:r>
          </w:p>
        </w:tc>
      </w:tr>
      <w:tr w:rsidR="008818FA" w:rsidRPr="00CA56B0" w14:paraId="1045A7CC" w14:textId="77777777" w:rsidTr="00CA56B0">
        <w:trPr>
          <w:trHeight w:val="58"/>
        </w:trPr>
        <w:tc>
          <w:tcPr>
            <w:tcW w:w="2197" w:type="dxa"/>
            <w:tcBorders>
              <w:top w:val="nil"/>
              <w:left w:val="single" w:sz="8" w:space="0" w:color="auto"/>
              <w:bottom w:val="single" w:sz="4" w:space="0" w:color="auto"/>
              <w:right w:val="single" w:sz="4" w:space="0" w:color="auto"/>
            </w:tcBorders>
            <w:vAlign w:val="center"/>
            <w:hideMark/>
          </w:tcPr>
          <w:p w14:paraId="1D7439B6" w14:textId="77777777" w:rsidR="008818FA" w:rsidRPr="00CA56B0" w:rsidRDefault="008818FA" w:rsidP="00FE59EC">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Recursos de capital</w:t>
            </w:r>
          </w:p>
        </w:tc>
        <w:tc>
          <w:tcPr>
            <w:tcW w:w="2551" w:type="dxa"/>
            <w:tcBorders>
              <w:top w:val="nil"/>
              <w:left w:val="nil"/>
              <w:bottom w:val="single" w:sz="4" w:space="0" w:color="auto"/>
              <w:right w:val="single" w:sz="4" w:space="0" w:color="auto"/>
            </w:tcBorders>
            <w:noWrap/>
            <w:vAlign w:val="bottom"/>
          </w:tcPr>
          <w:p w14:paraId="0ED6A9E0" w14:textId="74A88FD0"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2.024 </w:t>
            </w:r>
          </w:p>
        </w:tc>
        <w:tc>
          <w:tcPr>
            <w:tcW w:w="2552" w:type="dxa"/>
            <w:tcBorders>
              <w:top w:val="nil"/>
              <w:left w:val="nil"/>
              <w:bottom w:val="single" w:sz="4" w:space="0" w:color="auto"/>
              <w:right w:val="single" w:sz="4" w:space="0" w:color="auto"/>
            </w:tcBorders>
            <w:noWrap/>
            <w:vAlign w:val="bottom"/>
          </w:tcPr>
          <w:p w14:paraId="5C3FB709" w14:textId="73E36D27"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1.600 </w:t>
            </w:r>
          </w:p>
        </w:tc>
        <w:tc>
          <w:tcPr>
            <w:tcW w:w="1337" w:type="dxa"/>
            <w:tcBorders>
              <w:top w:val="nil"/>
              <w:left w:val="nil"/>
              <w:bottom w:val="single" w:sz="4" w:space="0" w:color="auto"/>
              <w:right w:val="single" w:sz="4" w:space="0" w:color="auto"/>
            </w:tcBorders>
            <w:noWrap/>
            <w:vAlign w:val="bottom"/>
          </w:tcPr>
          <w:p w14:paraId="135DCB1C" w14:textId="7486BBD4" w:rsidR="008818FA" w:rsidRPr="00CA56B0" w:rsidRDefault="008818FA" w:rsidP="004F5BDD">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-21</w:t>
            </w:r>
          </w:p>
        </w:tc>
      </w:tr>
      <w:tr w:rsidR="008818FA" w:rsidRPr="00CA56B0" w14:paraId="025A44C2" w14:textId="77777777" w:rsidTr="00CA56B0">
        <w:trPr>
          <w:trHeight w:val="58"/>
        </w:trPr>
        <w:tc>
          <w:tcPr>
            <w:tcW w:w="2197" w:type="dxa"/>
            <w:tcBorders>
              <w:top w:val="nil"/>
              <w:left w:val="single" w:sz="8" w:space="0" w:color="auto"/>
              <w:bottom w:val="single" w:sz="8" w:space="0" w:color="auto"/>
              <w:right w:val="single" w:sz="4" w:space="0" w:color="auto"/>
            </w:tcBorders>
            <w:shd w:val="clear" w:color="auto" w:fill="C4D79B"/>
            <w:vAlign w:val="center"/>
            <w:hideMark/>
          </w:tcPr>
          <w:p w14:paraId="5B43008B" w14:textId="77777777" w:rsidR="008818FA" w:rsidRPr="00CA56B0" w:rsidRDefault="008818FA" w:rsidP="00FE59EC">
            <w:pPr>
              <w:spacing w:after="0" w:line="240" w:lineRule="auto"/>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Total</w:t>
            </w:r>
          </w:p>
        </w:tc>
        <w:tc>
          <w:tcPr>
            <w:tcW w:w="2551" w:type="dxa"/>
            <w:tcBorders>
              <w:top w:val="nil"/>
              <w:left w:val="nil"/>
              <w:bottom w:val="single" w:sz="8" w:space="0" w:color="auto"/>
              <w:right w:val="single" w:sz="4" w:space="0" w:color="auto"/>
            </w:tcBorders>
            <w:shd w:val="clear" w:color="auto" w:fill="C4D79B"/>
            <w:noWrap/>
            <w:vAlign w:val="bottom"/>
          </w:tcPr>
          <w:p w14:paraId="3478C09E" w14:textId="0B15E406" w:rsidR="008818FA" w:rsidRPr="00CA56B0" w:rsidRDefault="008818FA" w:rsidP="00FE59EC">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 xml:space="preserve">4.243 </w:t>
            </w:r>
          </w:p>
        </w:tc>
        <w:tc>
          <w:tcPr>
            <w:tcW w:w="2552" w:type="dxa"/>
            <w:tcBorders>
              <w:top w:val="nil"/>
              <w:left w:val="nil"/>
              <w:bottom w:val="single" w:sz="8" w:space="0" w:color="auto"/>
              <w:right w:val="single" w:sz="4" w:space="0" w:color="auto"/>
            </w:tcBorders>
            <w:shd w:val="clear" w:color="auto" w:fill="C4D79B"/>
            <w:noWrap/>
            <w:vAlign w:val="bottom"/>
          </w:tcPr>
          <w:p w14:paraId="17824B5C" w14:textId="1067B012" w:rsidR="008818FA" w:rsidRPr="00CA56B0" w:rsidRDefault="008818FA" w:rsidP="008818FA">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 xml:space="preserve">6.541 </w:t>
            </w:r>
          </w:p>
        </w:tc>
        <w:tc>
          <w:tcPr>
            <w:tcW w:w="1337" w:type="dxa"/>
            <w:tcBorders>
              <w:top w:val="nil"/>
              <w:left w:val="nil"/>
              <w:bottom w:val="single" w:sz="4" w:space="0" w:color="auto"/>
              <w:right w:val="single" w:sz="4" w:space="0" w:color="auto"/>
            </w:tcBorders>
            <w:shd w:val="clear" w:color="auto" w:fill="C4D79B"/>
            <w:noWrap/>
            <w:vAlign w:val="bottom"/>
          </w:tcPr>
          <w:p w14:paraId="7C91D9B7" w14:textId="493E48E7" w:rsidR="008818FA" w:rsidRPr="00CA56B0" w:rsidRDefault="008818FA" w:rsidP="004F5BDD">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102</w:t>
            </w:r>
          </w:p>
        </w:tc>
      </w:tr>
    </w:tbl>
    <w:p w14:paraId="1FB0793F" w14:textId="77777777" w:rsidR="008818FA" w:rsidRPr="00D5157C" w:rsidRDefault="008818FA" w:rsidP="008818FA">
      <w:pPr>
        <w:jc w:val="center"/>
        <w:rPr>
          <w:rFonts w:ascii="Century Gothic" w:hAnsi="Century Gothic"/>
          <w:sz w:val="20"/>
          <w:lang w:val="es-ES"/>
        </w:rPr>
      </w:pPr>
      <w:r w:rsidRPr="00D5157C">
        <w:rPr>
          <w:rFonts w:ascii="Century Gothic" w:hAnsi="Century Gothic"/>
          <w:sz w:val="20"/>
          <w:lang w:val="es-ES"/>
        </w:rPr>
        <w:t>Fuente: Secretaría de Hacienda, 2018</w:t>
      </w:r>
    </w:p>
    <w:p w14:paraId="74DA60CD" w14:textId="4C8B6D50" w:rsidR="008818FA" w:rsidRPr="00D5157C" w:rsidRDefault="00E6494E" w:rsidP="008818FA">
      <w:pPr>
        <w:jc w:val="both"/>
        <w:rPr>
          <w:rFonts w:ascii="Century Gothic" w:hAnsi="Century Gothic"/>
          <w:sz w:val="20"/>
          <w:lang w:val="es-ES"/>
        </w:rPr>
      </w:pPr>
      <w:r w:rsidRPr="00D5157C">
        <w:rPr>
          <w:rFonts w:ascii="Century Gothic" w:hAnsi="Century Gothic"/>
          <w:lang w:val="es-ES"/>
        </w:rPr>
        <w:t xml:space="preserve">El Fondo de Resarcimiento Ambiental se nutre de los ingresos provenientes del impuesto de </w:t>
      </w:r>
      <w:r w:rsidR="00D5157C" w:rsidRPr="00D5157C">
        <w:rPr>
          <w:rFonts w:ascii="Century Gothic" w:hAnsi="Century Gothic"/>
          <w:lang w:val="es-ES"/>
        </w:rPr>
        <w:t>v</w:t>
      </w:r>
      <w:r w:rsidRPr="00D5157C">
        <w:rPr>
          <w:rFonts w:ascii="Century Gothic" w:hAnsi="Century Gothic"/>
          <w:lang w:val="es-ES"/>
        </w:rPr>
        <w:t xml:space="preserve">allas, de los que se obtienen por concepto del uso de la escombrera y los de comparendo ambiental, se observa un decrecimiento en </w:t>
      </w:r>
      <w:r w:rsidR="00D5157C" w:rsidRPr="00D5157C">
        <w:rPr>
          <w:rFonts w:ascii="Century Gothic" w:hAnsi="Century Gothic"/>
          <w:lang w:val="es-ES"/>
        </w:rPr>
        <w:t>est</w:t>
      </w:r>
      <w:r w:rsidRPr="00D5157C">
        <w:rPr>
          <w:rFonts w:ascii="Century Gothic" w:hAnsi="Century Gothic"/>
          <w:lang w:val="es-ES"/>
        </w:rPr>
        <w:t>os ingresos.</w:t>
      </w:r>
    </w:p>
    <w:p w14:paraId="3A32C3C3" w14:textId="6996539A" w:rsidR="001603BE" w:rsidRPr="00D5157C" w:rsidRDefault="008818FA" w:rsidP="0001178D">
      <w:pPr>
        <w:spacing w:after="0"/>
        <w:jc w:val="center"/>
        <w:rPr>
          <w:rFonts w:ascii="Century Gothic" w:hAnsi="Century Gothic"/>
          <w:lang w:val="es-ES"/>
        </w:rPr>
      </w:pPr>
      <w:bookmarkStart w:id="84" w:name="_Toc532570534"/>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43</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 xml:space="preserve">Comparativo presupuesto inicial Fondo de Resarcimiento Ambiental 2018 – 2019 </w:t>
      </w:r>
      <w:r w:rsidRPr="00D5157C">
        <w:rPr>
          <w:rFonts w:ascii="Century Gothic" w:hAnsi="Century Gothic"/>
          <w:lang w:val="es-ES"/>
        </w:rPr>
        <w:t>(millones de pesos)</w:t>
      </w:r>
      <w:bookmarkEnd w:id="84"/>
    </w:p>
    <w:tbl>
      <w:tblPr>
        <w:tblW w:w="8637" w:type="dxa"/>
        <w:tblCellMar>
          <w:left w:w="70" w:type="dxa"/>
          <w:right w:w="70" w:type="dxa"/>
        </w:tblCellMar>
        <w:tblLook w:val="04A0" w:firstRow="1" w:lastRow="0" w:firstColumn="1" w:lastColumn="0" w:noHBand="0" w:noVBand="1"/>
      </w:tblPr>
      <w:tblGrid>
        <w:gridCol w:w="2338"/>
        <w:gridCol w:w="2552"/>
        <w:gridCol w:w="2410"/>
        <w:gridCol w:w="1337"/>
      </w:tblGrid>
      <w:tr w:rsidR="008818FA" w:rsidRPr="00CA56B0" w14:paraId="21F7F52B" w14:textId="77777777" w:rsidTr="00CA56B0">
        <w:trPr>
          <w:trHeight w:val="58"/>
        </w:trPr>
        <w:tc>
          <w:tcPr>
            <w:tcW w:w="2338"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4C241DA8" w14:textId="77777777" w:rsidR="008818FA" w:rsidRPr="00CA56B0" w:rsidRDefault="008818FA"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Concepto</w:t>
            </w:r>
          </w:p>
        </w:tc>
        <w:tc>
          <w:tcPr>
            <w:tcW w:w="2552" w:type="dxa"/>
            <w:tcBorders>
              <w:top w:val="single" w:sz="4" w:space="0" w:color="auto"/>
              <w:left w:val="nil"/>
              <w:bottom w:val="single" w:sz="4" w:space="0" w:color="auto"/>
              <w:right w:val="single" w:sz="4" w:space="0" w:color="auto"/>
            </w:tcBorders>
            <w:shd w:val="clear" w:color="auto" w:fill="C4D79B"/>
            <w:vAlign w:val="center"/>
            <w:hideMark/>
          </w:tcPr>
          <w:p w14:paraId="20928AC7" w14:textId="67C1308A" w:rsidR="008818FA" w:rsidRPr="00CA56B0" w:rsidRDefault="00CA56B0"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w:t>
            </w:r>
            <w:r w:rsidR="008818FA" w:rsidRPr="00CA56B0">
              <w:rPr>
                <w:rFonts w:ascii="Century Gothic" w:eastAsia="Times New Roman" w:hAnsi="Century Gothic" w:cs="Arial"/>
                <w:b/>
                <w:color w:val="000000"/>
                <w:sz w:val="20"/>
                <w:lang w:val="es-ES"/>
              </w:rPr>
              <w:t>18</w:t>
            </w:r>
          </w:p>
        </w:tc>
        <w:tc>
          <w:tcPr>
            <w:tcW w:w="2410" w:type="dxa"/>
            <w:tcBorders>
              <w:top w:val="single" w:sz="4" w:space="0" w:color="auto"/>
              <w:left w:val="nil"/>
              <w:bottom w:val="single" w:sz="4" w:space="0" w:color="auto"/>
              <w:right w:val="single" w:sz="4" w:space="0" w:color="auto"/>
            </w:tcBorders>
            <w:shd w:val="clear" w:color="auto" w:fill="C4D79B"/>
            <w:vAlign w:val="center"/>
            <w:hideMark/>
          </w:tcPr>
          <w:p w14:paraId="30E2B87B" w14:textId="473169A8" w:rsidR="008818FA" w:rsidRPr="00CA56B0" w:rsidRDefault="00CA56B0" w:rsidP="00CA56B0">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w:t>
            </w:r>
            <w:r w:rsidR="008818FA" w:rsidRPr="00CA56B0">
              <w:rPr>
                <w:rFonts w:ascii="Century Gothic" w:eastAsia="Times New Roman" w:hAnsi="Century Gothic" w:cs="Arial"/>
                <w:b/>
                <w:color w:val="000000"/>
                <w:sz w:val="20"/>
                <w:lang w:val="es-ES"/>
              </w:rPr>
              <w:t>19</w:t>
            </w:r>
          </w:p>
        </w:tc>
        <w:tc>
          <w:tcPr>
            <w:tcW w:w="1337" w:type="dxa"/>
            <w:tcBorders>
              <w:top w:val="single" w:sz="4" w:space="0" w:color="auto"/>
              <w:left w:val="nil"/>
              <w:bottom w:val="single" w:sz="4" w:space="0" w:color="auto"/>
              <w:right w:val="single" w:sz="4" w:space="0" w:color="auto"/>
            </w:tcBorders>
            <w:shd w:val="clear" w:color="auto" w:fill="C4D79B"/>
            <w:noWrap/>
            <w:vAlign w:val="center"/>
            <w:hideMark/>
          </w:tcPr>
          <w:p w14:paraId="04CC0567" w14:textId="77777777" w:rsidR="008818FA" w:rsidRPr="00CA56B0" w:rsidRDefault="008818FA"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Variación %</w:t>
            </w:r>
          </w:p>
        </w:tc>
      </w:tr>
      <w:tr w:rsidR="008818FA" w:rsidRPr="00CA56B0" w14:paraId="20755D6C" w14:textId="77777777" w:rsidTr="00CA56B0">
        <w:trPr>
          <w:trHeight w:val="58"/>
        </w:trPr>
        <w:tc>
          <w:tcPr>
            <w:tcW w:w="2338" w:type="dxa"/>
            <w:tcBorders>
              <w:top w:val="nil"/>
              <w:left w:val="single" w:sz="8" w:space="0" w:color="auto"/>
              <w:bottom w:val="single" w:sz="4" w:space="0" w:color="auto"/>
              <w:right w:val="single" w:sz="4" w:space="0" w:color="auto"/>
            </w:tcBorders>
            <w:vAlign w:val="center"/>
            <w:hideMark/>
          </w:tcPr>
          <w:p w14:paraId="408547AA" w14:textId="77777777" w:rsidR="008818FA" w:rsidRPr="00CA56B0" w:rsidRDefault="008818FA" w:rsidP="00FE59EC">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Ingresos Corrientes</w:t>
            </w:r>
          </w:p>
        </w:tc>
        <w:tc>
          <w:tcPr>
            <w:tcW w:w="2552" w:type="dxa"/>
            <w:tcBorders>
              <w:top w:val="nil"/>
              <w:left w:val="nil"/>
              <w:bottom w:val="single" w:sz="4" w:space="0" w:color="auto"/>
              <w:right w:val="single" w:sz="4" w:space="0" w:color="auto"/>
            </w:tcBorders>
            <w:noWrap/>
            <w:vAlign w:val="bottom"/>
          </w:tcPr>
          <w:p w14:paraId="541B24D1" w14:textId="74D5D95B"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461 </w:t>
            </w:r>
          </w:p>
        </w:tc>
        <w:tc>
          <w:tcPr>
            <w:tcW w:w="2410" w:type="dxa"/>
            <w:tcBorders>
              <w:top w:val="nil"/>
              <w:left w:val="nil"/>
              <w:bottom w:val="single" w:sz="4" w:space="0" w:color="auto"/>
              <w:right w:val="single" w:sz="4" w:space="0" w:color="auto"/>
            </w:tcBorders>
            <w:noWrap/>
            <w:vAlign w:val="bottom"/>
          </w:tcPr>
          <w:p w14:paraId="30603A85" w14:textId="4B00659A"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297 </w:t>
            </w:r>
          </w:p>
        </w:tc>
        <w:tc>
          <w:tcPr>
            <w:tcW w:w="1337" w:type="dxa"/>
            <w:tcBorders>
              <w:top w:val="nil"/>
              <w:left w:val="nil"/>
              <w:bottom w:val="single" w:sz="4" w:space="0" w:color="auto"/>
              <w:right w:val="single" w:sz="4" w:space="0" w:color="auto"/>
            </w:tcBorders>
            <w:noWrap/>
            <w:vAlign w:val="bottom"/>
          </w:tcPr>
          <w:p w14:paraId="76B1DCED" w14:textId="7F015F52" w:rsidR="008818FA" w:rsidRPr="00CA56B0" w:rsidRDefault="008818FA" w:rsidP="004F5BDD">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-35</w:t>
            </w:r>
          </w:p>
        </w:tc>
      </w:tr>
      <w:tr w:rsidR="008818FA" w:rsidRPr="00CA56B0" w14:paraId="4BDA733C" w14:textId="77777777" w:rsidTr="00CA56B0">
        <w:trPr>
          <w:trHeight w:val="58"/>
        </w:trPr>
        <w:tc>
          <w:tcPr>
            <w:tcW w:w="2338" w:type="dxa"/>
            <w:tcBorders>
              <w:top w:val="nil"/>
              <w:left w:val="single" w:sz="8" w:space="0" w:color="auto"/>
              <w:bottom w:val="single" w:sz="4" w:space="0" w:color="auto"/>
              <w:right w:val="single" w:sz="4" w:space="0" w:color="auto"/>
            </w:tcBorders>
            <w:vAlign w:val="center"/>
            <w:hideMark/>
          </w:tcPr>
          <w:p w14:paraId="518DAC4F" w14:textId="77777777" w:rsidR="008818FA" w:rsidRPr="00CA56B0" w:rsidRDefault="008818FA" w:rsidP="00FE59EC">
            <w:pPr>
              <w:spacing w:after="0" w:line="240" w:lineRule="auto"/>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Recursos de capital</w:t>
            </w:r>
          </w:p>
        </w:tc>
        <w:tc>
          <w:tcPr>
            <w:tcW w:w="2552" w:type="dxa"/>
            <w:tcBorders>
              <w:top w:val="nil"/>
              <w:left w:val="nil"/>
              <w:bottom w:val="single" w:sz="4" w:space="0" w:color="auto"/>
              <w:right w:val="single" w:sz="4" w:space="0" w:color="auto"/>
            </w:tcBorders>
            <w:noWrap/>
            <w:vAlign w:val="bottom"/>
          </w:tcPr>
          <w:p w14:paraId="431835C1" w14:textId="38BE6AE7"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   </w:t>
            </w:r>
          </w:p>
        </w:tc>
        <w:tc>
          <w:tcPr>
            <w:tcW w:w="2410" w:type="dxa"/>
            <w:tcBorders>
              <w:top w:val="nil"/>
              <w:left w:val="nil"/>
              <w:bottom w:val="single" w:sz="4" w:space="0" w:color="auto"/>
              <w:right w:val="single" w:sz="4" w:space="0" w:color="auto"/>
            </w:tcBorders>
            <w:noWrap/>
            <w:vAlign w:val="bottom"/>
          </w:tcPr>
          <w:p w14:paraId="12D30BE7" w14:textId="6946B436"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xml:space="preserve">-   </w:t>
            </w:r>
          </w:p>
        </w:tc>
        <w:tc>
          <w:tcPr>
            <w:tcW w:w="1337" w:type="dxa"/>
            <w:tcBorders>
              <w:top w:val="nil"/>
              <w:left w:val="nil"/>
              <w:bottom w:val="single" w:sz="4" w:space="0" w:color="auto"/>
              <w:right w:val="single" w:sz="4" w:space="0" w:color="auto"/>
            </w:tcBorders>
            <w:noWrap/>
            <w:vAlign w:val="bottom"/>
          </w:tcPr>
          <w:p w14:paraId="457C47C7" w14:textId="69E79897" w:rsidR="008818FA" w:rsidRPr="00CA56B0" w:rsidRDefault="008818FA" w:rsidP="00FE59EC">
            <w:pPr>
              <w:spacing w:after="0" w:line="240" w:lineRule="auto"/>
              <w:jc w:val="right"/>
              <w:rPr>
                <w:rFonts w:ascii="Century Gothic" w:eastAsia="Times New Roman" w:hAnsi="Century Gothic" w:cs="Arial"/>
                <w:color w:val="000000"/>
                <w:sz w:val="20"/>
                <w:lang w:val="es-ES"/>
              </w:rPr>
            </w:pPr>
            <w:r w:rsidRPr="00CA56B0">
              <w:rPr>
                <w:rFonts w:ascii="Century Gothic" w:eastAsia="Times New Roman" w:hAnsi="Century Gothic" w:cs="Arial"/>
                <w:color w:val="000000"/>
                <w:sz w:val="20"/>
                <w:lang w:val="es-ES"/>
              </w:rPr>
              <w:t> </w:t>
            </w:r>
          </w:p>
        </w:tc>
      </w:tr>
      <w:tr w:rsidR="00851090" w:rsidRPr="00CA56B0" w14:paraId="6C6FA058" w14:textId="77777777" w:rsidTr="00CA56B0">
        <w:trPr>
          <w:trHeight w:val="58"/>
        </w:trPr>
        <w:tc>
          <w:tcPr>
            <w:tcW w:w="2338" w:type="dxa"/>
            <w:tcBorders>
              <w:top w:val="nil"/>
              <w:left w:val="single" w:sz="8" w:space="0" w:color="auto"/>
              <w:bottom w:val="single" w:sz="8" w:space="0" w:color="auto"/>
              <w:right w:val="single" w:sz="4" w:space="0" w:color="auto"/>
            </w:tcBorders>
            <w:shd w:val="clear" w:color="auto" w:fill="C4D79B"/>
            <w:vAlign w:val="center"/>
            <w:hideMark/>
          </w:tcPr>
          <w:p w14:paraId="1683ABC0" w14:textId="77777777" w:rsidR="00851090" w:rsidRPr="00CA56B0" w:rsidRDefault="00851090" w:rsidP="00FE59EC">
            <w:pPr>
              <w:spacing w:after="0" w:line="240" w:lineRule="auto"/>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lastRenderedPageBreak/>
              <w:t>Total</w:t>
            </w:r>
          </w:p>
        </w:tc>
        <w:tc>
          <w:tcPr>
            <w:tcW w:w="2552" w:type="dxa"/>
            <w:tcBorders>
              <w:top w:val="nil"/>
              <w:left w:val="nil"/>
              <w:bottom w:val="single" w:sz="8" w:space="0" w:color="auto"/>
              <w:right w:val="single" w:sz="4" w:space="0" w:color="auto"/>
            </w:tcBorders>
            <w:shd w:val="clear" w:color="auto" w:fill="C4D79B"/>
            <w:noWrap/>
            <w:vAlign w:val="bottom"/>
          </w:tcPr>
          <w:p w14:paraId="5460AE41" w14:textId="6C72AD06" w:rsidR="00851090" w:rsidRPr="00CA56B0" w:rsidRDefault="00851090" w:rsidP="00FE59EC">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 xml:space="preserve">460.55 </w:t>
            </w:r>
          </w:p>
        </w:tc>
        <w:tc>
          <w:tcPr>
            <w:tcW w:w="2410" w:type="dxa"/>
            <w:tcBorders>
              <w:top w:val="nil"/>
              <w:left w:val="nil"/>
              <w:bottom w:val="single" w:sz="8" w:space="0" w:color="auto"/>
              <w:right w:val="single" w:sz="4" w:space="0" w:color="auto"/>
            </w:tcBorders>
            <w:shd w:val="clear" w:color="auto" w:fill="C4D79B"/>
            <w:noWrap/>
            <w:vAlign w:val="bottom"/>
          </w:tcPr>
          <w:p w14:paraId="1C09D4B9" w14:textId="0664C2C2" w:rsidR="00851090" w:rsidRPr="00CA56B0" w:rsidRDefault="00851090" w:rsidP="00FE59EC">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 xml:space="preserve">297 </w:t>
            </w:r>
          </w:p>
        </w:tc>
        <w:tc>
          <w:tcPr>
            <w:tcW w:w="1337" w:type="dxa"/>
            <w:tcBorders>
              <w:top w:val="nil"/>
              <w:left w:val="nil"/>
              <w:bottom w:val="single" w:sz="4" w:space="0" w:color="auto"/>
              <w:right w:val="single" w:sz="4" w:space="0" w:color="auto"/>
            </w:tcBorders>
            <w:shd w:val="clear" w:color="auto" w:fill="C4D79B"/>
            <w:noWrap/>
            <w:vAlign w:val="bottom"/>
          </w:tcPr>
          <w:p w14:paraId="40328045" w14:textId="388602E2" w:rsidR="00851090" w:rsidRPr="00CA56B0" w:rsidRDefault="00851090" w:rsidP="004F5BDD">
            <w:pPr>
              <w:spacing w:after="0" w:line="240" w:lineRule="auto"/>
              <w:jc w:val="right"/>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-35</w:t>
            </w:r>
          </w:p>
        </w:tc>
      </w:tr>
    </w:tbl>
    <w:p w14:paraId="1CA18AD9" w14:textId="5772634A" w:rsidR="008818FA" w:rsidRPr="00D5157C" w:rsidRDefault="008818FA" w:rsidP="008818FA">
      <w:pPr>
        <w:jc w:val="center"/>
        <w:rPr>
          <w:rFonts w:ascii="Century Gothic" w:hAnsi="Century Gothic"/>
          <w:sz w:val="20"/>
          <w:lang w:val="es-ES"/>
        </w:rPr>
      </w:pPr>
      <w:r w:rsidRPr="00D5157C">
        <w:rPr>
          <w:rFonts w:ascii="Century Gothic" w:hAnsi="Century Gothic"/>
          <w:sz w:val="20"/>
          <w:lang w:val="es-ES"/>
        </w:rPr>
        <w:t>Fuente: Secretaría de Hacienda, 2018</w:t>
      </w:r>
    </w:p>
    <w:p w14:paraId="64996C32" w14:textId="4E448236" w:rsidR="00E6494E" w:rsidRPr="00D5157C" w:rsidRDefault="00E6494E" w:rsidP="00E6494E">
      <w:pPr>
        <w:jc w:val="both"/>
        <w:rPr>
          <w:rFonts w:ascii="Century Gothic" w:hAnsi="Century Gothic"/>
          <w:lang w:val="es-ES"/>
        </w:rPr>
      </w:pPr>
      <w:r w:rsidRPr="00D5157C">
        <w:rPr>
          <w:rFonts w:ascii="Century Gothic" w:hAnsi="Century Gothic"/>
          <w:lang w:val="es-ES"/>
        </w:rPr>
        <w:t>Los ingresos proyectados en</w:t>
      </w:r>
      <w:r w:rsidR="003763EF" w:rsidRPr="00D5157C">
        <w:rPr>
          <w:rFonts w:ascii="Century Gothic" w:hAnsi="Century Gothic"/>
          <w:lang w:val="es-ES"/>
        </w:rPr>
        <w:t xml:space="preserve"> el Fondo de Redistribución del Ingreso tienen una participac</w:t>
      </w:r>
      <w:r w:rsidR="00D5157C" w:rsidRPr="00D5157C">
        <w:rPr>
          <w:rFonts w:ascii="Century Gothic" w:hAnsi="Century Gothic"/>
          <w:lang w:val="es-ES"/>
        </w:rPr>
        <w:t xml:space="preserve">ión </w:t>
      </w:r>
      <w:r w:rsidR="003763EF" w:rsidRPr="00D5157C">
        <w:rPr>
          <w:rFonts w:ascii="Century Gothic" w:hAnsi="Century Gothic"/>
          <w:lang w:val="es-ES"/>
        </w:rPr>
        <w:t>del 2 por ciento en el presupuesto, corresponden a sistema general de participaciones agua potable y saneamiento básico</w:t>
      </w:r>
      <w:r w:rsidR="00D5157C" w:rsidRPr="00D5157C">
        <w:rPr>
          <w:rFonts w:ascii="Century Gothic" w:hAnsi="Century Gothic"/>
          <w:lang w:val="es-ES"/>
        </w:rPr>
        <w:t>,</w:t>
      </w:r>
      <w:r w:rsidR="003763EF" w:rsidRPr="00D5157C">
        <w:rPr>
          <w:rFonts w:ascii="Century Gothic" w:hAnsi="Century Gothic"/>
          <w:lang w:val="es-ES"/>
        </w:rPr>
        <w:t xml:space="preserve"> con un incremento del 40 por ciento, estos recursos se destinan al cubrimiento de los subsidios en aseo, acueducto y alcantarillado, los valores de las contribuciones se incrementan en el 10 por ciento</w:t>
      </w:r>
    </w:p>
    <w:p w14:paraId="1FE4272F" w14:textId="2E6DBD9F" w:rsidR="008818FA" w:rsidRPr="00D5157C" w:rsidRDefault="008818FA" w:rsidP="008818FA">
      <w:pPr>
        <w:spacing w:after="0"/>
        <w:jc w:val="center"/>
        <w:rPr>
          <w:rFonts w:ascii="Century Gothic" w:hAnsi="Century Gothic"/>
          <w:lang w:val="es-ES"/>
        </w:rPr>
      </w:pPr>
      <w:bookmarkStart w:id="85" w:name="_Toc532570535"/>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44</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 xml:space="preserve">Comparativo presupuesto inicial Fondo de Redistribución del Ingresos 2018 - 2019 </w:t>
      </w:r>
      <w:r w:rsidRPr="00D5157C">
        <w:rPr>
          <w:rFonts w:ascii="Century Gothic" w:hAnsi="Century Gothic"/>
          <w:lang w:val="es-ES"/>
        </w:rPr>
        <w:t>(millones de pesos)</w:t>
      </w:r>
      <w:bookmarkEnd w:id="85"/>
    </w:p>
    <w:tbl>
      <w:tblPr>
        <w:tblW w:w="8637" w:type="dxa"/>
        <w:tblCellMar>
          <w:left w:w="70" w:type="dxa"/>
          <w:right w:w="70" w:type="dxa"/>
        </w:tblCellMar>
        <w:tblLook w:val="04A0" w:firstRow="1" w:lastRow="0" w:firstColumn="1" w:lastColumn="0" w:noHBand="0" w:noVBand="1"/>
      </w:tblPr>
      <w:tblGrid>
        <w:gridCol w:w="4465"/>
        <w:gridCol w:w="1551"/>
        <w:gridCol w:w="1425"/>
        <w:gridCol w:w="1196"/>
      </w:tblGrid>
      <w:tr w:rsidR="008818FA" w:rsidRPr="002E7971" w14:paraId="2D8189F6" w14:textId="77777777" w:rsidTr="002E7971">
        <w:trPr>
          <w:trHeight w:val="20"/>
          <w:tblHeader/>
        </w:trPr>
        <w:tc>
          <w:tcPr>
            <w:tcW w:w="4465"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0EBFF28B" w14:textId="77777777" w:rsidR="008818FA" w:rsidRPr="002E7971" w:rsidRDefault="008818FA" w:rsidP="00FE59EC">
            <w:pPr>
              <w:spacing w:after="0" w:line="240" w:lineRule="auto"/>
              <w:jc w:val="center"/>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Concepto</w:t>
            </w:r>
          </w:p>
        </w:tc>
        <w:tc>
          <w:tcPr>
            <w:tcW w:w="1551" w:type="dxa"/>
            <w:tcBorders>
              <w:top w:val="single" w:sz="4" w:space="0" w:color="auto"/>
              <w:left w:val="nil"/>
              <w:bottom w:val="single" w:sz="4" w:space="0" w:color="auto"/>
              <w:right w:val="single" w:sz="4" w:space="0" w:color="auto"/>
            </w:tcBorders>
            <w:shd w:val="clear" w:color="auto" w:fill="C4D79B"/>
            <w:vAlign w:val="center"/>
            <w:hideMark/>
          </w:tcPr>
          <w:p w14:paraId="74C8885F" w14:textId="77777777" w:rsidR="008818FA" w:rsidRPr="002E7971" w:rsidRDefault="008818FA" w:rsidP="00FE59EC">
            <w:pPr>
              <w:spacing w:after="0" w:line="240" w:lineRule="auto"/>
              <w:jc w:val="center"/>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Presupuesto inicial 2018</w:t>
            </w:r>
          </w:p>
        </w:tc>
        <w:tc>
          <w:tcPr>
            <w:tcW w:w="1425" w:type="dxa"/>
            <w:tcBorders>
              <w:top w:val="single" w:sz="4" w:space="0" w:color="auto"/>
              <w:left w:val="nil"/>
              <w:bottom w:val="single" w:sz="4" w:space="0" w:color="auto"/>
              <w:right w:val="single" w:sz="4" w:space="0" w:color="auto"/>
            </w:tcBorders>
            <w:shd w:val="clear" w:color="auto" w:fill="C4D79B"/>
            <w:vAlign w:val="center"/>
            <w:hideMark/>
          </w:tcPr>
          <w:p w14:paraId="4C24A876" w14:textId="77777777" w:rsidR="008818FA" w:rsidRPr="002E7971" w:rsidRDefault="008818FA" w:rsidP="00FE59EC">
            <w:pPr>
              <w:spacing w:after="0" w:line="240" w:lineRule="auto"/>
              <w:jc w:val="center"/>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Presupuesto inicial 2019</w:t>
            </w:r>
          </w:p>
        </w:tc>
        <w:tc>
          <w:tcPr>
            <w:tcW w:w="1196" w:type="dxa"/>
            <w:tcBorders>
              <w:top w:val="single" w:sz="4" w:space="0" w:color="auto"/>
              <w:left w:val="nil"/>
              <w:bottom w:val="single" w:sz="4" w:space="0" w:color="auto"/>
              <w:right w:val="single" w:sz="4" w:space="0" w:color="auto"/>
            </w:tcBorders>
            <w:shd w:val="clear" w:color="auto" w:fill="C4D79B"/>
            <w:noWrap/>
            <w:vAlign w:val="center"/>
            <w:hideMark/>
          </w:tcPr>
          <w:p w14:paraId="355F8BC3" w14:textId="77777777" w:rsidR="008818FA" w:rsidRPr="002E7971" w:rsidRDefault="008818FA" w:rsidP="00FE59EC">
            <w:pPr>
              <w:spacing w:after="0" w:line="240" w:lineRule="auto"/>
              <w:jc w:val="center"/>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Variación %</w:t>
            </w:r>
          </w:p>
        </w:tc>
      </w:tr>
      <w:tr w:rsidR="003763EF" w:rsidRPr="002E7971" w14:paraId="366D8F99" w14:textId="77777777" w:rsidTr="002E7971">
        <w:trPr>
          <w:trHeight w:val="20"/>
        </w:trPr>
        <w:tc>
          <w:tcPr>
            <w:tcW w:w="4465" w:type="dxa"/>
            <w:tcBorders>
              <w:top w:val="nil"/>
              <w:left w:val="single" w:sz="8" w:space="0" w:color="auto"/>
              <w:bottom w:val="single" w:sz="4" w:space="0" w:color="auto"/>
              <w:right w:val="single" w:sz="4" w:space="0" w:color="auto"/>
            </w:tcBorders>
            <w:vAlign w:val="center"/>
            <w:hideMark/>
          </w:tcPr>
          <w:p w14:paraId="5D967F34" w14:textId="2B4A76E9" w:rsidR="003763EF" w:rsidRPr="002E7971" w:rsidRDefault="003763EF" w:rsidP="00FE59EC">
            <w:pPr>
              <w:spacing w:after="0" w:line="240" w:lineRule="auto"/>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Ingresos Corrientes</w:t>
            </w:r>
          </w:p>
        </w:tc>
        <w:tc>
          <w:tcPr>
            <w:tcW w:w="1551" w:type="dxa"/>
            <w:tcBorders>
              <w:top w:val="nil"/>
              <w:left w:val="nil"/>
              <w:bottom w:val="single" w:sz="4" w:space="0" w:color="auto"/>
              <w:right w:val="single" w:sz="4" w:space="0" w:color="auto"/>
            </w:tcBorders>
            <w:noWrap/>
            <w:vAlign w:val="center"/>
          </w:tcPr>
          <w:p w14:paraId="719AC9C0" w14:textId="055911E1" w:rsidR="003763EF" w:rsidRPr="002E7971" w:rsidRDefault="003763EF" w:rsidP="002E7971">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12</w:t>
            </w:r>
            <w:r w:rsidR="002E7971">
              <w:rPr>
                <w:rFonts w:ascii="Century Gothic" w:eastAsia="Times New Roman" w:hAnsi="Century Gothic" w:cs="Arial"/>
                <w:color w:val="000000"/>
                <w:sz w:val="20"/>
                <w:szCs w:val="20"/>
                <w:lang w:val="es-ES"/>
              </w:rPr>
              <w:t>.</w:t>
            </w:r>
            <w:r w:rsidRPr="002E7971">
              <w:rPr>
                <w:rFonts w:ascii="Century Gothic" w:eastAsia="Times New Roman" w:hAnsi="Century Gothic" w:cs="Arial"/>
                <w:color w:val="000000"/>
                <w:sz w:val="20"/>
                <w:szCs w:val="20"/>
                <w:lang w:val="es-ES"/>
              </w:rPr>
              <w:t xml:space="preserve">641 </w:t>
            </w:r>
          </w:p>
        </w:tc>
        <w:tc>
          <w:tcPr>
            <w:tcW w:w="1425" w:type="dxa"/>
            <w:tcBorders>
              <w:top w:val="nil"/>
              <w:left w:val="nil"/>
              <w:bottom w:val="single" w:sz="4" w:space="0" w:color="auto"/>
              <w:right w:val="single" w:sz="4" w:space="0" w:color="auto"/>
            </w:tcBorders>
            <w:noWrap/>
            <w:vAlign w:val="center"/>
          </w:tcPr>
          <w:p w14:paraId="5A3ABF1D" w14:textId="3673CA10" w:rsidR="003763EF" w:rsidRPr="002E7971" w:rsidRDefault="003763EF" w:rsidP="002E7971">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15</w:t>
            </w:r>
            <w:r w:rsidR="002E7971">
              <w:rPr>
                <w:rFonts w:ascii="Century Gothic" w:eastAsia="Times New Roman" w:hAnsi="Century Gothic" w:cs="Arial"/>
                <w:color w:val="000000"/>
                <w:sz w:val="20"/>
                <w:szCs w:val="20"/>
                <w:lang w:val="es-ES"/>
              </w:rPr>
              <w:t>.</w:t>
            </w:r>
            <w:r w:rsidRPr="002E7971">
              <w:rPr>
                <w:rFonts w:ascii="Century Gothic" w:eastAsia="Times New Roman" w:hAnsi="Century Gothic" w:cs="Arial"/>
                <w:color w:val="000000"/>
                <w:sz w:val="20"/>
                <w:szCs w:val="20"/>
                <w:lang w:val="es-ES"/>
              </w:rPr>
              <w:t xml:space="preserve">566 </w:t>
            </w:r>
          </w:p>
        </w:tc>
        <w:tc>
          <w:tcPr>
            <w:tcW w:w="1196" w:type="dxa"/>
            <w:tcBorders>
              <w:top w:val="nil"/>
              <w:left w:val="nil"/>
              <w:bottom w:val="single" w:sz="4" w:space="0" w:color="auto"/>
              <w:right w:val="single" w:sz="4" w:space="0" w:color="auto"/>
            </w:tcBorders>
            <w:noWrap/>
            <w:vAlign w:val="center"/>
          </w:tcPr>
          <w:p w14:paraId="1AC298D3" w14:textId="001C0C06" w:rsidR="003763EF" w:rsidRPr="002E7971" w:rsidRDefault="003763EF" w:rsidP="004F5BDD">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23</w:t>
            </w:r>
          </w:p>
        </w:tc>
      </w:tr>
      <w:tr w:rsidR="003763EF" w:rsidRPr="002E7971" w14:paraId="76F71B97" w14:textId="77777777" w:rsidTr="002E7971">
        <w:trPr>
          <w:trHeight w:val="20"/>
        </w:trPr>
        <w:tc>
          <w:tcPr>
            <w:tcW w:w="4465" w:type="dxa"/>
            <w:tcBorders>
              <w:top w:val="nil"/>
              <w:left w:val="single" w:sz="8" w:space="0" w:color="auto"/>
              <w:bottom w:val="single" w:sz="4" w:space="0" w:color="auto"/>
              <w:right w:val="single" w:sz="4" w:space="0" w:color="auto"/>
            </w:tcBorders>
            <w:vAlign w:val="center"/>
          </w:tcPr>
          <w:p w14:paraId="4D3F8DD1" w14:textId="3015FD95" w:rsidR="003763EF" w:rsidRPr="002E7971" w:rsidRDefault="003763EF" w:rsidP="00FE59EC">
            <w:pPr>
              <w:spacing w:after="0" w:line="240" w:lineRule="auto"/>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SGP Agua Potable y Saneamiento Básico</w:t>
            </w:r>
          </w:p>
        </w:tc>
        <w:tc>
          <w:tcPr>
            <w:tcW w:w="1551" w:type="dxa"/>
            <w:tcBorders>
              <w:top w:val="nil"/>
              <w:left w:val="nil"/>
              <w:bottom w:val="single" w:sz="4" w:space="0" w:color="auto"/>
              <w:right w:val="single" w:sz="4" w:space="0" w:color="auto"/>
            </w:tcBorders>
            <w:noWrap/>
            <w:vAlign w:val="center"/>
          </w:tcPr>
          <w:p w14:paraId="1A307986" w14:textId="152E9D1F" w:rsidR="003763EF" w:rsidRPr="002E7971" w:rsidRDefault="002E7971" w:rsidP="00851090">
            <w:pPr>
              <w:spacing w:after="0" w:line="240" w:lineRule="auto"/>
              <w:jc w:val="right"/>
              <w:rPr>
                <w:rFonts w:ascii="Century Gothic" w:eastAsia="Times New Roman" w:hAnsi="Century Gothic" w:cs="Arial"/>
                <w:color w:val="000000"/>
                <w:sz w:val="20"/>
                <w:szCs w:val="20"/>
                <w:lang w:val="es-ES"/>
              </w:rPr>
            </w:pPr>
            <w:r>
              <w:rPr>
                <w:rFonts w:ascii="Century Gothic" w:eastAsia="Times New Roman" w:hAnsi="Century Gothic" w:cs="Arial"/>
                <w:color w:val="000000"/>
                <w:sz w:val="20"/>
                <w:szCs w:val="20"/>
                <w:lang w:val="es-ES"/>
              </w:rPr>
              <w:t>5.</w:t>
            </w:r>
            <w:r w:rsidR="003763EF" w:rsidRPr="002E7971">
              <w:rPr>
                <w:rFonts w:ascii="Century Gothic" w:eastAsia="Times New Roman" w:hAnsi="Century Gothic" w:cs="Arial"/>
                <w:color w:val="000000"/>
                <w:sz w:val="20"/>
                <w:szCs w:val="20"/>
                <w:lang w:val="es-ES"/>
              </w:rPr>
              <w:t xml:space="preserve">650 </w:t>
            </w:r>
          </w:p>
        </w:tc>
        <w:tc>
          <w:tcPr>
            <w:tcW w:w="1425" w:type="dxa"/>
            <w:tcBorders>
              <w:top w:val="nil"/>
              <w:left w:val="nil"/>
              <w:bottom w:val="single" w:sz="4" w:space="0" w:color="auto"/>
              <w:right w:val="single" w:sz="4" w:space="0" w:color="auto"/>
            </w:tcBorders>
            <w:noWrap/>
            <w:vAlign w:val="center"/>
          </w:tcPr>
          <w:p w14:paraId="50B2C10D" w14:textId="09DD4AFF" w:rsidR="003763EF" w:rsidRPr="002E7971" w:rsidRDefault="002E7971" w:rsidP="00851090">
            <w:pPr>
              <w:spacing w:after="0" w:line="240" w:lineRule="auto"/>
              <w:jc w:val="right"/>
              <w:rPr>
                <w:rFonts w:ascii="Century Gothic" w:eastAsia="Times New Roman" w:hAnsi="Century Gothic" w:cs="Arial"/>
                <w:color w:val="000000"/>
                <w:sz w:val="20"/>
                <w:szCs w:val="20"/>
                <w:lang w:val="es-ES"/>
              </w:rPr>
            </w:pPr>
            <w:r>
              <w:rPr>
                <w:rFonts w:ascii="Century Gothic" w:eastAsia="Times New Roman" w:hAnsi="Century Gothic" w:cs="Arial"/>
                <w:color w:val="000000"/>
                <w:sz w:val="20"/>
                <w:szCs w:val="20"/>
                <w:lang w:val="es-ES"/>
              </w:rPr>
              <w:t>7.</w:t>
            </w:r>
            <w:r w:rsidR="003763EF" w:rsidRPr="002E7971">
              <w:rPr>
                <w:rFonts w:ascii="Century Gothic" w:eastAsia="Times New Roman" w:hAnsi="Century Gothic" w:cs="Arial"/>
                <w:color w:val="000000"/>
                <w:sz w:val="20"/>
                <w:szCs w:val="20"/>
                <w:lang w:val="es-ES"/>
              </w:rPr>
              <w:t>894</w:t>
            </w:r>
          </w:p>
        </w:tc>
        <w:tc>
          <w:tcPr>
            <w:tcW w:w="1196" w:type="dxa"/>
            <w:tcBorders>
              <w:top w:val="nil"/>
              <w:left w:val="nil"/>
              <w:bottom w:val="single" w:sz="4" w:space="0" w:color="auto"/>
              <w:right w:val="single" w:sz="4" w:space="0" w:color="auto"/>
            </w:tcBorders>
            <w:noWrap/>
            <w:vAlign w:val="center"/>
          </w:tcPr>
          <w:p w14:paraId="74A4F27A" w14:textId="79C950FC" w:rsidR="003763EF" w:rsidRPr="002E7971" w:rsidRDefault="003763EF" w:rsidP="004F5BDD">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40</w:t>
            </w:r>
          </w:p>
        </w:tc>
      </w:tr>
      <w:tr w:rsidR="003763EF" w:rsidRPr="002E7971" w14:paraId="1E6C13E2" w14:textId="77777777" w:rsidTr="002E7971">
        <w:trPr>
          <w:trHeight w:val="20"/>
        </w:trPr>
        <w:tc>
          <w:tcPr>
            <w:tcW w:w="4465" w:type="dxa"/>
            <w:tcBorders>
              <w:top w:val="nil"/>
              <w:left w:val="single" w:sz="8" w:space="0" w:color="auto"/>
              <w:bottom w:val="single" w:sz="4" w:space="0" w:color="auto"/>
              <w:right w:val="single" w:sz="4" w:space="0" w:color="auto"/>
            </w:tcBorders>
            <w:vAlign w:val="center"/>
          </w:tcPr>
          <w:p w14:paraId="39FD1B56" w14:textId="7287371F" w:rsidR="003763EF" w:rsidRPr="002E7971" w:rsidRDefault="003763EF" w:rsidP="008818FA">
            <w:pPr>
              <w:spacing w:after="0" w:line="240" w:lineRule="auto"/>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Contribuciones</w:t>
            </w:r>
          </w:p>
        </w:tc>
        <w:tc>
          <w:tcPr>
            <w:tcW w:w="1551" w:type="dxa"/>
            <w:tcBorders>
              <w:top w:val="nil"/>
              <w:left w:val="nil"/>
              <w:bottom w:val="single" w:sz="4" w:space="0" w:color="auto"/>
              <w:right w:val="single" w:sz="4" w:space="0" w:color="auto"/>
            </w:tcBorders>
            <w:noWrap/>
            <w:vAlign w:val="center"/>
          </w:tcPr>
          <w:p w14:paraId="3E0E936D" w14:textId="29EF74B8" w:rsidR="003763EF" w:rsidRPr="002E7971" w:rsidRDefault="002E7971" w:rsidP="00851090">
            <w:pPr>
              <w:spacing w:after="0" w:line="240" w:lineRule="auto"/>
              <w:jc w:val="right"/>
              <w:rPr>
                <w:rFonts w:ascii="Century Gothic" w:eastAsia="Times New Roman" w:hAnsi="Century Gothic" w:cs="Arial"/>
                <w:color w:val="000000"/>
                <w:sz w:val="20"/>
                <w:szCs w:val="20"/>
                <w:lang w:val="es-ES"/>
              </w:rPr>
            </w:pPr>
            <w:r>
              <w:rPr>
                <w:rFonts w:ascii="Century Gothic" w:eastAsia="Times New Roman" w:hAnsi="Century Gothic" w:cs="Arial"/>
                <w:color w:val="000000"/>
                <w:sz w:val="20"/>
                <w:szCs w:val="20"/>
                <w:lang w:val="es-ES"/>
              </w:rPr>
              <w:t>6.</w:t>
            </w:r>
            <w:r w:rsidR="003763EF" w:rsidRPr="002E7971">
              <w:rPr>
                <w:rFonts w:ascii="Century Gothic" w:eastAsia="Times New Roman" w:hAnsi="Century Gothic" w:cs="Arial"/>
                <w:color w:val="000000"/>
                <w:sz w:val="20"/>
                <w:szCs w:val="20"/>
                <w:lang w:val="es-ES"/>
              </w:rPr>
              <w:t xml:space="preserve">991 </w:t>
            </w:r>
          </w:p>
        </w:tc>
        <w:tc>
          <w:tcPr>
            <w:tcW w:w="1425" w:type="dxa"/>
            <w:tcBorders>
              <w:top w:val="nil"/>
              <w:left w:val="nil"/>
              <w:bottom w:val="single" w:sz="4" w:space="0" w:color="auto"/>
              <w:right w:val="single" w:sz="4" w:space="0" w:color="auto"/>
            </w:tcBorders>
            <w:noWrap/>
            <w:vAlign w:val="center"/>
          </w:tcPr>
          <w:p w14:paraId="503A86A0" w14:textId="6017A16C" w:rsidR="003763EF" w:rsidRPr="002E7971" w:rsidRDefault="002E7971" w:rsidP="00851090">
            <w:pPr>
              <w:spacing w:after="0" w:line="240" w:lineRule="auto"/>
              <w:jc w:val="right"/>
              <w:rPr>
                <w:rFonts w:ascii="Century Gothic" w:eastAsia="Times New Roman" w:hAnsi="Century Gothic" w:cs="Arial"/>
                <w:color w:val="000000"/>
                <w:sz w:val="20"/>
                <w:szCs w:val="20"/>
                <w:lang w:val="es-ES"/>
              </w:rPr>
            </w:pPr>
            <w:r>
              <w:rPr>
                <w:rFonts w:ascii="Century Gothic" w:eastAsia="Times New Roman" w:hAnsi="Century Gothic" w:cs="Arial"/>
                <w:color w:val="000000"/>
                <w:sz w:val="20"/>
                <w:szCs w:val="20"/>
                <w:lang w:val="es-ES"/>
              </w:rPr>
              <w:t>7.</w:t>
            </w:r>
            <w:r w:rsidR="003763EF" w:rsidRPr="002E7971">
              <w:rPr>
                <w:rFonts w:ascii="Century Gothic" w:eastAsia="Times New Roman" w:hAnsi="Century Gothic" w:cs="Arial"/>
                <w:color w:val="000000"/>
                <w:sz w:val="20"/>
                <w:szCs w:val="20"/>
                <w:lang w:val="es-ES"/>
              </w:rPr>
              <w:t>673</w:t>
            </w:r>
          </w:p>
        </w:tc>
        <w:tc>
          <w:tcPr>
            <w:tcW w:w="1196" w:type="dxa"/>
            <w:tcBorders>
              <w:top w:val="nil"/>
              <w:left w:val="nil"/>
              <w:bottom w:val="single" w:sz="4" w:space="0" w:color="auto"/>
              <w:right w:val="single" w:sz="4" w:space="0" w:color="auto"/>
            </w:tcBorders>
            <w:noWrap/>
            <w:vAlign w:val="center"/>
          </w:tcPr>
          <w:p w14:paraId="704B93A5" w14:textId="21EBC7D8" w:rsidR="003763EF" w:rsidRPr="002E7971" w:rsidRDefault="003763EF" w:rsidP="004F5BDD">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10</w:t>
            </w:r>
          </w:p>
        </w:tc>
      </w:tr>
      <w:tr w:rsidR="003763EF" w:rsidRPr="002E7971" w14:paraId="1C88F40B" w14:textId="77777777" w:rsidTr="002E7971">
        <w:trPr>
          <w:trHeight w:val="20"/>
        </w:trPr>
        <w:tc>
          <w:tcPr>
            <w:tcW w:w="4465" w:type="dxa"/>
            <w:tcBorders>
              <w:top w:val="nil"/>
              <w:left w:val="single" w:sz="8" w:space="0" w:color="auto"/>
              <w:bottom w:val="single" w:sz="4" w:space="0" w:color="auto"/>
              <w:right w:val="single" w:sz="4" w:space="0" w:color="auto"/>
            </w:tcBorders>
            <w:vAlign w:val="center"/>
          </w:tcPr>
          <w:p w14:paraId="265C48C5" w14:textId="5CE62A9F" w:rsidR="003763EF" w:rsidRPr="002E7971" w:rsidRDefault="003763EF" w:rsidP="00FE59EC">
            <w:pPr>
              <w:spacing w:after="0" w:line="240" w:lineRule="auto"/>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Recursos de capital</w:t>
            </w:r>
          </w:p>
        </w:tc>
        <w:tc>
          <w:tcPr>
            <w:tcW w:w="1551" w:type="dxa"/>
            <w:tcBorders>
              <w:top w:val="nil"/>
              <w:left w:val="nil"/>
              <w:bottom w:val="single" w:sz="4" w:space="0" w:color="auto"/>
              <w:right w:val="single" w:sz="4" w:space="0" w:color="auto"/>
            </w:tcBorders>
            <w:noWrap/>
            <w:vAlign w:val="center"/>
          </w:tcPr>
          <w:p w14:paraId="3D607CD7" w14:textId="1ECC2260" w:rsidR="003763EF" w:rsidRPr="002E7971" w:rsidRDefault="003763EF" w:rsidP="00851090">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 xml:space="preserve">-   </w:t>
            </w:r>
          </w:p>
        </w:tc>
        <w:tc>
          <w:tcPr>
            <w:tcW w:w="1425" w:type="dxa"/>
            <w:tcBorders>
              <w:top w:val="nil"/>
              <w:left w:val="nil"/>
              <w:bottom w:val="single" w:sz="4" w:space="0" w:color="auto"/>
              <w:right w:val="single" w:sz="4" w:space="0" w:color="auto"/>
            </w:tcBorders>
            <w:noWrap/>
            <w:vAlign w:val="center"/>
          </w:tcPr>
          <w:p w14:paraId="39A224B0" w14:textId="3D871C7C" w:rsidR="003763EF" w:rsidRPr="002E7971" w:rsidRDefault="003763EF" w:rsidP="00851090">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 </w:t>
            </w:r>
          </w:p>
        </w:tc>
        <w:tc>
          <w:tcPr>
            <w:tcW w:w="1196" w:type="dxa"/>
            <w:tcBorders>
              <w:top w:val="nil"/>
              <w:left w:val="nil"/>
              <w:bottom w:val="single" w:sz="4" w:space="0" w:color="auto"/>
              <w:right w:val="single" w:sz="4" w:space="0" w:color="auto"/>
            </w:tcBorders>
            <w:noWrap/>
            <w:vAlign w:val="center"/>
          </w:tcPr>
          <w:p w14:paraId="1C6652F3" w14:textId="11C8D27C" w:rsidR="003763EF" w:rsidRPr="002E7971" w:rsidRDefault="003763EF" w:rsidP="00851090">
            <w:pPr>
              <w:spacing w:after="0" w:line="240" w:lineRule="auto"/>
              <w:jc w:val="right"/>
              <w:rPr>
                <w:rFonts w:ascii="Century Gothic" w:eastAsia="Times New Roman" w:hAnsi="Century Gothic" w:cs="Arial"/>
                <w:color w:val="000000"/>
                <w:sz w:val="20"/>
                <w:szCs w:val="20"/>
                <w:lang w:val="es-ES"/>
              </w:rPr>
            </w:pPr>
            <w:r w:rsidRPr="002E7971">
              <w:rPr>
                <w:rFonts w:ascii="Century Gothic" w:eastAsia="Times New Roman" w:hAnsi="Century Gothic" w:cs="Arial"/>
                <w:color w:val="000000"/>
                <w:sz w:val="20"/>
                <w:szCs w:val="20"/>
                <w:lang w:val="es-ES"/>
              </w:rPr>
              <w:t> </w:t>
            </w:r>
          </w:p>
        </w:tc>
      </w:tr>
      <w:tr w:rsidR="003763EF" w:rsidRPr="002E7971" w14:paraId="788B7E30" w14:textId="77777777" w:rsidTr="002E7971">
        <w:trPr>
          <w:trHeight w:val="20"/>
        </w:trPr>
        <w:tc>
          <w:tcPr>
            <w:tcW w:w="4465" w:type="dxa"/>
            <w:tcBorders>
              <w:top w:val="nil"/>
              <w:left w:val="single" w:sz="8" w:space="0" w:color="auto"/>
              <w:bottom w:val="single" w:sz="8" w:space="0" w:color="auto"/>
              <w:right w:val="single" w:sz="4" w:space="0" w:color="auto"/>
            </w:tcBorders>
            <w:shd w:val="clear" w:color="auto" w:fill="C4D79B"/>
            <w:vAlign w:val="center"/>
            <w:hideMark/>
          </w:tcPr>
          <w:p w14:paraId="24D020D2" w14:textId="053D89D1" w:rsidR="003763EF" w:rsidRPr="002E7971" w:rsidRDefault="003763EF" w:rsidP="00FE59EC">
            <w:pPr>
              <w:spacing w:after="0" w:line="240" w:lineRule="auto"/>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Total</w:t>
            </w:r>
          </w:p>
        </w:tc>
        <w:tc>
          <w:tcPr>
            <w:tcW w:w="1551" w:type="dxa"/>
            <w:tcBorders>
              <w:top w:val="nil"/>
              <w:left w:val="nil"/>
              <w:bottom w:val="single" w:sz="8" w:space="0" w:color="auto"/>
              <w:right w:val="single" w:sz="4" w:space="0" w:color="auto"/>
            </w:tcBorders>
            <w:shd w:val="clear" w:color="auto" w:fill="C4D79B"/>
            <w:noWrap/>
            <w:vAlign w:val="bottom"/>
          </w:tcPr>
          <w:p w14:paraId="5F87E05E" w14:textId="52114CCB" w:rsidR="003763EF" w:rsidRPr="002E7971" w:rsidRDefault="002E7971" w:rsidP="00FE59EC">
            <w:pPr>
              <w:spacing w:after="0" w:line="240" w:lineRule="auto"/>
              <w:jc w:val="right"/>
              <w:rPr>
                <w:rFonts w:ascii="Century Gothic" w:eastAsia="Times New Roman" w:hAnsi="Century Gothic" w:cs="Arial"/>
                <w:b/>
                <w:color w:val="000000"/>
                <w:sz w:val="20"/>
                <w:szCs w:val="20"/>
                <w:lang w:val="es-ES"/>
              </w:rPr>
            </w:pPr>
            <w:r>
              <w:rPr>
                <w:rFonts w:ascii="Century Gothic" w:eastAsia="Times New Roman" w:hAnsi="Century Gothic" w:cs="Arial"/>
                <w:b/>
                <w:color w:val="000000"/>
                <w:sz w:val="20"/>
                <w:szCs w:val="20"/>
                <w:lang w:val="es-ES"/>
              </w:rPr>
              <w:t>12.</w:t>
            </w:r>
            <w:r w:rsidR="003763EF" w:rsidRPr="002E7971">
              <w:rPr>
                <w:rFonts w:ascii="Century Gothic" w:eastAsia="Times New Roman" w:hAnsi="Century Gothic" w:cs="Arial"/>
                <w:b/>
                <w:color w:val="000000"/>
                <w:sz w:val="20"/>
                <w:szCs w:val="20"/>
                <w:lang w:val="es-ES"/>
              </w:rPr>
              <w:t xml:space="preserve">640 </w:t>
            </w:r>
          </w:p>
        </w:tc>
        <w:tc>
          <w:tcPr>
            <w:tcW w:w="1425" w:type="dxa"/>
            <w:tcBorders>
              <w:top w:val="nil"/>
              <w:left w:val="nil"/>
              <w:bottom w:val="single" w:sz="8" w:space="0" w:color="auto"/>
              <w:right w:val="single" w:sz="4" w:space="0" w:color="auto"/>
            </w:tcBorders>
            <w:shd w:val="clear" w:color="auto" w:fill="C4D79B"/>
            <w:noWrap/>
            <w:vAlign w:val="bottom"/>
          </w:tcPr>
          <w:p w14:paraId="7AB76C4F" w14:textId="40ABBE07" w:rsidR="003763EF" w:rsidRPr="002E7971" w:rsidRDefault="002E7971" w:rsidP="00FE59EC">
            <w:pPr>
              <w:spacing w:after="0" w:line="240" w:lineRule="auto"/>
              <w:jc w:val="right"/>
              <w:rPr>
                <w:rFonts w:ascii="Century Gothic" w:eastAsia="Times New Roman" w:hAnsi="Century Gothic" w:cs="Arial"/>
                <w:b/>
                <w:color w:val="000000"/>
                <w:sz w:val="20"/>
                <w:szCs w:val="20"/>
                <w:lang w:val="es-ES"/>
              </w:rPr>
            </w:pPr>
            <w:r>
              <w:rPr>
                <w:rFonts w:ascii="Century Gothic" w:eastAsia="Times New Roman" w:hAnsi="Century Gothic" w:cs="Arial"/>
                <w:b/>
                <w:color w:val="000000"/>
                <w:sz w:val="20"/>
                <w:szCs w:val="20"/>
                <w:lang w:val="es-ES"/>
              </w:rPr>
              <w:t>15.</w:t>
            </w:r>
            <w:r w:rsidR="003763EF" w:rsidRPr="002E7971">
              <w:rPr>
                <w:rFonts w:ascii="Century Gothic" w:eastAsia="Times New Roman" w:hAnsi="Century Gothic" w:cs="Arial"/>
                <w:b/>
                <w:color w:val="000000"/>
                <w:sz w:val="20"/>
                <w:szCs w:val="20"/>
                <w:lang w:val="es-ES"/>
              </w:rPr>
              <w:t xml:space="preserve">566 </w:t>
            </w:r>
          </w:p>
        </w:tc>
        <w:tc>
          <w:tcPr>
            <w:tcW w:w="1196" w:type="dxa"/>
            <w:tcBorders>
              <w:top w:val="nil"/>
              <w:left w:val="nil"/>
              <w:bottom w:val="single" w:sz="4" w:space="0" w:color="auto"/>
              <w:right w:val="single" w:sz="4" w:space="0" w:color="auto"/>
            </w:tcBorders>
            <w:shd w:val="clear" w:color="auto" w:fill="C4D79B"/>
            <w:noWrap/>
            <w:vAlign w:val="bottom"/>
          </w:tcPr>
          <w:p w14:paraId="69C2FDB2" w14:textId="769DD77B" w:rsidR="003763EF" w:rsidRPr="002E7971" w:rsidRDefault="003763EF" w:rsidP="004F5BDD">
            <w:pPr>
              <w:spacing w:after="0" w:line="240" w:lineRule="auto"/>
              <w:jc w:val="right"/>
              <w:rPr>
                <w:rFonts w:ascii="Century Gothic" w:eastAsia="Times New Roman" w:hAnsi="Century Gothic" w:cs="Arial"/>
                <w:b/>
                <w:color w:val="000000"/>
                <w:sz w:val="20"/>
                <w:szCs w:val="20"/>
                <w:lang w:val="es-ES"/>
              </w:rPr>
            </w:pPr>
            <w:r w:rsidRPr="002E7971">
              <w:rPr>
                <w:rFonts w:ascii="Century Gothic" w:eastAsia="Times New Roman" w:hAnsi="Century Gothic" w:cs="Arial"/>
                <w:b/>
                <w:color w:val="000000"/>
                <w:sz w:val="20"/>
                <w:szCs w:val="20"/>
                <w:lang w:val="es-ES"/>
              </w:rPr>
              <w:t>23</w:t>
            </w:r>
          </w:p>
        </w:tc>
      </w:tr>
    </w:tbl>
    <w:p w14:paraId="57308D34" w14:textId="1A74E031" w:rsidR="008818FA" w:rsidRPr="00D5157C" w:rsidRDefault="008818FA" w:rsidP="008818FA">
      <w:pPr>
        <w:jc w:val="center"/>
        <w:rPr>
          <w:rFonts w:ascii="Century Gothic" w:hAnsi="Century Gothic"/>
          <w:sz w:val="20"/>
          <w:lang w:val="es-ES"/>
        </w:rPr>
      </w:pPr>
      <w:r w:rsidRPr="00D5157C">
        <w:rPr>
          <w:rFonts w:ascii="Century Gothic" w:hAnsi="Century Gothic"/>
          <w:sz w:val="20"/>
          <w:lang w:val="es-ES"/>
        </w:rPr>
        <w:t>Fuente: Secretaría de Hacienda, 2018</w:t>
      </w:r>
    </w:p>
    <w:p w14:paraId="142F0706" w14:textId="79F1AFD4" w:rsidR="00341016" w:rsidRDefault="00E6494E" w:rsidP="002E7971">
      <w:pPr>
        <w:jc w:val="both"/>
        <w:rPr>
          <w:rFonts w:ascii="Century Gothic" w:hAnsi="Century Gothic"/>
          <w:lang w:val="es-ES"/>
        </w:rPr>
      </w:pPr>
      <w:r w:rsidRPr="00CA56B0">
        <w:rPr>
          <w:rFonts w:ascii="Century Gothic" w:hAnsi="Century Gothic"/>
          <w:lang w:val="es-ES"/>
        </w:rPr>
        <w:t>Los ingresos del Fondo Local de Salud para la vigencia del 2019 se incrementan en un 6</w:t>
      </w:r>
      <w:r w:rsidR="00AA639F" w:rsidRPr="00CA56B0">
        <w:rPr>
          <w:rFonts w:ascii="Century Gothic" w:hAnsi="Century Gothic"/>
          <w:lang w:val="es-ES"/>
        </w:rPr>
        <w:t xml:space="preserve"> por ciento</w:t>
      </w:r>
      <w:r w:rsidRPr="00CA56B0">
        <w:rPr>
          <w:rFonts w:ascii="Century Gothic" w:hAnsi="Century Gothic"/>
          <w:lang w:val="es-ES"/>
        </w:rPr>
        <w:t xml:space="preserve">, se encuentra desagregado en cuatro cuentas tal como lo ordena la norma. </w:t>
      </w:r>
    </w:p>
    <w:p w14:paraId="7AC7B10E" w14:textId="5DDD771A" w:rsidR="00851090" w:rsidRPr="00D5157C" w:rsidRDefault="00851090" w:rsidP="00E6494E">
      <w:pPr>
        <w:spacing w:after="0"/>
        <w:jc w:val="center"/>
        <w:rPr>
          <w:rFonts w:ascii="Century Gothic" w:hAnsi="Century Gothic"/>
          <w:lang w:val="es-ES"/>
        </w:rPr>
      </w:pPr>
      <w:bookmarkStart w:id="86" w:name="_Toc532570536"/>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45</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 xml:space="preserve">Comparativo presupuesto inicial Fondo Local de Salud 2018 – 2019 </w:t>
      </w:r>
      <w:r w:rsidRPr="00D5157C">
        <w:rPr>
          <w:rFonts w:ascii="Century Gothic" w:hAnsi="Century Gothic"/>
          <w:lang w:val="es-ES"/>
        </w:rPr>
        <w:t>(millones de pesos)</w:t>
      </w:r>
      <w:bookmarkEnd w:id="86"/>
    </w:p>
    <w:tbl>
      <w:tblPr>
        <w:tblW w:w="8637" w:type="dxa"/>
        <w:jc w:val="center"/>
        <w:tblCellMar>
          <w:left w:w="70" w:type="dxa"/>
          <w:right w:w="70" w:type="dxa"/>
        </w:tblCellMar>
        <w:tblLook w:val="04A0" w:firstRow="1" w:lastRow="0" w:firstColumn="1" w:lastColumn="0" w:noHBand="0" w:noVBand="1"/>
      </w:tblPr>
      <w:tblGrid>
        <w:gridCol w:w="3728"/>
        <w:gridCol w:w="1587"/>
        <w:gridCol w:w="1956"/>
        <w:gridCol w:w="1366"/>
      </w:tblGrid>
      <w:tr w:rsidR="00851090" w:rsidRPr="00CA56B0" w14:paraId="419F3CE3" w14:textId="77777777" w:rsidTr="00851090">
        <w:trPr>
          <w:trHeight w:val="660"/>
          <w:jc w:val="center"/>
        </w:trPr>
        <w:tc>
          <w:tcPr>
            <w:tcW w:w="3728"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59E0696F" w14:textId="77777777" w:rsidR="00851090" w:rsidRPr="00CA56B0" w:rsidRDefault="00851090"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Concepto</w:t>
            </w:r>
          </w:p>
        </w:tc>
        <w:tc>
          <w:tcPr>
            <w:tcW w:w="1587" w:type="dxa"/>
            <w:tcBorders>
              <w:top w:val="single" w:sz="4" w:space="0" w:color="auto"/>
              <w:left w:val="nil"/>
              <w:bottom w:val="single" w:sz="4" w:space="0" w:color="auto"/>
              <w:right w:val="single" w:sz="4" w:space="0" w:color="auto"/>
            </w:tcBorders>
            <w:shd w:val="clear" w:color="auto" w:fill="C4D79B"/>
            <w:vAlign w:val="center"/>
            <w:hideMark/>
          </w:tcPr>
          <w:p w14:paraId="1139B133" w14:textId="77777777" w:rsidR="00851090" w:rsidRPr="00CA56B0" w:rsidRDefault="00851090"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2018</w:t>
            </w:r>
          </w:p>
        </w:tc>
        <w:tc>
          <w:tcPr>
            <w:tcW w:w="1956" w:type="dxa"/>
            <w:tcBorders>
              <w:top w:val="single" w:sz="4" w:space="0" w:color="auto"/>
              <w:left w:val="nil"/>
              <w:bottom w:val="single" w:sz="4" w:space="0" w:color="auto"/>
              <w:right w:val="single" w:sz="4" w:space="0" w:color="auto"/>
            </w:tcBorders>
            <w:shd w:val="clear" w:color="auto" w:fill="C4D79B"/>
            <w:vAlign w:val="center"/>
            <w:hideMark/>
          </w:tcPr>
          <w:p w14:paraId="6D4FBE40" w14:textId="77777777" w:rsidR="00851090" w:rsidRPr="00CA56B0" w:rsidRDefault="00851090"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2019</w:t>
            </w:r>
          </w:p>
        </w:tc>
        <w:tc>
          <w:tcPr>
            <w:tcW w:w="1366" w:type="dxa"/>
            <w:tcBorders>
              <w:top w:val="single" w:sz="4" w:space="0" w:color="auto"/>
              <w:left w:val="nil"/>
              <w:bottom w:val="single" w:sz="4" w:space="0" w:color="auto"/>
              <w:right w:val="single" w:sz="4" w:space="0" w:color="auto"/>
            </w:tcBorders>
            <w:shd w:val="clear" w:color="auto" w:fill="C4D79B"/>
            <w:noWrap/>
            <w:vAlign w:val="center"/>
            <w:hideMark/>
          </w:tcPr>
          <w:p w14:paraId="27429D74" w14:textId="77777777" w:rsidR="00851090" w:rsidRPr="00CA56B0" w:rsidRDefault="00851090" w:rsidP="00FE59EC">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Variación %</w:t>
            </w:r>
          </w:p>
        </w:tc>
      </w:tr>
    </w:tbl>
    <w:p w14:paraId="389CCECD" w14:textId="77777777" w:rsidR="00E74FB1" w:rsidRDefault="00E74FB1" w:rsidP="005A07E6">
      <w:pPr>
        <w:spacing w:after="0"/>
        <w:jc w:val="center"/>
        <w:rPr>
          <w:rFonts w:ascii="Century Gothic" w:hAnsi="Century Gothic"/>
          <w:lang w:val="es-ES"/>
        </w:rPr>
      </w:pPr>
      <w:r w:rsidRPr="00D5157C">
        <w:rPr>
          <w:rFonts w:ascii="Century Gothic" w:hAnsi="Century Gothic"/>
          <w:noProof/>
          <w:lang w:val="es-ES" w:eastAsia="es-ES"/>
        </w:rPr>
        <w:drawing>
          <wp:inline distT="0" distB="0" distL="0" distR="0" wp14:anchorId="7429ED8A" wp14:editId="7697CCE8">
            <wp:extent cx="5500352" cy="2339340"/>
            <wp:effectExtent l="0" t="0" r="5715" b="3810"/>
            <wp:docPr id="38" name="Imagen 38"/>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43">
                      <a:extLst>
                        <a:ext uri="{28A0092B-C50C-407E-A947-70E740481C1C}">
                          <a14:useLocalDpi xmlns:a14="http://schemas.microsoft.com/office/drawing/2010/main" val="0"/>
                        </a:ext>
                      </a:extLst>
                    </a:blip>
                    <a:srcRect t="7548" b="50090"/>
                    <a:stretch/>
                  </pic:blipFill>
                  <pic:spPr bwMode="auto">
                    <a:xfrm>
                      <a:off x="0" y="0"/>
                      <a:ext cx="5497881" cy="2338289"/>
                    </a:xfrm>
                    <a:prstGeom prst="rect">
                      <a:avLst/>
                    </a:prstGeom>
                    <a:noFill/>
                    <a:ln>
                      <a:noFill/>
                    </a:ln>
                    <a:extLst>
                      <a:ext uri="{53640926-AAD7-44D8-BBD7-CCE9431645EC}">
                        <a14:shadowObscured xmlns:a14="http://schemas.microsoft.com/office/drawing/2010/main"/>
                      </a:ext>
                    </a:extLst>
                  </pic:spPr>
                </pic:pic>
              </a:graphicData>
            </a:graphic>
          </wp:inline>
        </w:drawing>
      </w:r>
    </w:p>
    <w:p w14:paraId="2014D6B2" w14:textId="77777777" w:rsidR="00E74FB1" w:rsidRDefault="00E74FB1" w:rsidP="005A07E6">
      <w:pPr>
        <w:spacing w:after="0"/>
        <w:jc w:val="center"/>
        <w:rPr>
          <w:rFonts w:ascii="Century Gothic" w:hAnsi="Century Gothic"/>
          <w:lang w:val="es-ES"/>
        </w:rPr>
      </w:pPr>
    </w:p>
    <w:tbl>
      <w:tblPr>
        <w:tblW w:w="8637" w:type="dxa"/>
        <w:jc w:val="center"/>
        <w:tblCellMar>
          <w:left w:w="70" w:type="dxa"/>
          <w:right w:w="70" w:type="dxa"/>
        </w:tblCellMar>
        <w:tblLook w:val="04A0" w:firstRow="1" w:lastRow="0" w:firstColumn="1" w:lastColumn="0" w:noHBand="0" w:noVBand="1"/>
      </w:tblPr>
      <w:tblGrid>
        <w:gridCol w:w="3728"/>
        <w:gridCol w:w="1587"/>
        <w:gridCol w:w="1956"/>
        <w:gridCol w:w="1366"/>
      </w:tblGrid>
      <w:tr w:rsidR="00E74FB1" w:rsidRPr="00CA56B0" w14:paraId="1D969CC8" w14:textId="77777777" w:rsidTr="00A81873">
        <w:trPr>
          <w:trHeight w:val="660"/>
          <w:jc w:val="center"/>
        </w:trPr>
        <w:tc>
          <w:tcPr>
            <w:tcW w:w="3728" w:type="dxa"/>
            <w:tcBorders>
              <w:top w:val="single" w:sz="4" w:space="0" w:color="auto"/>
              <w:left w:val="single" w:sz="8" w:space="0" w:color="auto"/>
              <w:bottom w:val="single" w:sz="4" w:space="0" w:color="auto"/>
              <w:right w:val="single" w:sz="4" w:space="0" w:color="auto"/>
            </w:tcBorders>
            <w:shd w:val="clear" w:color="auto" w:fill="C4D79B"/>
            <w:noWrap/>
            <w:vAlign w:val="center"/>
            <w:hideMark/>
          </w:tcPr>
          <w:p w14:paraId="113E6B9C" w14:textId="77777777" w:rsidR="00E74FB1" w:rsidRPr="00CA56B0" w:rsidRDefault="00E74FB1" w:rsidP="00A81873">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lastRenderedPageBreak/>
              <w:t>Concepto</w:t>
            </w:r>
          </w:p>
        </w:tc>
        <w:tc>
          <w:tcPr>
            <w:tcW w:w="1587" w:type="dxa"/>
            <w:tcBorders>
              <w:top w:val="single" w:sz="4" w:space="0" w:color="auto"/>
              <w:left w:val="nil"/>
              <w:bottom w:val="single" w:sz="4" w:space="0" w:color="auto"/>
              <w:right w:val="single" w:sz="4" w:space="0" w:color="auto"/>
            </w:tcBorders>
            <w:shd w:val="clear" w:color="auto" w:fill="C4D79B"/>
            <w:vAlign w:val="center"/>
            <w:hideMark/>
          </w:tcPr>
          <w:p w14:paraId="22B2F998" w14:textId="77777777" w:rsidR="00E74FB1" w:rsidRPr="00CA56B0" w:rsidRDefault="00E74FB1" w:rsidP="00A81873">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2018</w:t>
            </w:r>
          </w:p>
        </w:tc>
        <w:tc>
          <w:tcPr>
            <w:tcW w:w="1956" w:type="dxa"/>
            <w:tcBorders>
              <w:top w:val="single" w:sz="4" w:space="0" w:color="auto"/>
              <w:left w:val="nil"/>
              <w:bottom w:val="single" w:sz="4" w:space="0" w:color="auto"/>
              <w:right w:val="single" w:sz="4" w:space="0" w:color="auto"/>
            </w:tcBorders>
            <w:shd w:val="clear" w:color="auto" w:fill="C4D79B"/>
            <w:vAlign w:val="center"/>
            <w:hideMark/>
          </w:tcPr>
          <w:p w14:paraId="471DFF5B" w14:textId="77777777" w:rsidR="00E74FB1" w:rsidRPr="00CA56B0" w:rsidRDefault="00E74FB1" w:rsidP="00A81873">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Presupuesto inicial 2019</w:t>
            </w:r>
          </w:p>
        </w:tc>
        <w:tc>
          <w:tcPr>
            <w:tcW w:w="1366" w:type="dxa"/>
            <w:tcBorders>
              <w:top w:val="single" w:sz="4" w:space="0" w:color="auto"/>
              <w:left w:val="nil"/>
              <w:bottom w:val="single" w:sz="4" w:space="0" w:color="auto"/>
              <w:right w:val="single" w:sz="4" w:space="0" w:color="auto"/>
            </w:tcBorders>
            <w:shd w:val="clear" w:color="auto" w:fill="C4D79B"/>
            <w:noWrap/>
            <w:vAlign w:val="center"/>
            <w:hideMark/>
          </w:tcPr>
          <w:p w14:paraId="64DA164E" w14:textId="77777777" w:rsidR="00E74FB1" w:rsidRPr="00CA56B0" w:rsidRDefault="00E74FB1" w:rsidP="00A81873">
            <w:pPr>
              <w:spacing w:after="0" w:line="240" w:lineRule="auto"/>
              <w:jc w:val="center"/>
              <w:rPr>
                <w:rFonts w:ascii="Century Gothic" w:eastAsia="Times New Roman" w:hAnsi="Century Gothic" w:cs="Arial"/>
                <w:b/>
                <w:color w:val="000000"/>
                <w:sz w:val="20"/>
                <w:lang w:val="es-ES"/>
              </w:rPr>
            </w:pPr>
            <w:r w:rsidRPr="00CA56B0">
              <w:rPr>
                <w:rFonts w:ascii="Century Gothic" w:eastAsia="Times New Roman" w:hAnsi="Century Gothic" w:cs="Arial"/>
                <w:b/>
                <w:color w:val="000000"/>
                <w:sz w:val="20"/>
                <w:lang w:val="es-ES"/>
              </w:rPr>
              <w:t>Variación %</w:t>
            </w:r>
          </w:p>
        </w:tc>
      </w:tr>
    </w:tbl>
    <w:p w14:paraId="45D87C56" w14:textId="72B66550" w:rsidR="00851090" w:rsidRPr="00D5157C" w:rsidRDefault="00851090" w:rsidP="005A07E6">
      <w:pPr>
        <w:spacing w:after="0"/>
        <w:jc w:val="center"/>
        <w:rPr>
          <w:rFonts w:ascii="Century Gothic" w:hAnsi="Century Gothic"/>
          <w:lang w:val="es-ES"/>
        </w:rPr>
      </w:pPr>
      <w:r w:rsidRPr="00D5157C">
        <w:rPr>
          <w:rFonts w:ascii="Century Gothic" w:hAnsi="Century Gothic"/>
          <w:noProof/>
          <w:lang w:val="es-ES" w:eastAsia="es-ES"/>
        </w:rPr>
        <w:drawing>
          <wp:inline distT="0" distB="0" distL="0" distR="0" wp14:anchorId="5EE40640" wp14:editId="23C57124">
            <wp:extent cx="5500351" cy="2766060"/>
            <wp:effectExtent l="0" t="0" r="5715" b="0"/>
            <wp:docPr id="2" name="Imagen 2"/>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43">
                      <a:extLst>
                        <a:ext uri="{28A0092B-C50C-407E-A947-70E740481C1C}">
                          <a14:useLocalDpi xmlns:a14="http://schemas.microsoft.com/office/drawing/2010/main" val="0"/>
                        </a:ext>
                      </a:extLst>
                    </a:blip>
                    <a:srcRect t="49911"/>
                    <a:stretch/>
                  </pic:blipFill>
                  <pic:spPr bwMode="auto">
                    <a:xfrm>
                      <a:off x="0" y="0"/>
                      <a:ext cx="5497881" cy="2764818"/>
                    </a:xfrm>
                    <a:prstGeom prst="rect">
                      <a:avLst/>
                    </a:prstGeom>
                    <a:noFill/>
                    <a:ln>
                      <a:noFill/>
                    </a:ln>
                    <a:extLst>
                      <a:ext uri="{53640926-AAD7-44D8-BBD7-CCE9431645EC}">
                        <a14:shadowObscured xmlns:a14="http://schemas.microsoft.com/office/drawing/2010/main"/>
                      </a:ext>
                    </a:extLst>
                  </pic:spPr>
                </pic:pic>
              </a:graphicData>
            </a:graphic>
          </wp:inline>
        </w:drawing>
      </w:r>
    </w:p>
    <w:p w14:paraId="49A43484" w14:textId="77777777" w:rsidR="00851090" w:rsidRPr="00D5157C" w:rsidRDefault="00851090" w:rsidP="00851090">
      <w:pPr>
        <w:jc w:val="center"/>
        <w:rPr>
          <w:rFonts w:ascii="Century Gothic" w:hAnsi="Century Gothic"/>
          <w:sz w:val="20"/>
          <w:lang w:val="es-ES"/>
        </w:rPr>
      </w:pPr>
      <w:r w:rsidRPr="00D5157C">
        <w:rPr>
          <w:rFonts w:ascii="Century Gothic" w:hAnsi="Century Gothic"/>
          <w:sz w:val="20"/>
          <w:lang w:val="es-ES"/>
        </w:rPr>
        <w:t>Fuente: Secretaría de Hacienda, 2018</w:t>
      </w:r>
    </w:p>
    <w:p w14:paraId="6A7047E5" w14:textId="0C53156C" w:rsidR="00E6494E" w:rsidRPr="00D5157C" w:rsidRDefault="00E6494E" w:rsidP="00E6494E">
      <w:pPr>
        <w:jc w:val="both"/>
        <w:rPr>
          <w:rFonts w:ascii="Century Gothic" w:hAnsi="Century Gothic"/>
          <w:lang w:val="es-ES"/>
        </w:rPr>
      </w:pPr>
      <w:r w:rsidRPr="00D5157C">
        <w:rPr>
          <w:rFonts w:ascii="Century Gothic" w:hAnsi="Century Gothic"/>
          <w:lang w:val="es-ES"/>
        </w:rPr>
        <w:t>Los ingresos de</w:t>
      </w:r>
      <w:r w:rsidR="004F5BDD" w:rsidRPr="00D5157C">
        <w:rPr>
          <w:rFonts w:ascii="Century Gothic" w:hAnsi="Century Gothic"/>
          <w:lang w:val="es-ES"/>
        </w:rPr>
        <w:t>l Fondo</w:t>
      </w:r>
      <w:r w:rsidRPr="00D5157C">
        <w:rPr>
          <w:rFonts w:ascii="Century Gothic" w:hAnsi="Century Gothic"/>
          <w:lang w:val="es-ES"/>
        </w:rPr>
        <w:t xml:space="preserve"> Tránsito y Transporte presenta</w:t>
      </w:r>
      <w:r w:rsidR="004F5BDD" w:rsidRPr="00D5157C">
        <w:rPr>
          <w:rFonts w:ascii="Century Gothic" w:hAnsi="Century Gothic"/>
          <w:lang w:val="es-ES"/>
        </w:rPr>
        <w:t>n</w:t>
      </w:r>
      <w:r w:rsidRPr="00D5157C">
        <w:rPr>
          <w:rFonts w:ascii="Century Gothic" w:hAnsi="Century Gothic"/>
          <w:lang w:val="es-ES"/>
        </w:rPr>
        <w:t xml:space="preserve"> un crecimiento del 21</w:t>
      </w:r>
      <w:r w:rsidR="004F5BDD" w:rsidRPr="00D5157C">
        <w:rPr>
          <w:rFonts w:ascii="Century Gothic" w:hAnsi="Century Gothic"/>
          <w:lang w:val="es-ES"/>
        </w:rPr>
        <w:t xml:space="preserve"> por ciento</w:t>
      </w:r>
      <w:r w:rsidRPr="00D5157C">
        <w:rPr>
          <w:rFonts w:ascii="Century Gothic" w:hAnsi="Century Gothic"/>
          <w:lang w:val="es-ES"/>
        </w:rPr>
        <w:t>, los de capital son los de mayor impacto, en este ítem se encuentran los recursos del balance que se destinarán a la construcción de la sede</w:t>
      </w:r>
      <w:r w:rsidR="00D5157C" w:rsidRPr="00D5157C">
        <w:rPr>
          <w:rFonts w:ascii="Century Gothic" w:hAnsi="Century Gothic"/>
          <w:lang w:val="es-ES"/>
        </w:rPr>
        <w:t>;</w:t>
      </w:r>
      <w:r w:rsidRPr="00D5157C">
        <w:rPr>
          <w:rFonts w:ascii="Century Gothic" w:hAnsi="Century Gothic"/>
          <w:lang w:val="es-ES"/>
        </w:rPr>
        <w:t xml:space="preserve"> </w:t>
      </w:r>
      <w:r w:rsidR="00D5157C" w:rsidRPr="00D5157C">
        <w:rPr>
          <w:rFonts w:ascii="Century Gothic" w:hAnsi="Century Gothic"/>
          <w:lang w:val="es-ES"/>
        </w:rPr>
        <w:t xml:space="preserve">obra que aún </w:t>
      </w:r>
      <w:r w:rsidRPr="00D5157C">
        <w:rPr>
          <w:rFonts w:ascii="Century Gothic" w:hAnsi="Century Gothic"/>
          <w:lang w:val="es-ES"/>
        </w:rPr>
        <w:t xml:space="preserve">no se ha iniciado </w:t>
      </w:r>
      <w:r w:rsidR="00D5157C" w:rsidRPr="00D5157C">
        <w:rPr>
          <w:rFonts w:ascii="Century Gothic" w:hAnsi="Century Gothic"/>
          <w:lang w:val="es-ES"/>
        </w:rPr>
        <w:t xml:space="preserve">hasta el momento, debido a que </w:t>
      </w:r>
      <w:r w:rsidRPr="00D5157C">
        <w:rPr>
          <w:rFonts w:ascii="Century Gothic" w:hAnsi="Century Gothic"/>
          <w:lang w:val="es-ES"/>
        </w:rPr>
        <w:t>se ha</w:t>
      </w:r>
      <w:r w:rsidR="00D5157C" w:rsidRPr="00D5157C">
        <w:rPr>
          <w:rFonts w:ascii="Century Gothic" w:hAnsi="Century Gothic"/>
          <w:lang w:val="es-ES"/>
        </w:rPr>
        <w:t>n</w:t>
      </w:r>
      <w:r w:rsidRPr="00D5157C">
        <w:rPr>
          <w:rFonts w:ascii="Century Gothic" w:hAnsi="Century Gothic"/>
          <w:lang w:val="es-ES"/>
        </w:rPr>
        <w:t xml:space="preserve"> presentado contratiempos en la </w:t>
      </w:r>
      <w:r w:rsidR="00D5157C" w:rsidRPr="00D5157C">
        <w:rPr>
          <w:rFonts w:ascii="Century Gothic" w:hAnsi="Century Gothic"/>
          <w:lang w:val="es-ES"/>
        </w:rPr>
        <w:t xml:space="preserve">selección </w:t>
      </w:r>
      <w:r w:rsidRPr="00D5157C">
        <w:rPr>
          <w:rFonts w:ascii="Century Gothic" w:hAnsi="Century Gothic"/>
          <w:lang w:val="es-ES"/>
        </w:rPr>
        <w:t>del lote. Los ingresos corrientes presentan un crecimiento del 11</w:t>
      </w:r>
      <w:r w:rsidR="004F5BDD" w:rsidRPr="00D5157C">
        <w:rPr>
          <w:rFonts w:ascii="Century Gothic" w:hAnsi="Century Gothic"/>
          <w:lang w:val="es-ES"/>
        </w:rPr>
        <w:t xml:space="preserve"> por ciento</w:t>
      </w:r>
      <w:r w:rsidR="00D5157C" w:rsidRPr="00D5157C">
        <w:rPr>
          <w:rFonts w:ascii="Century Gothic" w:hAnsi="Century Gothic"/>
          <w:lang w:val="es-ES"/>
        </w:rPr>
        <w:t>,</w:t>
      </w:r>
      <w:r w:rsidRPr="00D5157C">
        <w:rPr>
          <w:rFonts w:ascii="Century Gothic" w:hAnsi="Century Gothic"/>
          <w:lang w:val="es-ES"/>
        </w:rPr>
        <w:t xml:space="preserve"> tanto en tasas, derechos y otros como en los de multas y sanciones.</w:t>
      </w:r>
    </w:p>
    <w:p w14:paraId="7D1A8555" w14:textId="43616199" w:rsidR="00E6494E" w:rsidRPr="00D5157C" w:rsidRDefault="00E6494E" w:rsidP="00E6494E">
      <w:pPr>
        <w:spacing w:after="0" w:line="240" w:lineRule="auto"/>
        <w:jc w:val="center"/>
        <w:rPr>
          <w:rFonts w:ascii="Century Gothic" w:eastAsia="Times New Roman" w:hAnsi="Century Gothic" w:cs="Arial"/>
          <w:color w:val="000000"/>
          <w:lang w:val="es-ES"/>
        </w:rPr>
      </w:pPr>
      <w:bookmarkStart w:id="87" w:name="_Toc532570537"/>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46</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 xml:space="preserve">Comparativo presupuesto inicial Tránsito y Transporte 2018 – 2019 </w:t>
      </w:r>
      <w:r w:rsidRPr="00D5157C">
        <w:rPr>
          <w:rFonts w:ascii="Century Gothic" w:hAnsi="Century Gothic"/>
          <w:lang w:val="es-ES"/>
        </w:rPr>
        <w:t>(millones de pesos)</w:t>
      </w:r>
      <w:bookmarkEnd w:id="87"/>
    </w:p>
    <w:tbl>
      <w:tblPr>
        <w:tblW w:w="8859" w:type="dxa"/>
        <w:tblCellMar>
          <w:left w:w="70" w:type="dxa"/>
          <w:right w:w="70" w:type="dxa"/>
        </w:tblCellMar>
        <w:tblLook w:val="04A0" w:firstRow="1" w:lastRow="0" w:firstColumn="1" w:lastColumn="0" w:noHBand="0" w:noVBand="1"/>
      </w:tblPr>
      <w:tblGrid>
        <w:gridCol w:w="4748"/>
        <w:gridCol w:w="1425"/>
        <w:gridCol w:w="1425"/>
        <w:gridCol w:w="1261"/>
      </w:tblGrid>
      <w:tr w:rsidR="00F04478" w:rsidRPr="00341016" w14:paraId="2D615466" w14:textId="77777777" w:rsidTr="00E6494E">
        <w:trPr>
          <w:trHeight w:val="660"/>
        </w:trPr>
        <w:tc>
          <w:tcPr>
            <w:tcW w:w="4748" w:type="dxa"/>
            <w:tcBorders>
              <w:top w:val="single" w:sz="4" w:space="0" w:color="auto"/>
              <w:left w:val="single" w:sz="4" w:space="0" w:color="auto"/>
              <w:bottom w:val="single" w:sz="4" w:space="0" w:color="auto"/>
              <w:right w:val="single" w:sz="4" w:space="0" w:color="auto"/>
            </w:tcBorders>
            <w:shd w:val="clear" w:color="auto" w:fill="C4D79B"/>
            <w:vAlign w:val="center"/>
            <w:hideMark/>
          </w:tcPr>
          <w:p w14:paraId="504F9838" w14:textId="4052D950" w:rsidR="00E6494E" w:rsidRPr="00341016" w:rsidRDefault="00E6494E" w:rsidP="00E6494E">
            <w:pPr>
              <w:spacing w:after="0" w:line="240" w:lineRule="auto"/>
              <w:jc w:val="center"/>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Concepto</w:t>
            </w:r>
          </w:p>
        </w:tc>
        <w:tc>
          <w:tcPr>
            <w:tcW w:w="1425" w:type="dxa"/>
            <w:tcBorders>
              <w:top w:val="single" w:sz="4" w:space="0" w:color="auto"/>
              <w:left w:val="nil"/>
              <w:bottom w:val="single" w:sz="4" w:space="0" w:color="auto"/>
              <w:right w:val="single" w:sz="4" w:space="0" w:color="auto"/>
            </w:tcBorders>
            <w:shd w:val="clear" w:color="auto" w:fill="C4D79B"/>
            <w:vAlign w:val="center"/>
            <w:hideMark/>
          </w:tcPr>
          <w:p w14:paraId="188F889E" w14:textId="362643FC" w:rsidR="00E6494E" w:rsidRPr="00341016" w:rsidRDefault="00E6494E" w:rsidP="00E6494E">
            <w:pPr>
              <w:spacing w:after="0" w:line="240" w:lineRule="auto"/>
              <w:jc w:val="center"/>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Presupuesto inicial 2018</w:t>
            </w:r>
          </w:p>
        </w:tc>
        <w:tc>
          <w:tcPr>
            <w:tcW w:w="1425" w:type="dxa"/>
            <w:tcBorders>
              <w:top w:val="single" w:sz="4" w:space="0" w:color="auto"/>
              <w:left w:val="nil"/>
              <w:bottom w:val="single" w:sz="4" w:space="0" w:color="auto"/>
              <w:right w:val="single" w:sz="4" w:space="0" w:color="auto"/>
            </w:tcBorders>
            <w:shd w:val="clear" w:color="auto" w:fill="C4D79B"/>
            <w:vAlign w:val="center"/>
            <w:hideMark/>
          </w:tcPr>
          <w:p w14:paraId="5578DAEE" w14:textId="4156BFBD" w:rsidR="00E6494E" w:rsidRPr="00341016" w:rsidRDefault="00E6494E" w:rsidP="00E6494E">
            <w:pPr>
              <w:spacing w:after="0" w:line="240" w:lineRule="auto"/>
              <w:jc w:val="center"/>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Presupuesto inicial 2019</w:t>
            </w:r>
          </w:p>
        </w:tc>
        <w:tc>
          <w:tcPr>
            <w:tcW w:w="1261" w:type="dxa"/>
            <w:tcBorders>
              <w:top w:val="single" w:sz="4" w:space="0" w:color="auto"/>
              <w:left w:val="nil"/>
              <w:bottom w:val="single" w:sz="4" w:space="0" w:color="auto"/>
              <w:right w:val="single" w:sz="4" w:space="0" w:color="auto"/>
            </w:tcBorders>
            <w:shd w:val="clear" w:color="auto" w:fill="C4D79B"/>
            <w:vAlign w:val="center"/>
            <w:hideMark/>
          </w:tcPr>
          <w:p w14:paraId="1873CBE2" w14:textId="0702F421" w:rsidR="00E6494E" w:rsidRPr="00341016" w:rsidRDefault="00E6494E" w:rsidP="00E6494E">
            <w:pPr>
              <w:spacing w:after="0" w:line="240" w:lineRule="auto"/>
              <w:jc w:val="center"/>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Variación %</w:t>
            </w:r>
          </w:p>
        </w:tc>
      </w:tr>
      <w:tr w:rsidR="00F04478" w:rsidRPr="00341016" w14:paraId="1C979240" w14:textId="77777777" w:rsidTr="00E6494E">
        <w:trPr>
          <w:trHeight w:val="58"/>
        </w:trPr>
        <w:tc>
          <w:tcPr>
            <w:tcW w:w="4748" w:type="dxa"/>
            <w:tcBorders>
              <w:top w:val="nil"/>
              <w:left w:val="single" w:sz="8" w:space="0" w:color="auto"/>
              <w:bottom w:val="single" w:sz="4" w:space="0" w:color="auto"/>
              <w:right w:val="single" w:sz="4" w:space="0" w:color="auto"/>
            </w:tcBorders>
            <w:shd w:val="clear" w:color="auto" w:fill="EBF1DE"/>
            <w:vAlign w:val="bottom"/>
            <w:hideMark/>
          </w:tcPr>
          <w:p w14:paraId="09EFA8D8" w14:textId="22B0E0F6"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 xml:space="preserve">Ingresos </w:t>
            </w:r>
            <w:r w:rsidR="00D5157C" w:rsidRPr="00341016">
              <w:rPr>
                <w:rFonts w:ascii="Century Gothic" w:eastAsia="Times New Roman" w:hAnsi="Century Gothic" w:cs="Arial"/>
                <w:color w:val="000000"/>
                <w:sz w:val="20"/>
                <w:szCs w:val="20"/>
                <w:lang w:val="es-ES"/>
              </w:rPr>
              <w:t>corrientes</w:t>
            </w:r>
          </w:p>
        </w:tc>
        <w:tc>
          <w:tcPr>
            <w:tcW w:w="1425" w:type="dxa"/>
            <w:tcBorders>
              <w:top w:val="nil"/>
              <w:left w:val="nil"/>
              <w:bottom w:val="single" w:sz="4" w:space="0" w:color="auto"/>
              <w:right w:val="single" w:sz="4" w:space="0" w:color="auto"/>
            </w:tcBorders>
            <w:shd w:val="clear" w:color="auto" w:fill="EBF1DE"/>
            <w:noWrap/>
            <w:vAlign w:val="center"/>
            <w:hideMark/>
          </w:tcPr>
          <w:p w14:paraId="4A2D2D80" w14:textId="7452B978"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10</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793 </w:t>
            </w:r>
          </w:p>
        </w:tc>
        <w:tc>
          <w:tcPr>
            <w:tcW w:w="1425" w:type="dxa"/>
            <w:tcBorders>
              <w:top w:val="nil"/>
              <w:left w:val="nil"/>
              <w:bottom w:val="single" w:sz="4" w:space="0" w:color="auto"/>
              <w:right w:val="single" w:sz="4" w:space="0" w:color="auto"/>
            </w:tcBorders>
            <w:shd w:val="clear" w:color="auto" w:fill="EBF1DE"/>
            <w:noWrap/>
            <w:vAlign w:val="center"/>
            <w:hideMark/>
          </w:tcPr>
          <w:p w14:paraId="423768D5" w14:textId="7CC3D907"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12</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033 </w:t>
            </w:r>
          </w:p>
        </w:tc>
        <w:tc>
          <w:tcPr>
            <w:tcW w:w="1261" w:type="dxa"/>
            <w:tcBorders>
              <w:top w:val="nil"/>
              <w:left w:val="nil"/>
              <w:bottom w:val="single" w:sz="4" w:space="0" w:color="auto"/>
              <w:right w:val="single" w:sz="4" w:space="0" w:color="auto"/>
            </w:tcBorders>
            <w:shd w:val="clear" w:color="auto" w:fill="EBF1DE"/>
            <w:noWrap/>
            <w:vAlign w:val="center"/>
            <w:hideMark/>
          </w:tcPr>
          <w:p w14:paraId="62BD8B58" w14:textId="10A581B5" w:rsidR="00E6494E" w:rsidRPr="00341016" w:rsidRDefault="00E6494E" w:rsidP="004F5BDD">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11</w:t>
            </w:r>
          </w:p>
        </w:tc>
      </w:tr>
      <w:tr w:rsidR="00E6494E" w:rsidRPr="00341016" w14:paraId="3A6AF8BF" w14:textId="77777777" w:rsidTr="00E6494E">
        <w:trPr>
          <w:trHeight w:val="58"/>
        </w:trPr>
        <w:tc>
          <w:tcPr>
            <w:tcW w:w="4748" w:type="dxa"/>
            <w:tcBorders>
              <w:top w:val="nil"/>
              <w:left w:val="single" w:sz="8" w:space="0" w:color="auto"/>
              <w:bottom w:val="single" w:sz="4" w:space="0" w:color="auto"/>
              <w:right w:val="single" w:sz="4" w:space="0" w:color="auto"/>
            </w:tcBorders>
            <w:vAlign w:val="bottom"/>
            <w:hideMark/>
          </w:tcPr>
          <w:p w14:paraId="7DD26E93" w14:textId="223EEB27"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 xml:space="preserve">Ingresos no tributarios </w:t>
            </w:r>
          </w:p>
        </w:tc>
        <w:tc>
          <w:tcPr>
            <w:tcW w:w="1425" w:type="dxa"/>
            <w:tcBorders>
              <w:top w:val="nil"/>
              <w:left w:val="nil"/>
              <w:bottom w:val="single" w:sz="4" w:space="0" w:color="auto"/>
              <w:right w:val="single" w:sz="4" w:space="0" w:color="auto"/>
            </w:tcBorders>
            <w:noWrap/>
            <w:vAlign w:val="center"/>
            <w:hideMark/>
          </w:tcPr>
          <w:p w14:paraId="0CE8E8A1" w14:textId="75F5715D"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10</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793 </w:t>
            </w:r>
          </w:p>
        </w:tc>
        <w:tc>
          <w:tcPr>
            <w:tcW w:w="1425" w:type="dxa"/>
            <w:tcBorders>
              <w:top w:val="nil"/>
              <w:left w:val="nil"/>
              <w:bottom w:val="single" w:sz="4" w:space="0" w:color="auto"/>
              <w:right w:val="single" w:sz="4" w:space="0" w:color="auto"/>
            </w:tcBorders>
            <w:noWrap/>
            <w:vAlign w:val="center"/>
            <w:hideMark/>
          </w:tcPr>
          <w:p w14:paraId="5E311944" w14:textId="10A7635D"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12</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033 </w:t>
            </w:r>
          </w:p>
        </w:tc>
        <w:tc>
          <w:tcPr>
            <w:tcW w:w="1261" w:type="dxa"/>
            <w:tcBorders>
              <w:top w:val="nil"/>
              <w:left w:val="nil"/>
              <w:bottom w:val="single" w:sz="4" w:space="0" w:color="auto"/>
              <w:right w:val="single" w:sz="4" w:space="0" w:color="auto"/>
            </w:tcBorders>
            <w:noWrap/>
            <w:vAlign w:val="center"/>
            <w:hideMark/>
          </w:tcPr>
          <w:p w14:paraId="1CA3290F" w14:textId="73EABC08" w:rsidR="00E6494E" w:rsidRPr="00341016" w:rsidRDefault="004F5BDD"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11</w:t>
            </w:r>
          </w:p>
        </w:tc>
      </w:tr>
      <w:tr w:rsidR="00E6494E" w:rsidRPr="00341016" w14:paraId="37E46070" w14:textId="77777777" w:rsidTr="00E6494E">
        <w:trPr>
          <w:trHeight w:val="58"/>
        </w:trPr>
        <w:tc>
          <w:tcPr>
            <w:tcW w:w="4748" w:type="dxa"/>
            <w:tcBorders>
              <w:top w:val="nil"/>
              <w:left w:val="single" w:sz="8" w:space="0" w:color="auto"/>
              <w:bottom w:val="single" w:sz="4" w:space="0" w:color="auto"/>
              <w:right w:val="single" w:sz="4" w:space="0" w:color="auto"/>
            </w:tcBorders>
            <w:vAlign w:val="bottom"/>
            <w:hideMark/>
          </w:tcPr>
          <w:p w14:paraId="34D57820" w14:textId="6AC4FD86"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Tasas , derechos y otros no tributarios</w:t>
            </w:r>
          </w:p>
        </w:tc>
        <w:tc>
          <w:tcPr>
            <w:tcW w:w="1425" w:type="dxa"/>
            <w:tcBorders>
              <w:top w:val="nil"/>
              <w:left w:val="nil"/>
              <w:bottom w:val="single" w:sz="4" w:space="0" w:color="auto"/>
              <w:right w:val="single" w:sz="4" w:space="0" w:color="auto"/>
            </w:tcBorders>
            <w:noWrap/>
            <w:vAlign w:val="center"/>
            <w:hideMark/>
          </w:tcPr>
          <w:p w14:paraId="7C6E3B10" w14:textId="6FBE4860"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3</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218 </w:t>
            </w:r>
          </w:p>
        </w:tc>
        <w:tc>
          <w:tcPr>
            <w:tcW w:w="1425" w:type="dxa"/>
            <w:tcBorders>
              <w:top w:val="nil"/>
              <w:left w:val="nil"/>
              <w:bottom w:val="single" w:sz="4" w:space="0" w:color="auto"/>
              <w:right w:val="single" w:sz="4" w:space="0" w:color="auto"/>
            </w:tcBorders>
            <w:noWrap/>
            <w:vAlign w:val="center"/>
            <w:hideMark/>
          </w:tcPr>
          <w:p w14:paraId="2BDCD40B" w14:textId="72B3CD73"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3</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568 </w:t>
            </w:r>
          </w:p>
        </w:tc>
        <w:tc>
          <w:tcPr>
            <w:tcW w:w="1261" w:type="dxa"/>
            <w:tcBorders>
              <w:top w:val="nil"/>
              <w:left w:val="nil"/>
              <w:bottom w:val="single" w:sz="4" w:space="0" w:color="auto"/>
              <w:right w:val="single" w:sz="4" w:space="0" w:color="auto"/>
            </w:tcBorders>
            <w:noWrap/>
            <w:vAlign w:val="center"/>
            <w:hideMark/>
          </w:tcPr>
          <w:p w14:paraId="51BF6DCE" w14:textId="158D0B2E" w:rsidR="00E6494E" w:rsidRPr="00341016" w:rsidRDefault="004F5BDD"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11</w:t>
            </w:r>
          </w:p>
        </w:tc>
      </w:tr>
      <w:tr w:rsidR="00E6494E" w:rsidRPr="00341016" w14:paraId="6F00FA9A" w14:textId="77777777" w:rsidTr="00E6494E">
        <w:trPr>
          <w:trHeight w:val="58"/>
        </w:trPr>
        <w:tc>
          <w:tcPr>
            <w:tcW w:w="4748" w:type="dxa"/>
            <w:tcBorders>
              <w:top w:val="nil"/>
              <w:left w:val="single" w:sz="8" w:space="0" w:color="auto"/>
              <w:bottom w:val="single" w:sz="4" w:space="0" w:color="auto"/>
              <w:right w:val="single" w:sz="4" w:space="0" w:color="auto"/>
            </w:tcBorders>
            <w:vAlign w:val="bottom"/>
            <w:hideMark/>
          </w:tcPr>
          <w:p w14:paraId="4F54720B" w14:textId="519F63D0"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 xml:space="preserve">Multas y sanciones </w:t>
            </w:r>
          </w:p>
        </w:tc>
        <w:tc>
          <w:tcPr>
            <w:tcW w:w="1425" w:type="dxa"/>
            <w:tcBorders>
              <w:top w:val="nil"/>
              <w:left w:val="nil"/>
              <w:bottom w:val="single" w:sz="4" w:space="0" w:color="auto"/>
              <w:right w:val="single" w:sz="4" w:space="0" w:color="auto"/>
            </w:tcBorders>
            <w:noWrap/>
            <w:vAlign w:val="center"/>
            <w:hideMark/>
          </w:tcPr>
          <w:p w14:paraId="75A7E32A" w14:textId="31D999EA"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5</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454 </w:t>
            </w:r>
          </w:p>
        </w:tc>
        <w:tc>
          <w:tcPr>
            <w:tcW w:w="1425" w:type="dxa"/>
            <w:tcBorders>
              <w:top w:val="nil"/>
              <w:left w:val="nil"/>
              <w:bottom w:val="single" w:sz="4" w:space="0" w:color="auto"/>
              <w:right w:val="single" w:sz="4" w:space="0" w:color="auto"/>
            </w:tcBorders>
            <w:noWrap/>
            <w:vAlign w:val="center"/>
            <w:hideMark/>
          </w:tcPr>
          <w:p w14:paraId="44C2B3ED" w14:textId="08F73B51"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6</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133 </w:t>
            </w:r>
          </w:p>
        </w:tc>
        <w:tc>
          <w:tcPr>
            <w:tcW w:w="1261" w:type="dxa"/>
            <w:tcBorders>
              <w:top w:val="nil"/>
              <w:left w:val="nil"/>
              <w:bottom w:val="single" w:sz="4" w:space="0" w:color="auto"/>
              <w:right w:val="single" w:sz="4" w:space="0" w:color="auto"/>
            </w:tcBorders>
            <w:noWrap/>
            <w:vAlign w:val="center"/>
            <w:hideMark/>
          </w:tcPr>
          <w:p w14:paraId="7C7D53B3" w14:textId="64609705" w:rsidR="00E6494E" w:rsidRPr="00341016" w:rsidRDefault="004F5BDD"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12</w:t>
            </w:r>
          </w:p>
        </w:tc>
      </w:tr>
      <w:tr w:rsidR="00E6494E" w:rsidRPr="00341016" w14:paraId="556C905C" w14:textId="77777777" w:rsidTr="00E6494E">
        <w:trPr>
          <w:trHeight w:val="58"/>
        </w:trPr>
        <w:tc>
          <w:tcPr>
            <w:tcW w:w="4748" w:type="dxa"/>
            <w:tcBorders>
              <w:top w:val="nil"/>
              <w:left w:val="single" w:sz="8" w:space="0" w:color="auto"/>
              <w:bottom w:val="single" w:sz="4" w:space="0" w:color="auto"/>
              <w:right w:val="single" w:sz="4" w:space="0" w:color="auto"/>
            </w:tcBorders>
            <w:vAlign w:val="bottom"/>
            <w:hideMark/>
          </w:tcPr>
          <w:p w14:paraId="139ADA76" w14:textId="4283B40E"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Transferencias (20% impuesto de vehículos)</w:t>
            </w:r>
          </w:p>
        </w:tc>
        <w:tc>
          <w:tcPr>
            <w:tcW w:w="1425" w:type="dxa"/>
            <w:tcBorders>
              <w:top w:val="nil"/>
              <w:left w:val="nil"/>
              <w:bottom w:val="single" w:sz="4" w:space="0" w:color="auto"/>
              <w:right w:val="single" w:sz="4" w:space="0" w:color="auto"/>
            </w:tcBorders>
            <w:noWrap/>
            <w:vAlign w:val="center"/>
            <w:hideMark/>
          </w:tcPr>
          <w:p w14:paraId="36BBA5BA" w14:textId="3B79E000"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2</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120 </w:t>
            </w:r>
          </w:p>
        </w:tc>
        <w:tc>
          <w:tcPr>
            <w:tcW w:w="1425" w:type="dxa"/>
            <w:tcBorders>
              <w:top w:val="nil"/>
              <w:left w:val="nil"/>
              <w:bottom w:val="single" w:sz="4" w:space="0" w:color="auto"/>
              <w:right w:val="single" w:sz="4" w:space="0" w:color="auto"/>
            </w:tcBorders>
            <w:noWrap/>
            <w:vAlign w:val="center"/>
            <w:hideMark/>
          </w:tcPr>
          <w:p w14:paraId="57D1A7A3" w14:textId="23A60436"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2</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332 </w:t>
            </w:r>
          </w:p>
        </w:tc>
        <w:tc>
          <w:tcPr>
            <w:tcW w:w="1261" w:type="dxa"/>
            <w:tcBorders>
              <w:top w:val="nil"/>
              <w:left w:val="nil"/>
              <w:bottom w:val="single" w:sz="4" w:space="0" w:color="auto"/>
              <w:right w:val="single" w:sz="4" w:space="0" w:color="auto"/>
            </w:tcBorders>
            <w:noWrap/>
            <w:vAlign w:val="center"/>
            <w:hideMark/>
          </w:tcPr>
          <w:p w14:paraId="2118F49B" w14:textId="3AA69FE7" w:rsidR="00E6494E" w:rsidRPr="00341016" w:rsidRDefault="004F5BDD"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10</w:t>
            </w:r>
          </w:p>
        </w:tc>
      </w:tr>
      <w:tr w:rsidR="00F04478" w:rsidRPr="00341016" w14:paraId="6DF590DD" w14:textId="77777777" w:rsidTr="00E6494E">
        <w:trPr>
          <w:trHeight w:val="58"/>
        </w:trPr>
        <w:tc>
          <w:tcPr>
            <w:tcW w:w="4748" w:type="dxa"/>
            <w:tcBorders>
              <w:top w:val="nil"/>
              <w:left w:val="single" w:sz="8" w:space="0" w:color="auto"/>
              <w:bottom w:val="single" w:sz="4" w:space="0" w:color="auto"/>
              <w:right w:val="single" w:sz="4" w:space="0" w:color="auto"/>
            </w:tcBorders>
            <w:shd w:val="clear" w:color="auto" w:fill="EBF1DE"/>
            <w:vAlign w:val="bottom"/>
            <w:hideMark/>
          </w:tcPr>
          <w:p w14:paraId="40EB0026" w14:textId="77777777"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Recursos de capital</w:t>
            </w:r>
          </w:p>
        </w:tc>
        <w:tc>
          <w:tcPr>
            <w:tcW w:w="1425" w:type="dxa"/>
            <w:tcBorders>
              <w:top w:val="nil"/>
              <w:left w:val="nil"/>
              <w:bottom w:val="single" w:sz="4" w:space="0" w:color="auto"/>
              <w:right w:val="single" w:sz="4" w:space="0" w:color="auto"/>
            </w:tcBorders>
            <w:shd w:val="clear" w:color="auto" w:fill="EBF1DE"/>
            <w:noWrap/>
            <w:vAlign w:val="center"/>
            <w:hideMark/>
          </w:tcPr>
          <w:p w14:paraId="12718CC5" w14:textId="14ED2C49"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8</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760 </w:t>
            </w:r>
          </w:p>
        </w:tc>
        <w:tc>
          <w:tcPr>
            <w:tcW w:w="1425" w:type="dxa"/>
            <w:tcBorders>
              <w:top w:val="nil"/>
              <w:left w:val="nil"/>
              <w:bottom w:val="single" w:sz="4" w:space="0" w:color="auto"/>
              <w:right w:val="single" w:sz="4" w:space="0" w:color="auto"/>
            </w:tcBorders>
            <w:shd w:val="clear" w:color="auto" w:fill="EBF1DE"/>
            <w:noWrap/>
            <w:vAlign w:val="center"/>
            <w:hideMark/>
          </w:tcPr>
          <w:p w14:paraId="293228AD" w14:textId="537D6AFA" w:rsidR="00E6494E" w:rsidRPr="00341016" w:rsidRDefault="00E6494E"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11</w:t>
            </w:r>
            <w:r w:rsidR="00341016">
              <w:rPr>
                <w:rFonts w:ascii="Century Gothic" w:eastAsia="Times New Roman" w:hAnsi="Century Gothic" w:cs="Arial"/>
                <w:color w:val="000000"/>
                <w:sz w:val="20"/>
                <w:szCs w:val="20"/>
                <w:lang w:val="es-ES"/>
              </w:rPr>
              <w:t>.</w:t>
            </w:r>
            <w:r w:rsidRPr="00341016">
              <w:rPr>
                <w:rFonts w:ascii="Century Gothic" w:eastAsia="Times New Roman" w:hAnsi="Century Gothic" w:cs="Arial"/>
                <w:color w:val="000000"/>
                <w:sz w:val="20"/>
                <w:szCs w:val="20"/>
                <w:lang w:val="es-ES"/>
              </w:rPr>
              <w:t xml:space="preserve">650 </w:t>
            </w:r>
          </w:p>
        </w:tc>
        <w:tc>
          <w:tcPr>
            <w:tcW w:w="1261" w:type="dxa"/>
            <w:tcBorders>
              <w:top w:val="nil"/>
              <w:left w:val="nil"/>
              <w:bottom w:val="single" w:sz="4" w:space="0" w:color="auto"/>
              <w:right w:val="single" w:sz="4" w:space="0" w:color="auto"/>
            </w:tcBorders>
            <w:shd w:val="clear" w:color="auto" w:fill="EBF1DE"/>
            <w:noWrap/>
            <w:vAlign w:val="center"/>
            <w:hideMark/>
          </w:tcPr>
          <w:p w14:paraId="044F36CA" w14:textId="0C2FB114" w:rsidR="00E6494E" w:rsidRPr="00341016" w:rsidRDefault="004F5BDD" w:rsidP="00E6494E">
            <w:pPr>
              <w:spacing w:after="0" w:line="240" w:lineRule="auto"/>
              <w:jc w:val="right"/>
              <w:rPr>
                <w:rFonts w:ascii="Century Gothic" w:eastAsia="Times New Roman" w:hAnsi="Century Gothic" w:cs="Arial"/>
                <w:color w:val="000000"/>
                <w:sz w:val="20"/>
                <w:szCs w:val="20"/>
                <w:lang w:val="es-ES"/>
              </w:rPr>
            </w:pPr>
            <w:r w:rsidRPr="00341016">
              <w:rPr>
                <w:rFonts w:ascii="Century Gothic" w:eastAsia="Times New Roman" w:hAnsi="Century Gothic" w:cs="Arial"/>
                <w:color w:val="000000"/>
                <w:sz w:val="20"/>
                <w:szCs w:val="20"/>
                <w:lang w:val="es-ES"/>
              </w:rPr>
              <w:t>33</w:t>
            </w:r>
          </w:p>
        </w:tc>
      </w:tr>
      <w:tr w:rsidR="00F04478" w:rsidRPr="00341016" w14:paraId="4BCD1260" w14:textId="77777777" w:rsidTr="00E6494E">
        <w:trPr>
          <w:trHeight w:val="58"/>
        </w:trPr>
        <w:tc>
          <w:tcPr>
            <w:tcW w:w="4748" w:type="dxa"/>
            <w:tcBorders>
              <w:top w:val="nil"/>
              <w:left w:val="single" w:sz="4" w:space="0" w:color="auto"/>
              <w:bottom w:val="single" w:sz="4" w:space="0" w:color="auto"/>
              <w:right w:val="single" w:sz="4" w:space="0" w:color="auto"/>
            </w:tcBorders>
            <w:shd w:val="clear" w:color="auto" w:fill="C4D79B"/>
            <w:vAlign w:val="bottom"/>
            <w:hideMark/>
          </w:tcPr>
          <w:p w14:paraId="00C351F2" w14:textId="77777777" w:rsidR="00E6494E" w:rsidRPr="00341016" w:rsidRDefault="00E6494E">
            <w:pPr>
              <w:spacing w:after="0" w:line="240" w:lineRule="auto"/>
              <w:rPr>
                <w:rFonts w:ascii="Century Gothic" w:eastAsia="Times New Roman" w:hAnsi="Century Gothic" w:cs="Arial"/>
                <w:color w:val="000000"/>
                <w:sz w:val="20"/>
                <w:szCs w:val="20"/>
                <w:lang w:val="es-ES"/>
              </w:rPr>
            </w:pPr>
            <w:r w:rsidRPr="00341016">
              <w:rPr>
                <w:rFonts w:ascii="Century Gothic" w:eastAsia="Times New Roman" w:hAnsi="Century Gothic" w:cs="Arial"/>
                <w:b/>
                <w:color w:val="000000"/>
                <w:sz w:val="20"/>
                <w:szCs w:val="20"/>
                <w:lang w:val="es-ES"/>
              </w:rPr>
              <w:t>Total</w:t>
            </w:r>
          </w:p>
        </w:tc>
        <w:tc>
          <w:tcPr>
            <w:tcW w:w="1425" w:type="dxa"/>
            <w:tcBorders>
              <w:top w:val="nil"/>
              <w:left w:val="nil"/>
              <w:bottom w:val="single" w:sz="4" w:space="0" w:color="auto"/>
              <w:right w:val="single" w:sz="4" w:space="0" w:color="auto"/>
            </w:tcBorders>
            <w:shd w:val="clear" w:color="auto" w:fill="C4D79B"/>
            <w:noWrap/>
            <w:vAlign w:val="center"/>
            <w:hideMark/>
          </w:tcPr>
          <w:p w14:paraId="602B545A" w14:textId="2FCAE646" w:rsidR="00E6494E" w:rsidRPr="00341016" w:rsidRDefault="00E6494E" w:rsidP="00E6494E">
            <w:pPr>
              <w:spacing w:after="0" w:line="240" w:lineRule="auto"/>
              <w:jc w:val="right"/>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19</w:t>
            </w:r>
            <w:r w:rsidR="00341016">
              <w:rPr>
                <w:rFonts w:ascii="Century Gothic" w:eastAsia="Times New Roman" w:hAnsi="Century Gothic" w:cs="Arial"/>
                <w:b/>
                <w:color w:val="000000"/>
                <w:sz w:val="20"/>
                <w:szCs w:val="20"/>
                <w:lang w:val="es-ES"/>
              </w:rPr>
              <w:t>.</w:t>
            </w:r>
            <w:r w:rsidRPr="00341016">
              <w:rPr>
                <w:rFonts w:ascii="Century Gothic" w:eastAsia="Times New Roman" w:hAnsi="Century Gothic" w:cs="Arial"/>
                <w:b/>
                <w:color w:val="000000"/>
                <w:sz w:val="20"/>
                <w:szCs w:val="20"/>
                <w:lang w:val="es-ES"/>
              </w:rPr>
              <w:t xml:space="preserve">553 </w:t>
            </w:r>
          </w:p>
        </w:tc>
        <w:tc>
          <w:tcPr>
            <w:tcW w:w="1425" w:type="dxa"/>
            <w:tcBorders>
              <w:top w:val="nil"/>
              <w:left w:val="nil"/>
              <w:bottom w:val="single" w:sz="4" w:space="0" w:color="auto"/>
              <w:right w:val="single" w:sz="4" w:space="0" w:color="auto"/>
            </w:tcBorders>
            <w:shd w:val="clear" w:color="auto" w:fill="C4D79B"/>
            <w:noWrap/>
            <w:vAlign w:val="center"/>
            <w:hideMark/>
          </w:tcPr>
          <w:p w14:paraId="794FFDAC" w14:textId="53C6AEB0" w:rsidR="00E6494E" w:rsidRPr="00341016" w:rsidRDefault="00E6494E" w:rsidP="00E6494E">
            <w:pPr>
              <w:spacing w:after="0" w:line="240" w:lineRule="auto"/>
              <w:jc w:val="right"/>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23</w:t>
            </w:r>
            <w:r w:rsidR="00341016">
              <w:rPr>
                <w:rFonts w:ascii="Century Gothic" w:eastAsia="Times New Roman" w:hAnsi="Century Gothic" w:cs="Arial"/>
                <w:b/>
                <w:color w:val="000000"/>
                <w:sz w:val="20"/>
                <w:szCs w:val="20"/>
                <w:lang w:val="es-ES"/>
              </w:rPr>
              <w:t>.</w:t>
            </w:r>
            <w:r w:rsidRPr="00341016">
              <w:rPr>
                <w:rFonts w:ascii="Century Gothic" w:eastAsia="Times New Roman" w:hAnsi="Century Gothic" w:cs="Arial"/>
                <w:b/>
                <w:color w:val="000000"/>
                <w:sz w:val="20"/>
                <w:szCs w:val="20"/>
                <w:lang w:val="es-ES"/>
              </w:rPr>
              <w:t xml:space="preserve">683 </w:t>
            </w:r>
          </w:p>
        </w:tc>
        <w:tc>
          <w:tcPr>
            <w:tcW w:w="1261" w:type="dxa"/>
            <w:tcBorders>
              <w:top w:val="nil"/>
              <w:left w:val="nil"/>
              <w:bottom w:val="single" w:sz="4" w:space="0" w:color="auto"/>
              <w:right w:val="single" w:sz="4" w:space="0" w:color="auto"/>
            </w:tcBorders>
            <w:shd w:val="clear" w:color="auto" w:fill="C4D79B"/>
            <w:noWrap/>
            <w:vAlign w:val="center"/>
            <w:hideMark/>
          </w:tcPr>
          <w:p w14:paraId="0CC3BA41" w14:textId="4845B9A0" w:rsidR="00E6494E" w:rsidRPr="00341016" w:rsidRDefault="004F5BDD" w:rsidP="00E6494E">
            <w:pPr>
              <w:spacing w:after="0" w:line="240" w:lineRule="auto"/>
              <w:jc w:val="right"/>
              <w:rPr>
                <w:rFonts w:ascii="Century Gothic" w:eastAsia="Times New Roman" w:hAnsi="Century Gothic" w:cs="Arial"/>
                <w:b/>
                <w:color w:val="000000"/>
                <w:sz w:val="20"/>
                <w:szCs w:val="20"/>
                <w:lang w:val="es-ES"/>
              </w:rPr>
            </w:pPr>
            <w:r w:rsidRPr="00341016">
              <w:rPr>
                <w:rFonts w:ascii="Century Gothic" w:eastAsia="Times New Roman" w:hAnsi="Century Gothic" w:cs="Arial"/>
                <w:b/>
                <w:color w:val="000000"/>
                <w:sz w:val="20"/>
                <w:szCs w:val="20"/>
                <w:lang w:val="es-ES"/>
              </w:rPr>
              <w:t>21</w:t>
            </w:r>
          </w:p>
        </w:tc>
      </w:tr>
    </w:tbl>
    <w:p w14:paraId="1546C0A6" w14:textId="3C5D2C6A" w:rsidR="00E6494E" w:rsidRPr="00D5157C" w:rsidRDefault="00E6494E" w:rsidP="00E6494E">
      <w:pPr>
        <w:jc w:val="center"/>
        <w:rPr>
          <w:rFonts w:ascii="Century Gothic" w:hAnsi="Century Gothic"/>
          <w:lang w:val="es-ES" w:eastAsia="en-US"/>
        </w:rPr>
      </w:pPr>
      <w:r w:rsidRPr="00D5157C">
        <w:rPr>
          <w:rFonts w:ascii="Century Gothic" w:hAnsi="Century Gothic"/>
          <w:sz w:val="20"/>
          <w:lang w:val="es-ES"/>
        </w:rPr>
        <w:t>Fuente: Secretaría de Hacienda, 2018</w:t>
      </w:r>
    </w:p>
    <w:p w14:paraId="7F0D9A52" w14:textId="12A93A97" w:rsidR="005A07E6" w:rsidRPr="00D5157C" w:rsidRDefault="00E6494E" w:rsidP="00E6494E">
      <w:pPr>
        <w:jc w:val="both"/>
        <w:rPr>
          <w:rFonts w:ascii="Century Gothic" w:hAnsi="Century Gothic"/>
          <w:lang w:val="es-ES"/>
        </w:rPr>
      </w:pPr>
      <w:r w:rsidRPr="00D5157C">
        <w:rPr>
          <w:rFonts w:ascii="Century Gothic" w:hAnsi="Century Gothic"/>
          <w:lang w:val="es-ES"/>
        </w:rPr>
        <w:t>E</w:t>
      </w:r>
      <w:r w:rsidR="00D5157C" w:rsidRPr="00D5157C">
        <w:rPr>
          <w:rFonts w:ascii="Century Gothic" w:hAnsi="Century Gothic"/>
          <w:lang w:val="es-ES"/>
        </w:rPr>
        <w:t xml:space="preserve">l Fondo </w:t>
      </w:r>
      <w:r w:rsidR="00D5157C" w:rsidRPr="00D5157C">
        <w:rPr>
          <w:rFonts w:ascii="Century Gothic" w:eastAsia="Times New Roman" w:hAnsi="Century Gothic" w:cs="Arial"/>
          <w:color w:val="000000"/>
          <w:lang w:val="es-ES"/>
        </w:rPr>
        <w:t>Municipal de Gestión del Riesgo de Desastres</w:t>
      </w:r>
      <w:r w:rsidR="00D5157C" w:rsidRPr="00D5157C">
        <w:rPr>
          <w:rFonts w:ascii="Century Gothic" w:hAnsi="Century Gothic"/>
          <w:lang w:val="es-ES"/>
        </w:rPr>
        <w:t xml:space="preserve"> presenta un decrecimiento </w:t>
      </w:r>
      <w:r w:rsidRPr="00D5157C">
        <w:rPr>
          <w:rFonts w:ascii="Century Gothic" w:hAnsi="Century Gothic"/>
          <w:lang w:val="es-ES"/>
        </w:rPr>
        <w:t>en los ingresos proyectados</w:t>
      </w:r>
      <w:r w:rsidR="00D5157C" w:rsidRPr="00D5157C">
        <w:rPr>
          <w:rFonts w:ascii="Century Gothic" w:hAnsi="Century Gothic"/>
          <w:lang w:val="es-ES"/>
        </w:rPr>
        <w:t xml:space="preserve">, debido a que este fondo </w:t>
      </w:r>
      <w:r w:rsidRPr="00D5157C">
        <w:rPr>
          <w:rFonts w:ascii="Century Gothic" w:hAnsi="Century Gothic"/>
          <w:lang w:val="es-ES"/>
        </w:rPr>
        <w:t>se nutre del 4</w:t>
      </w:r>
      <w:r w:rsidR="004F5BDD" w:rsidRPr="00D5157C">
        <w:rPr>
          <w:rFonts w:ascii="Century Gothic" w:hAnsi="Century Gothic"/>
          <w:lang w:val="es-ES"/>
        </w:rPr>
        <w:t xml:space="preserve"> por ciento</w:t>
      </w:r>
      <w:r w:rsidRPr="00D5157C">
        <w:rPr>
          <w:rFonts w:ascii="Century Gothic" w:hAnsi="Century Gothic"/>
          <w:lang w:val="es-ES"/>
        </w:rPr>
        <w:t xml:space="preserve"> del </w:t>
      </w:r>
      <w:r w:rsidRPr="00D5157C">
        <w:rPr>
          <w:rFonts w:ascii="Century Gothic" w:hAnsi="Century Gothic"/>
          <w:lang w:val="es-ES"/>
        </w:rPr>
        <w:lastRenderedPageBreak/>
        <w:t>impuesto de industria y comercio</w:t>
      </w:r>
      <w:r w:rsidR="00D5157C" w:rsidRPr="00D5157C">
        <w:rPr>
          <w:rFonts w:ascii="Century Gothic" w:hAnsi="Century Gothic"/>
          <w:lang w:val="es-ES"/>
        </w:rPr>
        <w:t xml:space="preserve">, el cual </w:t>
      </w:r>
      <w:r w:rsidRPr="00D5157C">
        <w:rPr>
          <w:rFonts w:ascii="Century Gothic" w:hAnsi="Century Gothic"/>
          <w:lang w:val="es-ES"/>
        </w:rPr>
        <w:t>para el año 2019</w:t>
      </w:r>
      <w:r w:rsidR="00D5157C" w:rsidRPr="00D5157C">
        <w:rPr>
          <w:rFonts w:ascii="Century Gothic" w:hAnsi="Century Gothic"/>
          <w:lang w:val="es-ES"/>
        </w:rPr>
        <w:t xml:space="preserve"> se estima </w:t>
      </w:r>
      <w:r w:rsidRPr="00D5157C">
        <w:rPr>
          <w:rFonts w:ascii="Century Gothic" w:hAnsi="Century Gothic"/>
          <w:lang w:val="es-ES"/>
        </w:rPr>
        <w:t>un porcentaje inferior</w:t>
      </w:r>
      <w:r w:rsidR="00D5157C" w:rsidRPr="00D5157C">
        <w:rPr>
          <w:rFonts w:ascii="Century Gothic" w:hAnsi="Century Gothic"/>
          <w:lang w:val="es-ES"/>
        </w:rPr>
        <w:t xml:space="preserve"> de recaudo,</w:t>
      </w:r>
      <w:r w:rsidRPr="00D5157C">
        <w:rPr>
          <w:rFonts w:ascii="Century Gothic" w:hAnsi="Century Gothic"/>
          <w:lang w:val="es-ES"/>
        </w:rPr>
        <w:t xml:space="preserve"> teniendo en cuenta que la meta proyectada para el 2018 no se alcanzará a ejecutar.</w:t>
      </w:r>
    </w:p>
    <w:p w14:paraId="148CFE72" w14:textId="1F47644A" w:rsidR="00E6494E" w:rsidRPr="00D5157C" w:rsidRDefault="00E6494E" w:rsidP="00E6494E">
      <w:pPr>
        <w:spacing w:after="0" w:line="240" w:lineRule="auto"/>
        <w:jc w:val="center"/>
        <w:rPr>
          <w:rFonts w:ascii="Century Gothic" w:eastAsia="Times New Roman" w:hAnsi="Century Gothic" w:cs="Arial"/>
          <w:color w:val="000000"/>
          <w:lang w:val="es-ES"/>
        </w:rPr>
      </w:pPr>
      <w:bookmarkStart w:id="88" w:name="_Toc532570538"/>
      <w:r w:rsidRPr="00D5157C">
        <w:rPr>
          <w:rFonts w:ascii="Century Gothic" w:hAnsi="Century Gothic"/>
          <w:lang w:val="es-ES"/>
        </w:rPr>
        <w:t xml:space="preserve">Tabla </w:t>
      </w:r>
      <w:r w:rsidRPr="00D5157C">
        <w:rPr>
          <w:rFonts w:ascii="Century Gothic" w:hAnsi="Century Gothic"/>
          <w:lang w:val="es-ES"/>
        </w:rPr>
        <w:fldChar w:fldCharType="begin"/>
      </w:r>
      <w:r w:rsidRPr="00D5157C">
        <w:rPr>
          <w:rFonts w:ascii="Century Gothic" w:hAnsi="Century Gothic"/>
          <w:lang w:val="es-ES"/>
        </w:rPr>
        <w:instrText xml:space="preserve"> SEQ Tabla \* ARABIC </w:instrText>
      </w:r>
      <w:r w:rsidRPr="00D5157C">
        <w:rPr>
          <w:rFonts w:ascii="Century Gothic" w:hAnsi="Century Gothic"/>
          <w:lang w:val="es-ES"/>
        </w:rPr>
        <w:fldChar w:fldCharType="separate"/>
      </w:r>
      <w:r w:rsidR="00934BA3" w:rsidRPr="00D5157C">
        <w:rPr>
          <w:rFonts w:ascii="Century Gothic" w:hAnsi="Century Gothic"/>
          <w:noProof/>
          <w:lang w:val="es-ES"/>
        </w:rPr>
        <w:t>47</w:t>
      </w:r>
      <w:r w:rsidRPr="00D5157C">
        <w:rPr>
          <w:rFonts w:ascii="Century Gothic" w:hAnsi="Century Gothic"/>
          <w:lang w:val="es-ES"/>
        </w:rPr>
        <w:fldChar w:fldCharType="end"/>
      </w:r>
      <w:r w:rsidRPr="00D5157C">
        <w:rPr>
          <w:rFonts w:ascii="Century Gothic" w:hAnsi="Century Gothic"/>
          <w:lang w:val="es-ES"/>
        </w:rPr>
        <w:t>.</w:t>
      </w:r>
      <w:r w:rsidRPr="00D5157C">
        <w:rPr>
          <w:rFonts w:ascii="Century Gothic" w:hAnsi="Century Gothic"/>
          <w:b/>
          <w:lang w:val="es-ES"/>
        </w:rPr>
        <w:t xml:space="preserve"> </w:t>
      </w:r>
      <w:r w:rsidRPr="00D5157C">
        <w:rPr>
          <w:rFonts w:ascii="Century Gothic" w:eastAsia="Times New Roman" w:hAnsi="Century Gothic" w:cs="Arial"/>
          <w:color w:val="000000"/>
          <w:lang w:val="es-ES"/>
        </w:rPr>
        <w:t>Comparativo presupuesto inicial Fondo Municipal de Gestión del Riesgo de Desastres 201</w:t>
      </w:r>
      <w:r w:rsidR="00C75686" w:rsidRPr="00D5157C">
        <w:rPr>
          <w:rFonts w:ascii="Century Gothic" w:eastAsia="Times New Roman" w:hAnsi="Century Gothic" w:cs="Arial"/>
          <w:color w:val="000000"/>
          <w:lang w:val="es-ES"/>
        </w:rPr>
        <w:t>8</w:t>
      </w:r>
      <w:r w:rsidRPr="00D5157C">
        <w:rPr>
          <w:rFonts w:ascii="Century Gothic" w:eastAsia="Times New Roman" w:hAnsi="Century Gothic" w:cs="Arial"/>
          <w:color w:val="000000"/>
          <w:lang w:val="es-ES"/>
        </w:rPr>
        <w:t xml:space="preserve"> </w:t>
      </w:r>
      <w:r w:rsidR="00C75686" w:rsidRPr="00D5157C">
        <w:rPr>
          <w:rFonts w:ascii="Century Gothic" w:eastAsia="Times New Roman" w:hAnsi="Century Gothic" w:cs="Arial"/>
          <w:color w:val="000000"/>
          <w:lang w:val="es-ES"/>
        </w:rPr>
        <w:t>–</w:t>
      </w:r>
      <w:r w:rsidRPr="00D5157C">
        <w:rPr>
          <w:rFonts w:ascii="Century Gothic" w:eastAsia="Times New Roman" w:hAnsi="Century Gothic" w:cs="Arial"/>
          <w:color w:val="000000"/>
          <w:lang w:val="es-ES"/>
        </w:rPr>
        <w:t xml:space="preserve"> 2019</w:t>
      </w:r>
      <w:r w:rsidR="00C75686" w:rsidRPr="00D5157C">
        <w:rPr>
          <w:rFonts w:ascii="Century Gothic" w:eastAsia="Times New Roman" w:hAnsi="Century Gothic" w:cs="Arial"/>
          <w:color w:val="000000"/>
          <w:lang w:val="es-ES"/>
        </w:rPr>
        <w:t xml:space="preserve"> </w:t>
      </w:r>
      <w:r w:rsidR="00C75686" w:rsidRPr="00D5157C">
        <w:rPr>
          <w:rFonts w:ascii="Century Gothic" w:hAnsi="Century Gothic"/>
          <w:lang w:val="es-ES"/>
        </w:rPr>
        <w:t>(millones de pesos)</w:t>
      </w:r>
      <w:bookmarkEnd w:id="88"/>
    </w:p>
    <w:tbl>
      <w:tblPr>
        <w:tblW w:w="9001" w:type="dxa"/>
        <w:tblCellMar>
          <w:left w:w="70" w:type="dxa"/>
          <w:right w:w="70" w:type="dxa"/>
        </w:tblCellMar>
        <w:tblLook w:val="04A0" w:firstRow="1" w:lastRow="0" w:firstColumn="1" w:lastColumn="0" w:noHBand="0" w:noVBand="1"/>
      </w:tblPr>
      <w:tblGrid>
        <w:gridCol w:w="3940"/>
        <w:gridCol w:w="1740"/>
        <w:gridCol w:w="2020"/>
        <w:gridCol w:w="1301"/>
      </w:tblGrid>
      <w:tr w:rsidR="00E6494E" w:rsidRPr="00D5157C" w14:paraId="25DA192E" w14:textId="77777777" w:rsidTr="00E6494E">
        <w:trPr>
          <w:trHeight w:val="660"/>
        </w:trPr>
        <w:tc>
          <w:tcPr>
            <w:tcW w:w="3940" w:type="dxa"/>
            <w:tcBorders>
              <w:top w:val="single" w:sz="4" w:space="0" w:color="auto"/>
              <w:left w:val="single" w:sz="4" w:space="0" w:color="auto"/>
              <w:bottom w:val="single" w:sz="4" w:space="0" w:color="auto"/>
              <w:right w:val="single" w:sz="4" w:space="0" w:color="auto"/>
            </w:tcBorders>
            <w:shd w:val="clear" w:color="auto" w:fill="C4D79B"/>
            <w:vAlign w:val="center"/>
            <w:hideMark/>
          </w:tcPr>
          <w:p w14:paraId="1C8E16A4" w14:textId="3564DE26" w:rsidR="00E6494E" w:rsidRPr="00D5157C" w:rsidRDefault="00E6494E" w:rsidP="00E6494E">
            <w:pPr>
              <w:spacing w:after="0" w:line="240" w:lineRule="auto"/>
              <w:jc w:val="center"/>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Concepto</w:t>
            </w:r>
          </w:p>
        </w:tc>
        <w:tc>
          <w:tcPr>
            <w:tcW w:w="1740" w:type="dxa"/>
            <w:tcBorders>
              <w:top w:val="single" w:sz="4" w:space="0" w:color="auto"/>
              <w:left w:val="nil"/>
              <w:bottom w:val="single" w:sz="4" w:space="0" w:color="auto"/>
              <w:right w:val="single" w:sz="4" w:space="0" w:color="auto"/>
            </w:tcBorders>
            <w:shd w:val="clear" w:color="auto" w:fill="C4D79B"/>
            <w:vAlign w:val="center"/>
            <w:hideMark/>
          </w:tcPr>
          <w:p w14:paraId="12075565" w14:textId="3903A873" w:rsidR="00E6494E" w:rsidRPr="00D5157C" w:rsidRDefault="00E6494E" w:rsidP="00E6494E">
            <w:pPr>
              <w:spacing w:after="0" w:line="240" w:lineRule="auto"/>
              <w:jc w:val="center"/>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Presupuesto inicial 2018</w:t>
            </w:r>
          </w:p>
        </w:tc>
        <w:tc>
          <w:tcPr>
            <w:tcW w:w="2020" w:type="dxa"/>
            <w:tcBorders>
              <w:top w:val="single" w:sz="4" w:space="0" w:color="auto"/>
              <w:left w:val="nil"/>
              <w:bottom w:val="single" w:sz="4" w:space="0" w:color="auto"/>
              <w:right w:val="single" w:sz="4" w:space="0" w:color="auto"/>
            </w:tcBorders>
            <w:shd w:val="clear" w:color="auto" w:fill="C4D79B"/>
            <w:vAlign w:val="center"/>
            <w:hideMark/>
          </w:tcPr>
          <w:p w14:paraId="3E63AD34" w14:textId="3893250A" w:rsidR="00E6494E" w:rsidRPr="00D5157C" w:rsidRDefault="00E6494E" w:rsidP="00E6494E">
            <w:pPr>
              <w:spacing w:after="0" w:line="240" w:lineRule="auto"/>
              <w:jc w:val="center"/>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Presupuesto inicial 2019</w:t>
            </w:r>
          </w:p>
        </w:tc>
        <w:tc>
          <w:tcPr>
            <w:tcW w:w="1301" w:type="dxa"/>
            <w:tcBorders>
              <w:top w:val="single" w:sz="4" w:space="0" w:color="auto"/>
              <w:left w:val="nil"/>
              <w:bottom w:val="single" w:sz="4" w:space="0" w:color="auto"/>
              <w:right w:val="single" w:sz="4" w:space="0" w:color="auto"/>
            </w:tcBorders>
            <w:shd w:val="clear" w:color="auto" w:fill="C4D79B"/>
            <w:vAlign w:val="center"/>
            <w:hideMark/>
          </w:tcPr>
          <w:p w14:paraId="10F86F7F" w14:textId="57DAEB05" w:rsidR="00E6494E" w:rsidRPr="00D5157C" w:rsidRDefault="00E6494E" w:rsidP="00E6494E">
            <w:pPr>
              <w:spacing w:after="0" w:line="240" w:lineRule="auto"/>
              <w:jc w:val="center"/>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Variación %</w:t>
            </w:r>
          </w:p>
        </w:tc>
      </w:tr>
      <w:tr w:rsidR="00E6494E" w:rsidRPr="00D5157C" w14:paraId="36FFA229" w14:textId="77777777" w:rsidTr="00E6494E">
        <w:trPr>
          <w:trHeight w:val="58"/>
        </w:trPr>
        <w:tc>
          <w:tcPr>
            <w:tcW w:w="3940" w:type="dxa"/>
            <w:tcBorders>
              <w:top w:val="nil"/>
              <w:left w:val="single" w:sz="8" w:space="0" w:color="auto"/>
              <w:bottom w:val="single" w:sz="4" w:space="0" w:color="auto"/>
              <w:right w:val="single" w:sz="4" w:space="0" w:color="auto"/>
            </w:tcBorders>
            <w:vAlign w:val="bottom"/>
            <w:hideMark/>
          </w:tcPr>
          <w:p w14:paraId="3B04BC79" w14:textId="63C30D36" w:rsidR="00E6494E" w:rsidRPr="00D5157C" w:rsidRDefault="00E6494E">
            <w:pPr>
              <w:spacing w:after="0" w:line="240" w:lineRule="auto"/>
              <w:rPr>
                <w:rFonts w:ascii="Century Gothic" w:eastAsia="Times New Roman" w:hAnsi="Century Gothic" w:cs="Arial"/>
                <w:color w:val="000000"/>
                <w:lang w:val="es-ES"/>
              </w:rPr>
            </w:pPr>
            <w:r w:rsidRPr="00D5157C">
              <w:rPr>
                <w:rFonts w:ascii="Century Gothic" w:eastAsia="Times New Roman" w:hAnsi="Century Gothic" w:cs="Arial"/>
                <w:color w:val="000000"/>
                <w:lang w:val="es-ES"/>
              </w:rPr>
              <w:t xml:space="preserve">Ingresos </w:t>
            </w:r>
            <w:r w:rsidR="00B2129A" w:rsidRPr="00D5157C">
              <w:rPr>
                <w:rFonts w:ascii="Century Gothic" w:eastAsia="Times New Roman" w:hAnsi="Century Gothic" w:cs="Arial"/>
                <w:color w:val="000000"/>
                <w:lang w:val="es-ES"/>
              </w:rPr>
              <w:t>corrientes</w:t>
            </w:r>
          </w:p>
        </w:tc>
        <w:tc>
          <w:tcPr>
            <w:tcW w:w="1740" w:type="dxa"/>
            <w:tcBorders>
              <w:top w:val="nil"/>
              <w:left w:val="nil"/>
              <w:bottom w:val="single" w:sz="4" w:space="0" w:color="auto"/>
              <w:right w:val="single" w:sz="4" w:space="0" w:color="auto"/>
            </w:tcBorders>
            <w:noWrap/>
            <w:vAlign w:val="center"/>
            <w:hideMark/>
          </w:tcPr>
          <w:p w14:paraId="3FBF41BA" w14:textId="0795F542" w:rsidR="00E6494E" w:rsidRPr="00D5157C" w:rsidRDefault="00341016" w:rsidP="00E6494E">
            <w:pPr>
              <w:spacing w:after="0" w:line="240" w:lineRule="auto"/>
              <w:jc w:val="right"/>
              <w:rPr>
                <w:rFonts w:ascii="Century Gothic" w:eastAsia="Times New Roman" w:hAnsi="Century Gothic" w:cs="Arial"/>
                <w:color w:val="000000"/>
                <w:lang w:val="es-ES"/>
              </w:rPr>
            </w:pPr>
            <w:r>
              <w:rPr>
                <w:rFonts w:ascii="Century Gothic" w:eastAsia="Times New Roman" w:hAnsi="Century Gothic" w:cs="Arial"/>
                <w:color w:val="000000"/>
                <w:lang w:val="es-ES"/>
              </w:rPr>
              <w:t>1.</w:t>
            </w:r>
            <w:r w:rsidR="00E6494E" w:rsidRPr="00D5157C">
              <w:rPr>
                <w:rFonts w:ascii="Century Gothic" w:eastAsia="Times New Roman" w:hAnsi="Century Gothic" w:cs="Arial"/>
                <w:color w:val="000000"/>
                <w:lang w:val="es-ES"/>
              </w:rPr>
              <w:t xml:space="preserve">639 </w:t>
            </w:r>
          </w:p>
        </w:tc>
        <w:tc>
          <w:tcPr>
            <w:tcW w:w="2020" w:type="dxa"/>
            <w:tcBorders>
              <w:top w:val="nil"/>
              <w:left w:val="nil"/>
              <w:bottom w:val="single" w:sz="4" w:space="0" w:color="auto"/>
              <w:right w:val="single" w:sz="4" w:space="0" w:color="auto"/>
            </w:tcBorders>
            <w:noWrap/>
            <w:vAlign w:val="center"/>
            <w:hideMark/>
          </w:tcPr>
          <w:p w14:paraId="27495942" w14:textId="2D07D986" w:rsidR="00E6494E" w:rsidRPr="00D5157C" w:rsidRDefault="00341016" w:rsidP="00E6494E">
            <w:pPr>
              <w:spacing w:after="0" w:line="240" w:lineRule="auto"/>
              <w:jc w:val="right"/>
              <w:rPr>
                <w:rFonts w:ascii="Century Gothic" w:eastAsia="Times New Roman" w:hAnsi="Century Gothic" w:cs="Arial"/>
                <w:color w:val="000000"/>
                <w:lang w:val="es-ES"/>
              </w:rPr>
            </w:pPr>
            <w:r>
              <w:rPr>
                <w:rFonts w:ascii="Century Gothic" w:eastAsia="Times New Roman" w:hAnsi="Century Gothic" w:cs="Arial"/>
                <w:color w:val="000000"/>
                <w:lang w:val="es-ES"/>
              </w:rPr>
              <w:t>1.</w:t>
            </w:r>
            <w:r w:rsidR="00E6494E" w:rsidRPr="00D5157C">
              <w:rPr>
                <w:rFonts w:ascii="Century Gothic" w:eastAsia="Times New Roman" w:hAnsi="Century Gothic" w:cs="Arial"/>
                <w:color w:val="000000"/>
                <w:lang w:val="es-ES"/>
              </w:rPr>
              <w:t xml:space="preserve">643 </w:t>
            </w:r>
          </w:p>
        </w:tc>
        <w:tc>
          <w:tcPr>
            <w:tcW w:w="1301" w:type="dxa"/>
            <w:tcBorders>
              <w:top w:val="nil"/>
              <w:left w:val="nil"/>
              <w:bottom w:val="single" w:sz="4" w:space="0" w:color="auto"/>
              <w:right w:val="single" w:sz="4" w:space="0" w:color="auto"/>
            </w:tcBorders>
            <w:noWrap/>
            <w:vAlign w:val="bottom"/>
            <w:hideMark/>
          </w:tcPr>
          <w:p w14:paraId="43F206E7" w14:textId="46F8F3C3" w:rsidR="00E6494E" w:rsidRPr="00D5157C" w:rsidRDefault="004F5BDD">
            <w:pPr>
              <w:spacing w:after="0" w:line="240" w:lineRule="auto"/>
              <w:jc w:val="right"/>
              <w:rPr>
                <w:rFonts w:ascii="Century Gothic" w:eastAsia="Times New Roman" w:hAnsi="Century Gothic" w:cs="Arial"/>
                <w:color w:val="000000"/>
                <w:lang w:val="es-ES"/>
              </w:rPr>
            </w:pPr>
            <w:r w:rsidRPr="00D5157C">
              <w:rPr>
                <w:rFonts w:ascii="Century Gothic" w:eastAsia="Times New Roman" w:hAnsi="Century Gothic" w:cs="Arial"/>
                <w:color w:val="000000"/>
                <w:lang w:val="es-ES"/>
              </w:rPr>
              <w:t>0.2</w:t>
            </w:r>
          </w:p>
        </w:tc>
      </w:tr>
      <w:tr w:rsidR="00E6494E" w:rsidRPr="00D5157C" w14:paraId="5E725618" w14:textId="77777777" w:rsidTr="00E6494E">
        <w:trPr>
          <w:trHeight w:val="58"/>
        </w:trPr>
        <w:tc>
          <w:tcPr>
            <w:tcW w:w="3940" w:type="dxa"/>
            <w:tcBorders>
              <w:top w:val="nil"/>
              <w:left w:val="single" w:sz="8" w:space="0" w:color="auto"/>
              <w:bottom w:val="single" w:sz="4" w:space="0" w:color="auto"/>
              <w:right w:val="single" w:sz="4" w:space="0" w:color="auto"/>
            </w:tcBorders>
            <w:vAlign w:val="bottom"/>
            <w:hideMark/>
          </w:tcPr>
          <w:p w14:paraId="07FCDB5C" w14:textId="77777777" w:rsidR="00E6494E" w:rsidRPr="00D5157C" w:rsidRDefault="00E6494E">
            <w:pPr>
              <w:spacing w:after="0" w:line="240" w:lineRule="auto"/>
              <w:rPr>
                <w:rFonts w:ascii="Century Gothic" w:eastAsia="Times New Roman" w:hAnsi="Century Gothic" w:cs="Arial"/>
                <w:color w:val="000000"/>
                <w:lang w:val="es-ES"/>
              </w:rPr>
            </w:pPr>
            <w:r w:rsidRPr="00D5157C">
              <w:rPr>
                <w:rFonts w:ascii="Century Gothic" w:eastAsia="Times New Roman" w:hAnsi="Century Gothic" w:cs="Arial"/>
                <w:color w:val="000000"/>
                <w:lang w:val="es-ES"/>
              </w:rPr>
              <w:t>Recursos de capital</w:t>
            </w:r>
          </w:p>
        </w:tc>
        <w:tc>
          <w:tcPr>
            <w:tcW w:w="1740" w:type="dxa"/>
            <w:tcBorders>
              <w:top w:val="nil"/>
              <w:left w:val="nil"/>
              <w:bottom w:val="single" w:sz="4" w:space="0" w:color="auto"/>
              <w:right w:val="single" w:sz="4" w:space="0" w:color="auto"/>
            </w:tcBorders>
            <w:noWrap/>
            <w:vAlign w:val="center"/>
            <w:hideMark/>
          </w:tcPr>
          <w:p w14:paraId="0A781172" w14:textId="67052A79" w:rsidR="00E6494E" w:rsidRPr="00D5157C" w:rsidRDefault="00E6494E" w:rsidP="00E6494E">
            <w:pPr>
              <w:spacing w:after="0" w:line="240" w:lineRule="auto"/>
              <w:jc w:val="right"/>
              <w:rPr>
                <w:rFonts w:ascii="Century Gothic" w:eastAsia="Times New Roman" w:hAnsi="Century Gothic" w:cs="Arial"/>
                <w:color w:val="000000"/>
                <w:lang w:val="es-ES"/>
              </w:rPr>
            </w:pPr>
            <w:r w:rsidRPr="00D5157C">
              <w:rPr>
                <w:rFonts w:ascii="Century Gothic" w:eastAsia="Times New Roman" w:hAnsi="Century Gothic" w:cs="Arial"/>
                <w:color w:val="000000"/>
                <w:lang w:val="es-ES"/>
              </w:rPr>
              <w:t xml:space="preserve">450 </w:t>
            </w:r>
          </w:p>
        </w:tc>
        <w:tc>
          <w:tcPr>
            <w:tcW w:w="2020" w:type="dxa"/>
            <w:tcBorders>
              <w:top w:val="nil"/>
              <w:left w:val="nil"/>
              <w:bottom w:val="single" w:sz="4" w:space="0" w:color="auto"/>
              <w:right w:val="single" w:sz="4" w:space="0" w:color="auto"/>
            </w:tcBorders>
            <w:noWrap/>
            <w:vAlign w:val="center"/>
            <w:hideMark/>
          </w:tcPr>
          <w:p w14:paraId="3B41FEA8" w14:textId="2760A00D" w:rsidR="00E6494E" w:rsidRPr="00D5157C" w:rsidRDefault="00E6494E" w:rsidP="00E6494E">
            <w:pPr>
              <w:spacing w:after="0" w:line="240" w:lineRule="auto"/>
              <w:jc w:val="right"/>
              <w:rPr>
                <w:rFonts w:ascii="Century Gothic" w:eastAsia="Times New Roman" w:hAnsi="Century Gothic" w:cs="Arial"/>
                <w:color w:val="000000"/>
                <w:lang w:val="es-ES"/>
              </w:rPr>
            </w:pPr>
            <w:r w:rsidRPr="00D5157C">
              <w:rPr>
                <w:rFonts w:ascii="Century Gothic" w:eastAsia="Times New Roman" w:hAnsi="Century Gothic" w:cs="Arial"/>
                <w:color w:val="000000"/>
                <w:lang w:val="es-ES"/>
              </w:rPr>
              <w:t xml:space="preserve">150 </w:t>
            </w:r>
          </w:p>
        </w:tc>
        <w:tc>
          <w:tcPr>
            <w:tcW w:w="1301" w:type="dxa"/>
            <w:tcBorders>
              <w:top w:val="nil"/>
              <w:left w:val="nil"/>
              <w:bottom w:val="single" w:sz="4" w:space="0" w:color="auto"/>
              <w:right w:val="single" w:sz="4" w:space="0" w:color="auto"/>
            </w:tcBorders>
            <w:noWrap/>
            <w:vAlign w:val="bottom"/>
            <w:hideMark/>
          </w:tcPr>
          <w:p w14:paraId="6DD34E5E" w14:textId="3722BEF5" w:rsidR="00E6494E" w:rsidRPr="00D5157C" w:rsidRDefault="004F5BDD">
            <w:pPr>
              <w:spacing w:after="0" w:line="240" w:lineRule="auto"/>
              <w:jc w:val="right"/>
              <w:rPr>
                <w:rFonts w:ascii="Century Gothic" w:eastAsia="Times New Roman" w:hAnsi="Century Gothic" w:cs="Arial"/>
                <w:color w:val="000000"/>
                <w:lang w:val="es-ES"/>
              </w:rPr>
            </w:pPr>
            <w:r w:rsidRPr="00D5157C">
              <w:rPr>
                <w:rFonts w:ascii="Century Gothic" w:eastAsia="Times New Roman" w:hAnsi="Century Gothic" w:cs="Arial"/>
                <w:color w:val="000000"/>
                <w:lang w:val="es-ES"/>
              </w:rPr>
              <w:t>-67</w:t>
            </w:r>
          </w:p>
        </w:tc>
      </w:tr>
      <w:tr w:rsidR="00E6494E" w:rsidRPr="00D5157C" w14:paraId="5564BD1C" w14:textId="77777777" w:rsidTr="00E6494E">
        <w:trPr>
          <w:trHeight w:val="58"/>
        </w:trPr>
        <w:tc>
          <w:tcPr>
            <w:tcW w:w="3940" w:type="dxa"/>
            <w:tcBorders>
              <w:top w:val="nil"/>
              <w:left w:val="single" w:sz="4" w:space="0" w:color="auto"/>
              <w:bottom w:val="single" w:sz="4" w:space="0" w:color="auto"/>
              <w:right w:val="single" w:sz="4" w:space="0" w:color="auto"/>
            </w:tcBorders>
            <w:shd w:val="clear" w:color="auto" w:fill="C4D79B"/>
            <w:vAlign w:val="bottom"/>
            <w:hideMark/>
          </w:tcPr>
          <w:p w14:paraId="635DD0C6" w14:textId="77777777" w:rsidR="00E6494E" w:rsidRPr="00D5157C" w:rsidRDefault="00E6494E">
            <w:pPr>
              <w:spacing w:after="0" w:line="240" w:lineRule="auto"/>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Total</w:t>
            </w:r>
          </w:p>
        </w:tc>
        <w:tc>
          <w:tcPr>
            <w:tcW w:w="1740" w:type="dxa"/>
            <w:tcBorders>
              <w:top w:val="nil"/>
              <w:left w:val="nil"/>
              <w:bottom w:val="single" w:sz="4" w:space="0" w:color="auto"/>
              <w:right w:val="single" w:sz="4" w:space="0" w:color="auto"/>
            </w:tcBorders>
            <w:shd w:val="clear" w:color="auto" w:fill="C4D79B"/>
            <w:noWrap/>
            <w:vAlign w:val="center"/>
            <w:hideMark/>
          </w:tcPr>
          <w:p w14:paraId="211F3803" w14:textId="4C3B4763" w:rsidR="00E6494E" w:rsidRPr="00D5157C" w:rsidRDefault="00E6494E" w:rsidP="00E6494E">
            <w:pPr>
              <w:spacing w:after="0" w:line="240" w:lineRule="auto"/>
              <w:jc w:val="right"/>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 xml:space="preserve">450 </w:t>
            </w:r>
          </w:p>
        </w:tc>
        <w:tc>
          <w:tcPr>
            <w:tcW w:w="2020" w:type="dxa"/>
            <w:tcBorders>
              <w:top w:val="nil"/>
              <w:left w:val="nil"/>
              <w:bottom w:val="single" w:sz="4" w:space="0" w:color="auto"/>
              <w:right w:val="single" w:sz="4" w:space="0" w:color="auto"/>
            </w:tcBorders>
            <w:shd w:val="clear" w:color="auto" w:fill="C4D79B"/>
            <w:noWrap/>
            <w:vAlign w:val="center"/>
            <w:hideMark/>
          </w:tcPr>
          <w:p w14:paraId="45B49D23" w14:textId="40E8EA8A" w:rsidR="00E6494E" w:rsidRPr="00D5157C" w:rsidRDefault="00E6494E" w:rsidP="00E6494E">
            <w:pPr>
              <w:spacing w:after="0" w:line="240" w:lineRule="auto"/>
              <w:jc w:val="right"/>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 xml:space="preserve">150 </w:t>
            </w:r>
          </w:p>
        </w:tc>
        <w:tc>
          <w:tcPr>
            <w:tcW w:w="1301" w:type="dxa"/>
            <w:tcBorders>
              <w:top w:val="nil"/>
              <w:left w:val="nil"/>
              <w:bottom w:val="single" w:sz="4" w:space="0" w:color="auto"/>
              <w:right w:val="single" w:sz="4" w:space="0" w:color="auto"/>
            </w:tcBorders>
            <w:shd w:val="clear" w:color="auto" w:fill="C4D79B"/>
            <w:noWrap/>
            <w:vAlign w:val="bottom"/>
            <w:hideMark/>
          </w:tcPr>
          <w:p w14:paraId="3CFD1D95" w14:textId="7F7DF888" w:rsidR="00E6494E" w:rsidRPr="00D5157C" w:rsidRDefault="004F5BDD">
            <w:pPr>
              <w:spacing w:after="0" w:line="240" w:lineRule="auto"/>
              <w:jc w:val="right"/>
              <w:rPr>
                <w:rFonts w:ascii="Century Gothic" w:eastAsia="Times New Roman" w:hAnsi="Century Gothic" w:cs="Arial"/>
                <w:b/>
                <w:color w:val="000000"/>
                <w:lang w:val="es-ES"/>
              </w:rPr>
            </w:pPr>
            <w:r w:rsidRPr="00D5157C">
              <w:rPr>
                <w:rFonts w:ascii="Century Gothic" w:eastAsia="Times New Roman" w:hAnsi="Century Gothic" w:cs="Arial"/>
                <w:b/>
                <w:color w:val="000000"/>
                <w:lang w:val="es-ES"/>
              </w:rPr>
              <w:t>-67</w:t>
            </w:r>
          </w:p>
        </w:tc>
      </w:tr>
    </w:tbl>
    <w:p w14:paraId="715F6EE3" w14:textId="77777777" w:rsidR="00E6494E" w:rsidRPr="00D5157C" w:rsidRDefault="00E6494E" w:rsidP="00E6494E">
      <w:pPr>
        <w:jc w:val="center"/>
        <w:rPr>
          <w:rFonts w:ascii="Century Gothic" w:hAnsi="Century Gothic"/>
          <w:sz w:val="20"/>
          <w:lang w:val="es-ES"/>
        </w:rPr>
      </w:pPr>
      <w:r w:rsidRPr="00D5157C">
        <w:rPr>
          <w:rFonts w:ascii="Century Gothic" w:hAnsi="Century Gothic"/>
          <w:sz w:val="20"/>
          <w:lang w:val="es-ES"/>
        </w:rPr>
        <w:t>Fuente: Secretaría de Hacienda, 2018</w:t>
      </w:r>
    </w:p>
    <w:p w14:paraId="169371B2" w14:textId="261A323C" w:rsidR="00AE1197" w:rsidRPr="00B2129A" w:rsidRDefault="00AE1197" w:rsidP="00AE1197">
      <w:pPr>
        <w:pStyle w:val="Ttulo3"/>
        <w:rPr>
          <w:lang w:val="es-ES"/>
        </w:rPr>
      </w:pPr>
      <w:bookmarkStart w:id="89" w:name="_Toc532565940"/>
      <w:r w:rsidRPr="00D5157C">
        <w:rPr>
          <w:lang w:val="es-ES"/>
        </w:rPr>
        <w:t xml:space="preserve">Recursos </w:t>
      </w:r>
      <w:r w:rsidRPr="00B2129A">
        <w:rPr>
          <w:lang w:val="es-ES"/>
        </w:rPr>
        <w:t>de capital</w:t>
      </w:r>
      <w:bookmarkEnd w:id="89"/>
    </w:p>
    <w:p w14:paraId="1A241180" w14:textId="44569B98" w:rsidR="003763EF" w:rsidRPr="00F55BF9" w:rsidRDefault="003763EF" w:rsidP="003763EF">
      <w:pPr>
        <w:jc w:val="both"/>
        <w:rPr>
          <w:rFonts w:ascii="Century Gothic" w:hAnsi="Century Gothic"/>
          <w:lang w:val="es-ES" w:eastAsia="en-US"/>
        </w:rPr>
      </w:pPr>
      <w:r w:rsidRPr="00B2129A">
        <w:rPr>
          <w:rFonts w:ascii="Century Gothic" w:hAnsi="Century Gothic"/>
          <w:lang w:val="es-ES" w:eastAsia="en-US"/>
        </w:rPr>
        <w:t>Los recursos de capital representan en la vigencia 2018 el 17 por ciento y en el 2019 representan el 16 por ciento del presupuesto, encontrándose un decrecimiento en los recursos de cofinanciación</w:t>
      </w:r>
      <w:r w:rsidR="00B2129A" w:rsidRPr="00B2129A">
        <w:rPr>
          <w:rFonts w:ascii="Century Gothic" w:hAnsi="Century Gothic"/>
          <w:lang w:val="es-ES" w:eastAsia="en-US"/>
        </w:rPr>
        <w:t>,</w:t>
      </w:r>
      <w:r w:rsidRPr="00B2129A">
        <w:rPr>
          <w:rFonts w:ascii="Century Gothic" w:hAnsi="Century Gothic"/>
          <w:lang w:val="es-ES" w:eastAsia="en-US"/>
        </w:rPr>
        <w:t xml:space="preserve"> </w:t>
      </w:r>
      <w:r w:rsidR="00107C1B">
        <w:rPr>
          <w:rFonts w:ascii="Century Gothic" w:hAnsi="Century Gothic"/>
          <w:lang w:val="es-ES" w:eastAsia="en-US"/>
        </w:rPr>
        <w:t xml:space="preserve">debido </w:t>
      </w:r>
      <w:r w:rsidRPr="00B2129A">
        <w:rPr>
          <w:rFonts w:ascii="Century Gothic" w:hAnsi="Century Gothic"/>
          <w:lang w:val="es-ES" w:eastAsia="en-US"/>
        </w:rPr>
        <w:t xml:space="preserve">a que los recursos que gira la nación para el Plan de Alimentación Escolar se reclasifican en transferencias. Los recursos del balance crecen en un 21 por ciento, se </w:t>
      </w:r>
      <w:r w:rsidR="00107C1B">
        <w:rPr>
          <w:rFonts w:ascii="Century Gothic" w:hAnsi="Century Gothic"/>
          <w:lang w:val="es-ES" w:eastAsia="en-US"/>
        </w:rPr>
        <w:t>proyectaron</w:t>
      </w:r>
      <w:r w:rsidRPr="00B2129A">
        <w:rPr>
          <w:rFonts w:ascii="Century Gothic" w:hAnsi="Century Gothic"/>
          <w:lang w:val="es-ES" w:eastAsia="en-US"/>
        </w:rPr>
        <w:t xml:space="preserve"> </w:t>
      </w:r>
      <w:r w:rsidR="00107C1B">
        <w:rPr>
          <w:rFonts w:ascii="Century Gothic" w:hAnsi="Century Gothic"/>
          <w:lang w:val="es-ES" w:eastAsia="en-US"/>
        </w:rPr>
        <w:t xml:space="preserve">en este concepto, </w:t>
      </w:r>
      <w:r w:rsidRPr="00B2129A">
        <w:rPr>
          <w:rFonts w:ascii="Century Gothic" w:hAnsi="Century Gothic"/>
          <w:lang w:val="es-ES" w:eastAsia="en-US"/>
        </w:rPr>
        <w:t xml:space="preserve">los recursos que no se </w:t>
      </w:r>
      <w:r w:rsidR="00107C1B">
        <w:rPr>
          <w:rFonts w:ascii="Century Gothic" w:hAnsi="Century Gothic"/>
          <w:lang w:val="es-ES" w:eastAsia="en-US"/>
        </w:rPr>
        <w:t>alcanzaría</w:t>
      </w:r>
      <w:r w:rsidRPr="00B2129A">
        <w:rPr>
          <w:rFonts w:ascii="Century Gothic" w:hAnsi="Century Gothic"/>
          <w:lang w:val="es-ES" w:eastAsia="en-US"/>
        </w:rPr>
        <w:t xml:space="preserve">n a ejecutar durante esta vigencia, como son los de desahorro </w:t>
      </w:r>
      <w:r w:rsidR="00D54630">
        <w:rPr>
          <w:rFonts w:ascii="Century Gothic" w:hAnsi="Century Gothic"/>
          <w:lang w:val="es-ES" w:eastAsia="en-US"/>
        </w:rPr>
        <w:t>FONPET</w:t>
      </w:r>
      <w:r w:rsidRPr="00B2129A">
        <w:rPr>
          <w:rFonts w:ascii="Century Gothic" w:hAnsi="Century Gothic"/>
          <w:lang w:val="es-ES" w:eastAsia="en-US"/>
        </w:rPr>
        <w:t xml:space="preserve"> y los de libre destinación.</w:t>
      </w:r>
    </w:p>
    <w:p w14:paraId="0245858A" w14:textId="6B9477CA" w:rsidR="00AE1197" w:rsidRPr="00107C1B" w:rsidRDefault="00AE1197" w:rsidP="00C71F26">
      <w:pPr>
        <w:spacing w:after="0"/>
        <w:jc w:val="center"/>
        <w:rPr>
          <w:rFonts w:ascii="Century Gothic" w:hAnsi="Century Gothic"/>
          <w:lang w:val="es-ES" w:eastAsia="en-US"/>
        </w:rPr>
      </w:pPr>
      <w:bookmarkStart w:id="90" w:name="_Toc532570539"/>
      <w:r w:rsidRPr="00107C1B">
        <w:rPr>
          <w:rFonts w:ascii="Century Gothic" w:hAnsi="Century Gothic"/>
          <w:lang w:val="es-ES"/>
        </w:rPr>
        <w:t xml:space="preserve">Tabla </w:t>
      </w:r>
      <w:r w:rsidRPr="00107C1B">
        <w:rPr>
          <w:rFonts w:ascii="Century Gothic" w:hAnsi="Century Gothic"/>
          <w:lang w:val="es-ES"/>
        </w:rPr>
        <w:fldChar w:fldCharType="begin"/>
      </w:r>
      <w:r w:rsidRPr="00107C1B">
        <w:rPr>
          <w:rFonts w:ascii="Century Gothic" w:hAnsi="Century Gothic"/>
          <w:lang w:val="es-ES"/>
        </w:rPr>
        <w:instrText xml:space="preserve"> SEQ Tabla \* ARABIC </w:instrText>
      </w:r>
      <w:r w:rsidRPr="00107C1B">
        <w:rPr>
          <w:rFonts w:ascii="Century Gothic" w:hAnsi="Century Gothic"/>
          <w:lang w:val="es-ES"/>
        </w:rPr>
        <w:fldChar w:fldCharType="separate"/>
      </w:r>
      <w:r w:rsidR="00934BA3" w:rsidRPr="00107C1B">
        <w:rPr>
          <w:rFonts w:ascii="Century Gothic" w:hAnsi="Century Gothic"/>
          <w:noProof/>
          <w:lang w:val="es-ES"/>
        </w:rPr>
        <w:t>48</w:t>
      </w:r>
      <w:r w:rsidRPr="00107C1B">
        <w:rPr>
          <w:rFonts w:ascii="Century Gothic" w:hAnsi="Century Gothic"/>
          <w:lang w:val="es-ES"/>
        </w:rPr>
        <w:fldChar w:fldCharType="end"/>
      </w:r>
      <w:r w:rsidRPr="00107C1B">
        <w:rPr>
          <w:rFonts w:ascii="Century Gothic" w:hAnsi="Century Gothic"/>
          <w:lang w:val="es-ES"/>
        </w:rPr>
        <w:t xml:space="preserve">. </w:t>
      </w:r>
      <w:r w:rsidR="00C71F26" w:rsidRPr="00107C1B">
        <w:rPr>
          <w:rFonts w:ascii="Century Gothic" w:hAnsi="Century Gothic"/>
          <w:lang w:val="es-ES"/>
        </w:rPr>
        <w:t>Comparativo recursos de capital (millones de pesos)</w:t>
      </w:r>
      <w:bookmarkEnd w:id="90"/>
    </w:p>
    <w:tbl>
      <w:tblPr>
        <w:tblW w:w="8085" w:type="dxa"/>
        <w:jc w:val="center"/>
        <w:tblCellMar>
          <w:left w:w="70" w:type="dxa"/>
          <w:right w:w="70" w:type="dxa"/>
        </w:tblCellMar>
        <w:tblLook w:val="04A0" w:firstRow="1" w:lastRow="0" w:firstColumn="1" w:lastColumn="0" w:noHBand="0" w:noVBand="1"/>
      </w:tblPr>
      <w:tblGrid>
        <w:gridCol w:w="3833"/>
        <w:gridCol w:w="1559"/>
        <w:gridCol w:w="1518"/>
        <w:gridCol w:w="1175"/>
      </w:tblGrid>
      <w:tr w:rsidR="003763EF" w:rsidRPr="00341016" w14:paraId="5515DB89" w14:textId="77777777" w:rsidTr="00341016">
        <w:trPr>
          <w:trHeight w:val="20"/>
          <w:tblHeader/>
          <w:jc w:val="center"/>
        </w:trPr>
        <w:tc>
          <w:tcPr>
            <w:tcW w:w="3833" w:type="dxa"/>
            <w:tcBorders>
              <w:top w:val="single" w:sz="4" w:space="0" w:color="auto"/>
              <w:left w:val="single" w:sz="4" w:space="0" w:color="auto"/>
              <w:bottom w:val="single" w:sz="4" w:space="0" w:color="auto"/>
              <w:right w:val="single" w:sz="4" w:space="0" w:color="auto"/>
            </w:tcBorders>
            <w:shd w:val="clear" w:color="auto" w:fill="C4D79B"/>
            <w:vAlign w:val="center"/>
            <w:hideMark/>
          </w:tcPr>
          <w:p w14:paraId="0B973906" w14:textId="77777777" w:rsidR="003763EF" w:rsidRPr="00341016" w:rsidRDefault="003763EF" w:rsidP="00704887">
            <w:pPr>
              <w:spacing w:after="0" w:line="240" w:lineRule="auto"/>
              <w:jc w:val="center"/>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Concepto</w:t>
            </w:r>
          </w:p>
        </w:tc>
        <w:tc>
          <w:tcPr>
            <w:tcW w:w="1559" w:type="dxa"/>
            <w:tcBorders>
              <w:top w:val="single" w:sz="4" w:space="0" w:color="auto"/>
              <w:left w:val="nil"/>
              <w:bottom w:val="single" w:sz="4" w:space="0" w:color="auto"/>
              <w:right w:val="single" w:sz="4" w:space="0" w:color="auto"/>
            </w:tcBorders>
            <w:shd w:val="clear" w:color="auto" w:fill="C4D79B"/>
            <w:vAlign w:val="center"/>
            <w:hideMark/>
          </w:tcPr>
          <w:p w14:paraId="4373454A" w14:textId="77777777" w:rsidR="003763EF" w:rsidRPr="00341016" w:rsidRDefault="003763EF" w:rsidP="00704887">
            <w:pPr>
              <w:spacing w:after="0" w:line="240" w:lineRule="auto"/>
              <w:jc w:val="center"/>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Presupuesto inicial 2018</w:t>
            </w:r>
          </w:p>
        </w:tc>
        <w:tc>
          <w:tcPr>
            <w:tcW w:w="1518" w:type="dxa"/>
            <w:tcBorders>
              <w:top w:val="single" w:sz="4" w:space="0" w:color="auto"/>
              <w:left w:val="nil"/>
              <w:bottom w:val="single" w:sz="4" w:space="0" w:color="auto"/>
              <w:right w:val="single" w:sz="4" w:space="0" w:color="auto"/>
            </w:tcBorders>
            <w:shd w:val="clear" w:color="auto" w:fill="C4D79B"/>
            <w:vAlign w:val="center"/>
            <w:hideMark/>
          </w:tcPr>
          <w:p w14:paraId="383604DF" w14:textId="77777777" w:rsidR="003763EF" w:rsidRPr="00341016" w:rsidRDefault="003763EF" w:rsidP="00704887">
            <w:pPr>
              <w:spacing w:after="0" w:line="240" w:lineRule="auto"/>
              <w:jc w:val="center"/>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Presupuesto inicial 2019</w:t>
            </w:r>
          </w:p>
        </w:tc>
        <w:tc>
          <w:tcPr>
            <w:tcW w:w="1175" w:type="dxa"/>
            <w:tcBorders>
              <w:top w:val="single" w:sz="4" w:space="0" w:color="auto"/>
              <w:left w:val="nil"/>
              <w:bottom w:val="single" w:sz="4" w:space="0" w:color="auto"/>
              <w:right w:val="single" w:sz="4" w:space="0" w:color="auto"/>
            </w:tcBorders>
            <w:shd w:val="clear" w:color="auto" w:fill="C4D79B"/>
            <w:vAlign w:val="center"/>
            <w:hideMark/>
          </w:tcPr>
          <w:p w14:paraId="0B65A273" w14:textId="77777777" w:rsidR="003763EF" w:rsidRPr="00341016" w:rsidRDefault="003763EF" w:rsidP="00704887">
            <w:pPr>
              <w:spacing w:after="0" w:line="240" w:lineRule="auto"/>
              <w:jc w:val="center"/>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 Variación</w:t>
            </w:r>
          </w:p>
        </w:tc>
      </w:tr>
      <w:tr w:rsidR="003763EF" w:rsidRPr="00341016" w14:paraId="6EF8C759"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4293F4BB"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Recursos de cofinanciación</w:t>
            </w:r>
          </w:p>
        </w:tc>
        <w:tc>
          <w:tcPr>
            <w:tcW w:w="1559" w:type="dxa"/>
            <w:tcBorders>
              <w:top w:val="nil"/>
              <w:left w:val="nil"/>
              <w:bottom w:val="single" w:sz="4" w:space="0" w:color="auto"/>
              <w:right w:val="single" w:sz="4" w:space="0" w:color="auto"/>
            </w:tcBorders>
            <w:noWrap/>
            <w:vAlign w:val="center"/>
            <w:hideMark/>
          </w:tcPr>
          <w:p w14:paraId="41207B3B"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9.750 </w:t>
            </w:r>
          </w:p>
        </w:tc>
        <w:tc>
          <w:tcPr>
            <w:tcW w:w="1518" w:type="dxa"/>
            <w:tcBorders>
              <w:top w:val="nil"/>
              <w:left w:val="nil"/>
              <w:bottom w:val="single" w:sz="4" w:space="0" w:color="auto"/>
              <w:right w:val="single" w:sz="4" w:space="0" w:color="auto"/>
            </w:tcBorders>
            <w:noWrap/>
            <w:vAlign w:val="center"/>
            <w:hideMark/>
          </w:tcPr>
          <w:p w14:paraId="16246359"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57 </w:t>
            </w:r>
          </w:p>
        </w:tc>
        <w:tc>
          <w:tcPr>
            <w:tcW w:w="1175" w:type="dxa"/>
            <w:tcBorders>
              <w:top w:val="nil"/>
              <w:left w:val="nil"/>
              <w:bottom w:val="single" w:sz="4" w:space="0" w:color="auto"/>
              <w:right w:val="single" w:sz="4" w:space="0" w:color="auto"/>
            </w:tcBorders>
            <w:noWrap/>
            <w:vAlign w:val="center"/>
            <w:hideMark/>
          </w:tcPr>
          <w:p w14:paraId="0D0409CD"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-99</w:t>
            </w:r>
          </w:p>
        </w:tc>
      </w:tr>
      <w:tr w:rsidR="003763EF" w:rsidRPr="00341016" w14:paraId="4670AF33"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5904A548"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Recursos de crédito</w:t>
            </w:r>
          </w:p>
        </w:tc>
        <w:tc>
          <w:tcPr>
            <w:tcW w:w="1559" w:type="dxa"/>
            <w:tcBorders>
              <w:top w:val="nil"/>
              <w:left w:val="nil"/>
              <w:bottom w:val="single" w:sz="4" w:space="0" w:color="auto"/>
              <w:right w:val="single" w:sz="4" w:space="0" w:color="auto"/>
            </w:tcBorders>
            <w:noWrap/>
            <w:vAlign w:val="center"/>
            <w:hideMark/>
          </w:tcPr>
          <w:p w14:paraId="2245900D"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24.374 </w:t>
            </w:r>
          </w:p>
        </w:tc>
        <w:tc>
          <w:tcPr>
            <w:tcW w:w="1518" w:type="dxa"/>
            <w:tcBorders>
              <w:top w:val="nil"/>
              <w:left w:val="nil"/>
              <w:bottom w:val="single" w:sz="4" w:space="0" w:color="auto"/>
              <w:right w:val="single" w:sz="4" w:space="0" w:color="auto"/>
            </w:tcBorders>
            <w:noWrap/>
            <w:vAlign w:val="center"/>
            <w:hideMark/>
          </w:tcPr>
          <w:p w14:paraId="61B414D8"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26.100 </w:t>
            </w:r>
          </w:p>
        </w:tc>
        <w:tc>
          <w:tcPr>
            <w:tcW w:w="1175" w:type="dxa"/>
            <w:tcBorders>
              <w:top w:val="nil"/>
              <w:left w:val="nil"/>
              <w:bottom w:val="single" w:sz="4" w:space="0" w:color="auto"/>
              <w:right w:val="single" w:sz="4" w:space="0" w:color="auto"/>
            </w:tcBorders>
            <w:noWrap/>
            <w:vAlign w:val="center"/>
            <w:hideMark/>
          </w:tcPr>
          <w:p w14:paraId="54907F4E"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7</w:t>
            </w:r>
          </w:p>
        </w:tc>
      </w:tr>
      <w:tr w:rsidR="003763EF" w:rsidRPr="00341016" w14:paraId="17386224" w14:textId="77777777" w:rsidTr="002806C0">
        <w:trPr>
          <w:trHeight w:val="20"/>
          <w:jc w:val="center"/>
        </w:trPr>
        <w:tc>
          <w:tcPr>
            <w:tcW w:w="3833" w:type="dxa"/>
            <w:tcBorders>
              <w:top w:val="nil"/>
              <w:left w:val="single" w:sz="4" w:space="0" w:color="auto"/>
              <w:bottom w:val="single" w:sz="4" w:space="0" w:color="auto"/>
              <w:right w:val="single" w:sz="4" w:space="0" w:color="auto"/>
            </w:tcBorders>
            <w:noWrap/>
            <w:vAlign w:val="bottom"/>
            <w:hideMark/>
          </w:tcPr>
          <w:p w14:paraId="6BFE0586"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Recursos del balance </w:t>
            </w:r>
          </w:p>
        </w:tc>
        <w:tc>
          <w:tcPr>
            <w:tcW w:w="1559" w:type="dxa"/>
            <w:tcBorders>
              <w:top w:val="nil"/>
              <w:left w:val="nil"/>
              <w:bottom w:val="single" w:sz="4" w:space="0" w:color="auto"/>
              <w:right w:val="single" w:sz="4" w:space="0" w:color="auto"/>
            </w:tcBorders>
            <w:noWrap/>
            <w:vAlign w:val="center"/>
            <w:hideMark/>
          </w:tcPr>
          <w:p w14:paraId="0B26E942"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63.216 </w:t>
            </w:r>
          </w:p>
        </w:tc>
        <w:tc>
          <w:tcPr>
            <w:tcW w:w="1518" w:type="dxa"/>
            <w:tcBorders>
              <w:top w:val="nil"/>
              <w:left w:val="nil"/>
              <w:bottom w:val="single" w:sz="4" w:space="0" w:color="auto"/>
              <w:right w:val="single" w:sz="4" w:space="0" w:color="auto"/>
            </w:tcBorders>
            <w:noWrap/>
            <w:vAlign w:val="center"/>
            <w:hideMark/>
          </w:tcPr>
          <w:p w14:paraId="6ECF3AF4"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76.314 </w:t>
            </w:r>
          </w:p>
        </w:tc>
        <w:tc>
          <w:tcPr>
            <w:tcW w:w="1175" w:type="dxa"/>
            <w:tcBorders>
              <w:top w:val="nil"/>
              <w:left w:val="nil"/>
              <w:bottom w:val="single" w:sz="4" w:space="0" w:color="auto"/>
              <w:right w:val="single" w:sz="4" w:space="0" w:color="auto"/>
            </w:tcBorders>
            <w:noWrap/>
            <w:vAlign w:val="center"/>
            <w:hideMark/>
          </w:tcPr>
          <w:p w14:paraId="1F158267"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21</w:t>
            </w:r>
          </w:p>
        </w:tc>
      </w:tr>
      <w:tr w:rsidR="003763EF" w:rsidRPr="00341016" w14:paraId="555E6C75"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6919C5CF"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Reintegros</w:t>
            </w:r>
          </w:p>
        </w:tc>
        <w:tc>
          <w:tcPr>
            <w:tcW w:w="1559" w:type="dxa"/>
            <w:tcBorders>
              <w:top w:val="nil"/>
              <w:left w:val="nil"/>
              <w:bottom w:val="single" w:sz="4" w:space="0" w:color="auto"/>
              <w:right w:val="single" w:sz="4" w:space="0" w:color="auto"/>
            </w:tcBorders>
            <w:noWrap/>
            <w:vAlign w:val="center"/>
            <w:hideMark/>
          </w:tcPr>
          <w:p w14:paraId="1CC68206"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   </w:t>
            </w:r>
          </w:p>
        </w:tc>
        <w:tc>
          <w:tcPr>
            <w:tcW w:w="1518" w:type="dxa"/>
            <w:tcBorders>
              <w:top w:val="nil"/>
              <w:left w:val="nil"/>
              <w:bottom w:val="single" w:sz="4" w:space="0" w:color="auto"/>
              <w:right w:val="single" w:sz="4" w:space="0" w:color="auto"/>
            </w:tcBorders>
            <w:noWrap/>
            <w:vAlign w:val="center"/>
            <w:hideMark/>
          </w:tcPr>
          <w:p w14:paraId="0676E245"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   </w:t>
            </w:r>
          </w:p>
        </w:tc>
        <w:tc>
          <w:tcPr>
            <w:tcW w:w="1175" w:type="dxa"/>
            <w:tcBorders>
              <w:top w:val="nil"/>
              <w:left w:val="nil"/>
              <w:bottom w:val="single" w:sz="4" w:space="0" w:color="auto"/>
              <w:right w:val="single" w:sz="4" w:space="0" w:color="auto"/>
            </w:tcBorders>
            <w:noWrap/>
            <w:vAlign w:val="center"/>
            <w:hideMark/>
          </w:tcPr>
          <w:p w14:paraId="19D32C7D"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p>
        </w:tc>
      </w:tr>
      <w:tr w:rsidR="003763EF" w:rsidRPr="00341016" w14:paraId="75F11A30"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2273B56C"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Venta de activos</w:t>
            </w:r>
          </w:p>
        </w:tc>
        <w:tc>
          <w:tcPr>
            <w:tcW w:w="1559" w:type="dxa"/>
            <w:tcBorders>
              <w:top w:val="nil"/>
              <w:left w:val="nil"/>
              <w:bottom w:val="single" w:sz="4" w:space="0" w:color="auto"/>
              <w:right w:val="single" w:sz="4" w:space="0" w:color="auto"/>
            </w:tcBorders>
            <w:noWrap/>
            <w:vAlign w:val="center"/>
            <w:hideMark/>
          </w:tcPr>
          <w:p w14:paraId="4C03BFCF"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1.040 </w:t>
            </w:r>
          </w:p>
        </w:tc>
        <w:tc>
          <w:tcPr>
            <w:tcW w:w="1518" w:type="dxa"/>
            <w:tcBorders>
              <w:top w:val="nil"/>
              <w:left w:val="nil"/>
              <w:bottom w:val="single" w:sz="4" w:space="0" w:color="auto"/>
              <w:right w:val="single" w:sz="4" w:space="0" w:color="auto"/>
            </w:tcBorders>
            <w:noWrap/>
            <w:vAlign w:val="center"/>
            <w:hideMark/>
          </w:tcPr>
          <w:p w14:paraId="46E23E4B"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1.040 </w:t>
            </w:r>
          </w:p>
        </w:tc>
        <w:tc>
          <w:tcPr>
            <w:tcW w:w="1175" w:type="dxa"/>
            <w:tcBorders>
              <w:top w:val="nil"/>
              <w:left w:val="nil"/>
              <w:bottom w:val="single" w:sz="4" w:space="0" w:color="auto"/>
              <w:right w:val="single" w:sz="4" w:space="0" w:color="auto"/>
            </w:tcBorders>
            <w:noWrap/>
            <w:vAlign w:val="center"/>
            <w:hideMark/>
          </w:tcPr>
          <w:p w14:paraId="707C91C5"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0</w:t>
            </w:r>
          </w:p>
        </w:tc>
      </w:tr>
      <w:tr w:rsidR="003763EF" w:rsidRPr="00341016" w14:paraId="7CBE0FA4"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3D86ABBC"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Rendimientos financieros</w:t>
            </w:r>
          </w:p>
        </w:tc>
        <w:tc>
          <w:tcPr>
            <w:tcW w:w="1559" w:type="dxa"/>
            <w:tcBorders>
              <w:top w:val="nil"/>
              <w:left w:val="nil"/>
              <w:bottom w:val="single" w:sz="4" w:space="0" w:color="auto"/>
              <w:right w:val="single" w:sz="4" w:space="0" w:color="auto"/>
            </w:tcBorders>
            <w:noWrap/>
            <w:vAlign w:val="center"/>
            <w:hideMark/>
          </w:tcPr>
          <w:p w14:paraId="72770E5B"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1.361 </w:t>
            </w:r>
          </w:p>
        </w:tc>
        <w:tc>
          <w:tcPr>
            <w:tcW w:w="1518" w:type="dxa"/>
            <w:tcBorders>
              <w:top w:val="nil"/>
              <w:left w:val="nil"/>
              <w:bottom w:val="single" w:sz="4" w:space="0" w:color="auto"/>
              <w:right w:val="single" w:sz="4" w:space="0" w:color="auto"/>
            </w:tcBorders>
            <w:noWrap/>
            <w:vAlign w:val="center"/>
            <w:hideMark/>
          </w:tcPr>
          <w:p w14:paraId="5C6EA8B3"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1.465 </w:t>
            </w:r>
          </w:p>
        </w:tc>
        <w:tc>
          <w:tcPr>
            <w:tcW w:w="1175" w:type="dxa"/>
            <w:tcBorders>
              <w:top w:val="nil"/>
              <w:left w:val="nil"/>
              <w:bottom w:val="single" w:sz="4" w:space="0" w:color="auto"/>
              <w:right w:val="single" w:sz="4" w:space="0" w:color="auto"/>
            </w:tcBorders>
            <w:noWrap/>
            <w:vAlign w:val="center"/>
            <w:hideMark/>
          </w:tcPr>
          <w:p w14:paraId="1C4ACD98"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8</w:t>
            </w:r>
          </w:p>
        </w:tc>
      </w:tr>
      <w:tr w:rsidR="003763EF" w:rsidRPr="00341016" w14:paraId="2D75151A"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226AF519"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Excedentes financieros</w:t>
            </w:r>
          </w:p>
        </w:tc>
        <w:tc>
          <w:tcPr>
            <w:tcW w:w="1559" w:type="dxa"/>
            <w:tcBorders>
              <w:top w:val="nil"/>
              <w:left w:val="nil"/>
              <w:bottom w:val="single" w:sz="4" w:space="0" w:color="auto"/>
              <w:right w:val="single" w:sz="4" w:space="0" w:color="auto"/>
            </w:tcBorders>
            <w:noWrap/>
            <w:vAlign w:val="center"/>
            <w:hideMark/>
          </w:tcPr>
          <w:p w14:paraId="7C4996EC"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3.500 </w:t>
            </w:r>
          </w:p>
        </w:tc>
        <w:tc>
          <w:tcPr>
            <w:tcW w:w="1518" w:type="dxa"/>
            <w:tcBorders>
              <w:top w:val="nil"/>
              <w:left w:val="nil"/>
              <w:bottom w:val="single" w:sz="4" w:space="0" w:color="auto"/>
              <w:right w:val="single" w:sz="4" w:space="0" w:color="auto"/>
            </w:tcBorders>
            <w:noWrap/>
            <w:vAlign w:val="center"/>
            <w:hideMark/>
          </w:tcPr>
          <w:p w14:paraId="2E2FC995"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3.054 </w:t>
            </w:r>
          </w:p>
        </w:tc>
        <w:tc>
          <w:tcPr>
            <w:tcW w:w="1175" w:type="dxa"/>
            <w:tcBorders>
              <w:top w:val="nil"/>
              <w:left w:val="nil"/>
              <w:bottom w:val="single" w:sz="4" w:space="0" w:color="auto"/>
              <w:right w:val="single" w:sz="4" w:space="0" w:color="auto"/>
            </w:tcBorders>
            <w:noWrap/>
            <w:vAlign w:val="center"/>
            <w:hideMark/>
          </w:tcPr>
          <w:p w14:paraId="7A55178A"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-13</w:t>
            </w:r>
          </w:p>
        </w:tc>
      </w:tr>
      <w:tr w:rsidR="003763EF" w:rsidRPr="00341016" w14:paraId="7ABBC9EE" w14:textId="77777777" w:rsidTr="002806C0">
        <w:trPr>
          <w:trHeight w:val="20"/>
          <w:jc w:val="center"/>
        </w:trPr>
        <w:tc>
          <w:tcPr>
            <w:tcW w:w="3833" w:type="dxa"/>
            <w:tcBorders>
              <w:top w:val="nil"/>
              <w:left w:val="single" w:sz="4" w:space="0" w:color="auto"/>
              <w:bottom w:val="single" w:sz="4" w:space="0" w:color="auto"/>
              <w:right w:val="single" w:sz="4" w:space="0" w:color="auto"/>
            </w:tcBorders>
            <w:shd w:val="clear" w:color="auto" w:fill="D8E4BC"/>
            <w:vAlign w:val="bottom"/>
            <w:hideMark/>
          </w:tcPr>
          <w:p w14:paraId="7FB7459B" w14:textId="77777777" w:rsidR="003763EF" w:rsidRPr="00341016" w:rsidRDefault="003763EF" w:rsidP="00704887">
            <w:pPr>
              <w:spacing w:after="0" w:line="240" w:lineRule="auto"/>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Subtotal recursos de capital</w:t>
            </w:r>
          </w:p>
        </w:tc>
        <w:tc>
          <w:tcPr>
            <w:tcW w:w="1559" w:type="dxa"/>
            <w:tcBorders>
              <w:top w:val="nil"/>
              <w:left w:val="nil"/>
              <w:bottom w:val="single" w:sz="4" w:space="0" w:color="auto"/>
              <w:right w:val="single" w:sz="4" w:space="0" w:color="auto"/>
            </w:tcBorders>
            <w:shd w:val="clear" w:color="auto" w:fill="D8E4BC"/>
            <w:noWrap/>
            <w:vAlign w:val="center"/>
            <w:hideMark/>
          </w:tcPr>
          <w:p w14:paraId="34F6503B" w14:textId="77777777" w:rsidR="003763EF" w:rsidRPr="00341016" w:rsidRDefault="003763EF" w:rsidP="00704887">
            <w:pPr>
              <w:spacing w:after="0" w:line="240" w:lineRule="auto"/>
              <w:jc w:val="right"/>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 xml:space="preserve">103.241 </w:t>
            </w:r>
          </w:p>
        </w:tc>
        <w:tc>
          <w:tcPr>
            <w:tcW w:w="1518" w:type="dxa"/>
            <w:tcBorders>
              <w:top w:val="nil"/>
              <w:left w:val="nil"/>
              <w:bottom w:val="single" w:sz="4" w:space="0" w:color="auto"/>
              <w:right w:val="single" w:sz="4" w:space="0" w:color="auto"/>
            </w:tcBorders>
            <w:shd w:val="clear" w:color="auto" w:fill="D8E4BC"/>
            <w:noWrap/>
            <w:vAlign w:val="center"/>
            <w:hideMark/>
          </w:tcPr>
          <w:p w14:paraId="6870CA1D" w14:textId="77777777" w:rsidR="003763EF" w:rsidRPr="00341016" w:rsidRDefault="003763EF" w:rsidP="00704887">
            <w:pPr>
              <w:spacing w:after="0" w:line="240" w:lineRule="auto"/>
              <w:jc w:val="right"/>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 xml:space="preserve">108.031 </w:t>
            </w:r>
          </w:p>
        </w:tc>
        <w:tc>
          <w:tcPr>
            <w:tcW w:w="1175" w:type="dxa"/>
            <w:tcBorders>
              <w:top w:val="nil"/>
              <w:left w:val="nil"/>
              <w:bottom w:val="single" w:sz="4" w:space="0" w:color="auto"/>
              <w:right w:val="single" w:sz="4" w:space="0" w:color="auto"/>
            </w:tcBorders>
            <w:shd w:val="clear" w:color="auto" w:fill="D8E4BC"/>
            <w:noWrap/>
            <w:vAlign w:val="center"/>
            <w:hideMark/>
          </w:tcPr>
          <w:p w14:paraId="4A069CD7" w14:textId="77777777" w:rsidR="003763EF" w:rsidRPr="00341016" w:rsidRDefault="003763EF" w:rsidP="00704887">
            <w:pPr>
              <w:spacing w:after="0" w:line="240" w:lineRule="auto"/>
              <w:jc w:val="right"/>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5</w:t>
            </w:r>
          </w:p>
        </w:tc>
      </w:tr>
      <w:tr w:rsidR="003763EF" w:rsidRPr="00341016" w14:paraId="290E5713" w14:textId="77777777" w:rsidTr="002806C0">
        <w:trPr>
          <w:trHeight w:val="20"/>
          <w:jc w:val="center"/>
        </w:trPr>
        <w:tc>
          <w:tcPr>
            <w:tcW w:w="3833" w:type="dxa"/>
            <w:tcBorders>
              <w:top w:val="nil"/>
              <w:left w:val="single" w:sz="4" w:space="0" w:color="auto"/>
              <w:bottom w:val="single" w:sz="4" w:space="0" w:color="auto"/>
              <w:right w:val="single" w:sz="4" w:space="0" w:color="auto"/>
            </w:tcBorders>
            <w:vAlign w:val="bottom"/>
            <w:hideMark/>
          </w:tcPr>
          <w:p w14:paraId="113EA9E6" w14:textId="77777777" w:rsidR="003763EF" w:rsidRPr="00341016" w:rsidRDefault="003763EF" w:rsidP="00704887">
            <w:pPr>
              <w:spacing w:after="0" w:line="240" w:lineRule="auto"/>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Recursos de capital Fondos</w:t>
            </w:r>
          </w:p>
        </w:tc>
        <w:tc>
          <w:tcPr>
            <w:tcW w:w="1559" w:type="dxa"/>
            <w:tcBorders>
              <w:top w:val="nil"/>
              <w:left w:val="nil"/>
              <w:bottom w:val="single" w:sz="4" w:space="0" w:color="auto"/>
              <w:right w:val="single" w:sz="4" w:space="0" w:color="auto"/>
            </w:tcBorders>
            <w:noWrap/>
            <w:vAlign w:val="center"/>
            <w:hideMark/>
          </w:tcPr>
          <w:p w14:paraId="2C088864"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17.158 </w:t>
            </w:r>
          </w:p>
        </w:tc>
        <w:tc>
          <w:tcPr>
            <w:tcW w:w="1518" w:type="dxa"/>
            <w:tcBorders>
              <w:top w:val="nil"/>
              <w:left w:val="nil"/>
              <w:bottom w:val="single" w:sz="4" w:space="0" w:color="auto"/>
              <w:right w:val="single" w:sz="4" w:space="0" w:color="auto"/>
            </w:tcBorders>
            <w:noWrap/>
            <w:vAlign w:val="center"/>
            <w:hideMark/>
          </w:tcPr>
          <w:p w14:paraId="5E6521C5"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 xml:space="preserve">18.009 </w:t>
            </w:r>
          </w:p>
        </w:tc>
        <w:tc>
          <w:tcPr>
            <w:tcW w:w="1175" w:type="dxa"/>
            <w:tcBorders>
              <w:top w:val="nil"/>
              <w:left w:val="nil"/>
              <w:bottom w:val="single" w:sz="4" w:space="0" w:color="auto"/>
              <w:right w:val="single" w:sz="4" w:space="0" w:color="auto"/>
            </w:tcBorders>
            <w:noWrap/>
            <w:vAlign w:val="center"/>
            <w:hideMark/>
          </w:tcPr>
          <w:p w14:paraId="68CD5A4E" w14:textId="77777777" w:rsidR="003763EF" w:rsidRPr="00341016" w:rsidRDefault="003763EF" w:rsidP="00704887">
            <w:pPr>
              <w:spacing w:after="0" w:line="240" w:lineRule="auto"/>
              <w:jc w:val="right"/>
              <w:rPr>
                <w:rFonts w:ascii="Century Gothic" w:eastAsia="Times New Roman" w:hAnsi="Century Gothic" w:cs="Arial"/>
                <w:color w:val="000000"/>
                <w:sz w:val="20"/>
                <w:szCs w:val="20"/>
              </w:rPr>
            </w:pPr>
            <w:r w:rsidRPr="00341016">
              <w:rPr>
                <w:rFonts w:ascii="Century Gothic" w:eastAsia="Times New Roman" w:hAnsi="Century Gothic" w:cs="Arial"/>
                <w:color w:val="000000"/>
                <w:sz w:val="20"/>
                <w:szCs w:val="20"/>
              </w:rPr>
              <w:t>5</w:t>
            </w:r>
          </w:p>
        </w:tc>
      </w:tr>
      <w:tr w:rsidR="003763EF" w:rsidRPr="00341016" w14:paraId="2EBB69F3" w14:textId="77777777" w:rsidTr="002806C0">
        <w:trPr>
          <w:trHeight w:val="20"/>
          <w:jc w:val="center"/>
        </w:trPr>
        <w:tc>
          <w:tcPr>
            <w:tcW w:w="3833" w:type="dxa"/>
            <w:tcBorders>
              <w:top w:val="nil"/>
              <w:left w:val="single" w:sz="4" w:space="0" w:color="auto"/>
              <w:bottom w:val="single" w:sz="4" w:space="0" w:color="auto"/>
              <w:right w:val="single" w:sz="4" w:space="0" w:color="auto"/>
            </w:tcBorders>
            <w:shd w:val="clear" w:color="auto" w:fill="C4D79B"/>
            <w:noWrap/>
            <w:vAlign w:val="bottom"/>
            <w:hideMark/>
          </w:tcPr>
          <w:p w14:paraId="262F4D98" w14:textId="77777777" w:rsidR="003763EF" w:rsidRPr="00341016" w:rsidRDefault="003763EF" w:rsidP="00704887">
            <w:pPr>
              <w:spacing w:after="0" w:line="240" w:lineRule="auto"/>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Total recursos de capital</w:t>
            </w:r>
          </w:p>
        </w:tc>
        <w:tc>
          <w:tcPr>
            <w:tcW w:w="1559" w:type="dxa"/>
            <w:tcBorders>
              <w:top w:val="nil"/>
              <w:left w:val="nil"/>
              <w:bottom w:val="single" w:sz="4" w:space="0" w:color="auto"/>
              <w:right w:val="single" w:sz="4" w:space="0" w:color="auto"/>
            </w:tcBorders>
            <w:shd w:val="clear" w:color="auto" w:fill="C4D79B"/>
            <w:noWrap/>
            <w:vAlign w:val="center"/>
            <w:hideMark/>
          </w:tcPr>
          <w:p w14:paraId="7FC083F3" w14:textId="77777777" w:rsidR="003763EF" w:rsidRPr="00341016" w:rsidRDefault="003763EF" w:rsidP="00704887">
            <w:pPr>
              <w:spacing w:after="0" w:line="240" w:lineRule="auto"/>
              <w:jc w:val="right"/>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 xml:space="preserve">120.399 </w:t>
            </w:r>
          </w:p>
        </w:tc>
        <w:tc>
          <w:tcPr>
            <w:tcW w:w="1518" w:type="dxa"/>
            <w:tcBorders>
              <w:top w:val="nil"/>
              <w:left w:val="nil"/>
              <w:bottom w:val="single" w:sz="4" w:space="0" w:color="auto"/>
              <w:right w:val="single" w:sz="4" w:space="0" w:color="auto"/>
            </w:tcBorders>
            <w:shd w:val="clear" w:color="auto" w:fill="C4D79B"/>
            <w:noWrap/>
            <w:vAlign w:val="center"/>
            <w:hideMark/>
          </w:tcPr>
          <w:p w14:paraId="17930946" w14:textId="77777777" w:rsidR="003763EF" w:rsidRPr="00341016" w:rsidRDefault="003763EF" w:rsidP="00704887">
            <w:pPr>
              <w:spacing w:after="0" w:line="240" w:lineRule="auto"/>
              <w:jc w:val="right"/>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 xml:space="preserve">126.040 </w:t>
            </w:r>
          </w:p>
        </w:tc>
        <w:tc>
          <w:tcPr>
            <w:tcW w:w="1175" w:type="dxa"/>
            <w:tcBorders>
              <w:top w:val="nil"/>
              <w:left w:val="nil"/>
              <w:bottom w:val="single" w:sz="4" w:space="0" w:color="auto"/>
              <w:right w:val="single" w:sz="4" w:space="0" w:color="auto"/>
            </w:tcBorders>
            <w:shd w:val="clear" w:color="auto" w:fill="C4D79B"/>
            <w:noWrap/>
            <w:vAlign w:val="center"/>
            <w:hideMark/>
          </w:tcPr>
          <w:p w14:paraId="7ED78FFA" w14:textId="77777777" w:rsidR="003763EF" w:rsidRPr="00341016" w:rsidRDefault="003763EF" w:rsidP="00704887">
            <w:pPr>
              <w:spacing w:after="0" w:line="240" w:lineRule="auto"/>
              <w:jc w:val="right"/>
              <w:rPr>
                <w:rFonts w:ascii="Century Gothic" w:eastAsia="Times New Roman" w:hAnsi="Century Gothic" w:cs="Arial"/>
                <w:b/>
                <w:color w:val="000000"/>
                <w:sz w:val="20"/>
                <w:szCs w:val="20"/>
              </w:rPr>
            </w:pPr>
            <w:r w:rsidRPr="00341016">
              <w:rPr>
                <w:rFonts w:ascii="Century Gothic" w:eastAsia="Times New Roman" w:hAnsi="Century Gothic" w:cs="Arial"/>
                <w:b/>
                <w:color w:val="000000"/>
                <w:sz w:val="20"/>
                <w:szCs w:val="20"/>
              </w:rPr>
              <w:t>5</w:t>
            </w:r>
          </w:p>
        </w:tc>
      </w:tr>
    </w:tbl>
    <w:p w14:paraId="06A76C38" w14:textId="77777777" w:rsidR="00C71F26" w:rsidRPr="00107C1B" w:rsidRDefault="00C71F26" w:rsidP="00C71F26">
      <w:pPr>
        <w:jc w:val="center"/>
        <w:rPr>
          <w:rFonts w:ascii="Century Gothic" w:hAnsi="Century Gothic"/>
          <w:sz w:val="20"/>
          <w:lang w:val="es-ES"/>
        </w:rPr>
      </w:pPr>
      <w:r w:rsidRPr="00107C1B">
        <w:rPr>
          <w:rFonts w:ascii="Century Gothic" w:hAnsi="Century Gothic"/>
          <w:sz w:val="20"/>
          <w:lang w:val="es-ES"/>
        </w:rPr>
        <w:t>Fuente: Secretaría de Hacienda, 2018</w:t>
      </w:r>
    </w:p>
    <w:p w14:paraId="1494C238" w14:textId="4CB9984F" w:rsidR="00C71F26" w:rsidRPr="00107C1B" w:rsidRDefault="00C71F26" w:rsidP="00C71F26">
      <w:pPr>
        <w:spacing w:after="0"/>
        <w:jc w:val="center"/>
        <w:rPr>
          <w:rFonts w:ascii="Century Gothic" w:hAnsi="Century Gothic"/>
          <w:lang w:val="es-ES" w:eastAsia="en-US"/>
        </w:rPr>
      </w:pPr>
      <w:bookmarkStart w:id="91" w:name="_Toc532570540"/>
      <w:r w:rsidRPr="00107C1B">
        <w:rPr>
          <w:rFonts w:ascii="Century Gothic" w:hAnsi="Century Gothic"/>
          <w:lang w:val="es-ES"/>
        </w:rPr>
        <w:t xml:space="preserve">Tabla </w:t>
      </w:r>
      <w:r w:rsidRPr="00107C1B">
        <w:rPr>
          <w:rFonts w:ascii="Century Gothic" w:hAnsi="Century Gothic"/>
          <w:lang w:val="es-ES"/>
        </w:rPr>
        <w:fldChar w:fldCharType="begin"/>
      </w:r>
      <w:r w:rsidRPr="00107C1B">
        <w:rPr>
          <w:rFonts w:ascii="Century Gothic" w:hAnsi="Century Gothic"/>
          <w:lang w:val="es-ES"/>
        </w:rPr>
        <w:instrText xml:space="preserve"> SEQ Tabla \* ARABIC </w:instrText>
      </w:r>
      <w:r w:rsidRPr="00107C1B">
        <w:rPr>
          <w:rFonts w:ascii="Century Gothic" w:hAnsi="Century Gothic"/>
          <w:lang w:val="es-ES"/>
        </w:rPr>
        <w:fldChar w:fldCharType="separate"/>
      </w:r>
      <w:r w:rsidR="00934BA3" w:rsidRPr="00107C1B">
        <w:rPr>
          <w:rFonts w:ascii="Century Gothic" w:hAnsi="Century Gothic"/>
          <w:noProof/>
          <w:lang w:val="es-ES"/>
        </w:rPr>
        <w:t>49</w:t>
      </w:r>
      <w:r w:rsidRPr="00107C1B">
        <w:rPr>
          <w:rFonts w:ascii="Century Gothic" w:hAnsi="Century Gothic"/>
          <w:lang w:val="es-ES"/>
        </w:rPr>
        <w:fldChar w:fldCharType="end"/>
      </w:r>
      <w:r w:rsidRPr="00107C1B">
        <w:rPr>
          <w:rFonts w:ascii="Century Gothic" w:hAnsi="Century Gothic"/>
          <w:lang w:val="es-ES"/>
        </w:rPr>
        <w:t>. Ingresos Establecimientos Públicos y Unidad Administrativa Especial Avante, para el SETP</w:t>
      </w:r>
      <w:bookmarkEnd w:id="91"/>
    </w:p>
    <w:tbl>
      <w:tblPr>
        <w:tblW w:w="8652" w:type="dxa"/>
        <w:tblInd w:w="65" w:type="dxa"/>
        <w:tblCellMar>
          <w:left w:w="70" w:type="dxa"/>
          <w:right w:w="70" w:type="dxa"/>
        </w:tblCellMar>
        <w:tblLook w:val="04A0" w:firstRow="1" w:lastRow="0" w:firstColumn="1" w:lastColumn="0" w:noHBand="0" w:noVBand="1"/>
      </w:tblPr>
      <w:tblGrid>
        <w:gridCol w:w="4825"/>
        <w:gridCol w:w="1384"/>
        <w:gridCol w:w="1309"/>
        <w:gridCol w:w="1134"/>
      </w:tblGrid>
      <w:tr w:rsidR="003763EF" w:rsidRPr="00107C1B" w14:paraId="3B2B70A1" w14:textId="77777777" w:rsidTr="00E74FB1">
        <w:trPr>
          <w:trHeight w:val="239"/>
          <w:tblHeader/>
        </w:trPr>
        <w:tc>
          <w:tcPr>
            <w:tcW w:w="4825" w:type="dxa"/>
            <w:tcBorders>
              <w:top w:val="single" w:sz="4" w:space="0" w:color="auto"/>
              <w:left w:val="single" w:sz="4" w:space="0" w:color="auto"/>
              <w:bottom w:val="single" w:sz="4" w:space="0" w:color="auto"/>
              <w:right w:val="single" w:sz="4" w:space="0" w:color="auto"/>
            </w:tcBorders>
            <w:shd w:val="clear" w:color="auto" w:fill="C4D79B"/>
            <w:vAlign w:val="center"/>
            <w:hideMark/>
          </w:tcPr>
          <w:p w14:paraId="41C7EB47" w14:textId="77777777" w:rsidR="003763EF" w:rsidRPr="00107C1B" w:rsidRDefault="003763EF" w:rsidP="00704887">
            <w:pPr>
              <w:spacing w:after="0" w:line="240" w:lineRule="auto"/>
              <w:jc w:val="center"/>
              <w:rPr>
                <w:rFonts w:ascii="Century Gothic" w:eastAsia="Times New Roman" w:hAnsi="Century Gothic" w:cs="Arial"/>
                <w:b/>
                <w:color w:val="000000"/>
                <w:sz w:val="20"/>
              </w:rPr>
            </w:pPr>
            <w:r w:rsidRPr="00107C1B">
              <w:rPr>
                <w:rFonts w:ascii="Century Gothic" w:eastAsia="Times New Roman" w:hAnsi="Century Gothic" w:cs="Arial"/>
                <w:b/>
                <w:color w:val="000000"/>
                <w:sz w:val="20"/>
              </w:rPr>
              <w:t>Concepto</w:t>
            </w:r>
          </w:p>
        </w:tc>
        <w:tc>
          <w:tcPr>
            <w:tcW w:w="1384" w:type="dxa"/>
            <w:tcBorders>
              <w:top w:val="single" w:sz="4" w:space="0" w:color="auto"/>
              <w:left w:val="nil"/>
              <w:bottom w:val="single" w:sz="4" w:space="0" w:color="auto"/>
              <w:right w:val="single" w:sz="4" w:space="0" w:color="auto"/>
            </w:tcBorders>
            <w:shd w:val="clear" w:color="auto" w:fill="C4D79B"/>
            <w:vAlign w:val="center"/>
            <w:hideMark/>
          </w:tcPr>
          <w:p w14:paraId="2D99D8E3" w14:textId="77777777" w:rsidR="003763EF" w:rsidRPr="00107C1B" w:rsidRDefault="003763EF" w:rsidP="00704887">
            <w:pPr>
              <w:spacing w:after="0" w:line="240" w:lineRule="auto"/>
              <w:jc w:val="center"/>
              <w:rPr>
                <w:rFonts w:ascii="Century Gothic" w:eastAsia="Times New Roman" w:hAnsi="Century Gothic" w:cs="Arial"/>
                <w:b/>
                <w:color w:val="000000"/>
                <w:sz w:val="20"/>
              </w:rPr>
            </w:pPr>
            <w:r w:rsidRPr="00107C1B">
              <w:rPr>
                <w:rFonts w:ascii="Century Gothic" w:eastAsia="Times New Roman" w:hAnsi="Century Gothic" w:cs="Arial"/>
                <w:b/>
                <w:color w:val="000000"/>
                <w:sz w:val="20"/>
              </w:rPr>
              <w:t>Presupuesto inicial 2018</w:t>
            </w:r>
          </w:p>
        </w:tc>
        <w:tc>
          <w:tcPr>
            <w:tcW w:w="1309" w:type="dxa"/>
            <w:tcBorders>
              <w:top w:val="single" w:sz="4" w:space="0" w:color="auto"/>
              <w:left w:val="nil"/>
              <w:bottom w:val="single" w:sz="4" w:space="0" w:color="auto"/>
              <w:right w:val="single" w:sz="4" w:space="0" w:color="auto"/>
            </w:tcBorders>
            <w:shd w:val="clear" w:color="auto" w:fill="C4D79B"/>
            <w:vAlign w:val="center"/>
            <w:hideMark/>
          </w:tcPr>
          <w:p w14:paraId="02224AFE" w14:textId="77777777" w:rsidR="003763EF" w:rsidRPr="00107C1B" w:rsidRDefault="003763EF" w:rsidP="00704887">
            <w:pPr>
              <w:spacing w:after="0" w:line="240" w:lineRule="auto"/>
              <w:jc w:val="center"/>
              <w:rPr>
                <w:rFonts w:ascii="Century Gothic" w:eastAsia="Times New Roman" w:hAnsi="Century Gothic" w:cs="Arial"/>
                <w:b/>
                <w:color w:val="000000"/>
                <w:sz w:val="20"/>
              </w:rPr>
            </w:pPr>
            <w:r w:rsidRPr="00107C1B">
              <w:rPr>
                <w:rFonts w:ascii="Century Gothic" w:eastAsia="Times New Roman" w:hAnsi="Century Gothic" w:cs="Arial"/>
                <w:b/>
                <w:color w:val="000000"/>
                <w:sz w:val="20"/>
              </w:rPr>
              <w:t>Presupuesto inicial 2019</w:t>
            </w:r>
          </w:p>
        </w:tc>
        <w:tc>
          <w:tcPr>
            <w:tcW w:w="1134" w:type="dxa"/>
            <w:tcBorders>
              <w:top w:val="single" w:sz="4" w:space="0" w:color="auto"/>
              <w:left w:val="nil"/>
              <w:bottom w:val="single" w:sz="4" w:space="0" w:color="auto"/>
              <w:right w:val="single" w:sz="4" w:space="0" w:color="auto"/>
            </w:tcBorders>
            <w:shd w:val="clear" w:color="auto" w:fill="C4D79B"/>
            <w:vAlign w:val="center"/>
            <w:hideMark/>
          </w:tcPr>
          <w:p w14:paraId="78A3B388" w14:textId="77777777" w:rsidR="003763EF" w:rsidRPr="00107C1B" w:rsidRDefault="003763EF" w:rsidP="00704887">
            <w:pPr>
              <w:spacing w:after="0" w:line="240" w:lineRule="auto"/>
              <w:jc w:val="center"/>
              <w:rPr>
                <w:rFonts w:ascii="Century Gothic" w:eastAsia="Times New Roman" w:hAnsi="Century Gothic" w:cs="Arial"/>
                <w:b/>
                <w:color w:val="000000"/>
                <w:sz w:val="20"/>
              </w:rPr>
            </w:pPr>
            <w:r w:rsidRPr="00107C1B">
              <w:rPr>
                <w:rFonts w:ascii="Century Gothic" w:eastAsia="Times New Roman" w:hAnsi="Century Gothic" w:cs="Arial"/>
                <w:b/>
                <w:color w:val="000000"/>
                <w:sz w:val="20"/>
              </w:rPr>
              <w:t>% Variación</w:t>
            </w:r>
          </w:p>
        </w:tc>
      </w:tr>
      <w:tr w:rsidR="003763EF" w:rsidRPr="00107C1B" w14:paraId="6A65C353" w14:textId="77777777" w:rsidTr="003763EF">
        <w:trPr>
          <w:trHeight w:val="122"/>
        </w:trPr>
        <w:tc>
          <w:tcPr>
            <w:tcW w:w="4825" w:type="dxa"/>
            <w:tcBorders>
              <w:top w:val="nil"/>
              <w:left w:val="single" w:sz="4" w:space="0" w:color="auto"/>
              <w:bottom w:val="single" w:sz="4" w:space="0" w:color="auto"/>
              <w:right w:val="single" w:sz="4" w:space="0" w:color="auto"/>
            </w:tcBorders>
            <w:vAlign w:val="bottom"/>
            <w:hideMark/>
          </w:tcPr>
          <w:p w14:paraId="0C8CA370" w14:textId="5A290041" w:rsidR="003763EF" w:rsidRPr="00107C1B" w:rsidRDefault="007E2B8B" w:rsidP="007E2B8B">
            <w:pPr>
              <w:spacing w:after="0" w:line="240" w:lineRule="auto"/>
              <w:rPr>
                <w:rFonts w:ascii="Century Gothic" w:eastAsia="Times New Roman" w:hAnsi="Century Gothic" w:cs="Arial"/>
                <w:color w:val="000000"/>
                <w:sz w:val="20"/>
              </w:rPr>
            </w:pPr>
            <w:r>
              <w:rPr>
                <w:rFonts w:ascii="Century Gothic" w:eastAsia="Times New Roman" w:hAnsi="Century Gothic" w:cs="Arial"/>
                <w:color w:val="000000"/>
                <w:sz w:val="20"/>
              </w:rPr>
              <w:t xml:space="preserve">Instituto </w:t>
            </w:r>
            <w:r w:rsidR="003763EF" w:rsidRPr="00107C1B">
              <w:rPr>
                <w:rFonts w:ascii="Century Gothic" w:eastAsia="Times New Roman" w:hAnsi="Century Gothic" w:cs="Arial"/>
                <w:color w:val="000000"/>
                <w:sz w:val="20"/>
              </w:rPr>
              <w:t>de Vivienda de Pasto INVIPASTO</w:t>
            </w:r>
          </w:p>
        </w:tc>
        <w:tc>
          <w:tcPr>
            <w:tcW w:w="1384" w:type="dxa"/>
            <w:tcBorders>
              <w:top w:val="nil"/>
              <w:left w:val="nil"/>
              <w:bottom w:val="single" w:sz="4" w:space="0" w:color="auto"/>
              <w:right w:val="single" w:sz="4" w:space="0" w:color="auto"/>
            </w:tcBorders>
            <w:noWrap/>
            <w:vAlign w:val="center"/>
            <w:hideMark/>
          </w:tcPr>
          <w:p w14:paraId="0A66B617"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630 </w:t>
            </w:r>
          </w:p>
        </w:tc>
        <w:tc>
          <w:tcPr>
            <w:tcW w:w="1309" w:type="dxa"/>
            <w:tcBorders>
              <w:top w:val="nil"/>
              <w:left w:val="nil"/>
              <w:bottom w:val="single" w:sz="4" w:space="0" w:color="auto"/>
              <w:right w:val="single" w:sz="4" w:space="0" w:color="auto"/>
            </w:tcBorders>
            <w:noWrap/>
            <w:vAlign w:val="center"/>
            <w:hideMark/>
          </w:tcPr>
          <w:p w14:paraId="21643EE3"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545 </w:t>
            </w:r>
          </w:p>
        </w:tc>
        <w:tc>
          <w:tcPr>
            <w:tcW w:w="1134" w:type="dxa"/>
            <w:tcBorders>
              <w:top w:val="nil"/>
              <w:left w:val="nil"/>
              <w:bottom w:val="single" w:sz="4" w:space="0" w:color="auto"/>
              <w:right w:val="single" w:sz="4" w:space="0" w:color="auto"/>
            </w:tcBorders>
            <w:noWrap/>
            <w:vAlign w:val="center"/>
            <w:hideMark/>
          </w:tcPr>
          <w:p w14:paraId="1DCD5C97"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-13</w:t>
            </w:r>
          </w:p>
        </w:tc>
      </w:tr>
      <w:tr w:rsidR="003763EF" w:rsidRPr="00107C1B" w14:paraId="358DE408" w14:textId="77777777" w:rsidTr="003763EF">
        <w:trPr>
          <w:trHeight w:val="58"/>
        </w:trPr>
        <w:tc>
          <w:tcPr>
            <w:tcW w:w="4825" w:type="dxa"/>
            <w:tcBorders>
              <w:top w:val="nil"/>
              <w:left w:val="single" w:sz="4" w:space="0" w:color="auto"/>
              <w:bottom w:val="single" w:sz="4" w:space="0" w:color="auto"/>
              <w:right w:val="single" w:sz="4" w:space="0" w:color="auto"/>
            </w:tcBorders>
            <w:vAlign w:val="bottom"/>
            <w:hideMark/>
          </w:tcPr>
          <w:p w14:paraId="5D034960" w14:textId="77777777" w:rsidR="003763EF" w:rsidRPr="00107C1B" w:rsidRDefault="003763EF" w:rsidP="00704887">
            <w:pPr>
              <w:spacing w:after="0" w:line="240" w:lineRule="auto"/>
              <w:rPr>
                <w:rFonts w:ascii="Century Gothic" w:eastAsia="Times New Roman" w:hAnsi="Century Gothic" w:cs="Arial"/>
                <w:color w:val="000000"/>
                <w:sz w:val="20"/>
              </w:rPr>
            </w:pPr>
            <w:r w:rsidRPr="00107C1B">
              <w:rPr>
                <w:rFonts w:ascii="Century Gothic" w:eastAsia="Times New Roman" w:hAnsi="Century Gothic" w:cs="Arial"/>
                <w:color w:val="000000"/>
                <w:sz w:val="20"/>
              </w:rPr>
              <w:lastRenderedPageBreak/>
              <w:t>Instituto de Deportes de Pasto</w:t>
            </w:r>
          </w:p>
        </w:tc>
        <w:tc>
          <w:tcPr>
            <w:tcW w:w="1384" w:type="dxa"/>
            <w:tcBorders>
              <w:top w:val="nil"/>
              <w:left w:val="nil"/>
              <w:bottom w:val="single" w:sz="4" w:space="0" w:color="auto"/>
              <w:right w:val="single" w:sz="4" w:space="0" w:color="auto"/>
            </w:tcBorders>
            <w:noWrap/>
            <w:vAlign w:val="bottom"/>
            <w:hideMark/>
          </w:tcPr>
          <w:p w14:paraId="6222DC3D"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419 </w:t>
            </w:r>
          </w:p>
        </w:tc>
        <w:tc>
          <w:tcPr>
            <w:tcW w:w="1309" w:type="dxa"/>
            <w:tcBorders>
              <w:top w:val="nil"/>
              <w:left w:val="nil"/>
              <w:bottom w:val="single" w:sz="4" w:space="0" w:color="auto"/>
              <w:right w:val="single" w:sz="4" w:space="0" w:color="auto"/>
            </w:tcBorders>
            <w:noWrap/>
            <w:vAlign w:val="bottom"/>
            <w:hideMark/>
          </w:tcPr>
          <w:p w14:paraId="6E67ED5E"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320 </w:t>
            </w:r>
          </w:p>
        </w:tc>
        <w:tc>
          <w:tcPr>
            <w:tcW w:w="1134" w:type="dxa"/>
            <w:tcBorders>
              <w:top w:val="nil"/>
              <w:left w:val="nil"/>
              <w:bottom w:val="single" w:sz="4" w:space="0" w:color="auto"/>
              <w:right w:val="single" w:sz="4" w:space="0" w:color="auto"/>
            </w:tcBorders>
            <w:noWrap/>
            <w:vAlign w:val="bottom"/>
            <w:hideMark/>
          </w:tcPr>
          <w:p w14:paraId="240A2DDB"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-24</w:t>
            </w:r>
          </w:p>
        </w:tc>
      </w:tr>
      <w:tr w:rsidR="003763EF" w:rsidRPr="00107C1B" w14:paraId="73D407D9" w14:textId="77777777" w:rsidTr="003763EF">
        <w:trPr>
          <w:trHeight w:val="58"/>
        </w:trPr>
        <w:tc>
          <w:tcPr>
            <w:tcW w:w="4825" w:type="dxa"/>
            <w:tcBorders>
              <w:top w:val="nil"/>
              <w:left w:val="single" w:sz="4" w:space="0" w:color="auto"/>
              <w:bottom w:val="single" w:sz="4" w:space="0" w:color="auto"/>
              <w:right w:val="single" w:sz="4" w:space="0" w:color="auto"/>
            </w:tcBorders>
            <w:vAlign w:val="bottom"/>
            <w:hideMark/>
          </w:tcPr>
          <w:p w14:paraId="1F71C699" w14:textId="77777777" w:rsidR="003763EF" w:rsidRPr="00107C1B" w:rsidRDefault="003763EF" w:rsidP="00704887">
            <w:pPr>
              <w:spacing w:after="0" w:line="240" w:lineRule="auto"/>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Unidad Administrativa Especial </w:t>
            </w:r>
          </w:p>
        </w:tc>
        <w:tc>
          <w:tcPr>
            <w:tcW w:w="1384" w:type="dxa"/>
            <w:tcBorders>
              <w:top w:val="nil"/>
              <w:left w:val="nil"/>
              <w:bottom w:val="single" w:sz="4" w:space="0" w:color="auto"/>
              <w:right w:val="single" w:sz="4" w:space="0" w:color="auto"/>
            </w:tcBorders>
            <w:noWrap/>
            <w:vAlign w:val="bottom"/>
            <w:hideMark/>
          </w:tcPr>
          <w:p w14:paraId="6ADC9E31"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23.000 </w:t>
            </w:r>
          </w:p>
        </w:tc>
        <w:tc>
          <w:tcPr>
            <w:tcW w:w="1309" w:type="dxa"/>
            <w:tcBorders>
              <w:top w:val="nil"/>
              <w:left w:val="nil"/>
              <w:bottom w:val="single" w:sz="4" w:space="0" w:color="auto"/>
              <w:right w:val="single" w:sz="4" w:space="0" w:color="auto"/>
            </w:tcBorders>
            <w:noWrap/>
            <w:vAlign w:val="bottom"/>
            <w:hideMark/>
          </w:tcPr>
          <w:p w14:paraId="2CADAA00"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38.315 </w:t>
            </w:r>
          </w:p>
        </w:tc>
        <w:tc>
          <w:tcPr>
            <w:tcW w:w="1134" w:type="dxa"/>
            <w:tcBorders>
              <w:top w:val="nil"/>
              <w:left w:val="nil"/>
              <w:bottom w:val="single" w:sz="4" w:space="0" w:color="auto"/>
              <w:right w:val="single" w:sz="4" w:space="0" w:color="auto"/>
            </w:tcBorders>
            <w:noWrap/>
            <w:vAlign w:val="bottom"/>
            <w:hideMark/>
          </w:tcPr>
          <w:p w14:paraId="1D5F8091"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67</w:t>
            </w:r>
          </w:p>
        </w:tc>
      </w:tr>
      <w:tr w:rsidR="003763EF" w:rsidRPr="00107C1B" w14:paraId="0546083A" w14:textId="77777777" w:rsidTr="003763EF">
        <w:trPr>
          <w:trHeight w:val="58"/>
        </w:trPr>
        <w:tc>
          <w:tcPr>
            <w:tcW w:w="4825" w:type="dxa"/>
            <w:tcBorders>
              <w:top w:val="nil"/>
              <w:left w:val="single" w:sz="4" w:space="0" w:color="auto"/>
              <w:bottom w:val="single" w:sz="4" w:space="0" w:color="auto"/>
              <w:right w:val="single" w:sz="4" w:space="0" w:color="auto"/>
            </w:tcBorders>
            <w:shd w:val="clear" w:color="auto" w:fill="C4D79B"/>
            <w:vAlign w:val="bottom"/>
            <w:hideMark/>
          </w:tcPr>
          <w:p w14:paraId="283E137C" w14:textId="77777777" w:rsidR="003763EF" w:rsidRPr="00107C1B" w:rsidRDefault="003763EF" w:rsidP="00704887">
            <w:pPr>
              <w:spacing w:after="0" w:line="240" w:lineRule="auto"/>
              <w:rPr>
                <w:rFonts w:ascii="Century Gothic" w:eastAsia="Times New Roman" w:hAnsi="Century Gothic" w:cs="Arial"/>
                <w:color w:val="000000"/>
                <w:sz w:val="20"/>
              </w:rPr>
            </w:pPr>
            <w:r w:rsidRPr="00107C1B">
              <w:rPr>
                <w:rFonts w:ascii="Century Gothic" w:eastAsia="Times New Roman" w:hAnsi="Century Gothic" w:cs="Arial"/>
                <w:color w:val="000000"/>
                <w:sz w:val="20"/>
              </w:rPr>
              <w:t>Total</w:t>
            </w:r>
          </w:p>
        </w:tc>
        <w:tc>
          <w:tcPr>
            <w:tcW w:w="1384" w:type="dxa"/>
            <w:tcBorders>
              <w:top w:val="nil"/>
              <w:left w:val="nil"/>
              <w:bottom w:val="single" w:sz="4" w:space="0" w:color="auto"/>
              <w:right w:val="single" w:sz="4" w:space="0" w:color="auto"/>
            </w:tcBorders>
            <w:shd w:val="clear" w:color="auto" w:fill="C4D79B"/>
            <w:noWrap/>
            <w:vAlign w:val="bottom"/>
            <w:hideMark/>
          </w:tcPr>
          <w:p w14:paraId="707E3511"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24.050 </w:t>
            </w:r>
          </w:p>
        </w:tc>
        <w:tc>
          <w:tcPr>
            <w:tcW w:w="1309" w:type="dxa"/>
            <w:tcBorders>
              <w:top w:val="nil"/>
              <w:left w:val="nil"/>
              <w:bottom w:val="single" w:sz="4" w:space="0" w:color="auto"/>
              <w:right w:val="single" w:sz="4" w:space="0" w:color="auto"/>
            </w:tcBorders>
            <w:shd w:val="clear" w:color="auto" w:fill="C4D79B"/>
            <w:noWrap/>
            <w:vAlign w:val="bottom"/>
            <w:hideMark/>
          </w:tcPr>
          <w:p w14:paraId="34C6AFC8"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 xml:space="preserve">39.180 </w:t>
            </w:r>
          </w:p>
        </w:tc>
        <w:tc>
          <w:tcPr>
            <w:tcW w:w="1134" w:type="dxa"/>
            <w:tcBorders>
              <w:top w:val="nil"/>
              <w:left w:val="nil"/>
              <w:bottom w:val="single" w:sz="4" w:space="0" w:color="auto"/>
              <w:right w:val="single" w:sz="4" w:space="0" w:color="auto"/>
            </w:tcBorders>
            <w:shd w:val="clear" w:color="auto" w:fill="C4D79B"/>
            <w:noWrap/>
            <w:vAlign w:val="bottom"/>
            <w:hideMark/>
          </w:tcPr>
          <w:p w14:paraId="455266FE" w14:textId="77777777" w:rsidR="003763EF" w:rsidRPr="00107C1B" w:rsidRDefault="003763EF" w:rsidP="00704887">
            <w:pPr>
              <w:spacing w:after="0" w:line="240" w:lineRule="auto"/>
              <w:jc w:val="right"/>
              <w:rPr>
                <w:rFonts w:ascii="Century Gothic" w:eastAsia="Times New Roman" w:hAnsi="Century Gothic" w:cs="Arial"/>
                <w:color w:val="000000"/>
                <w:sz w:val="20"/>
              </w:rPr>
            </w:pPr>
            <w:r w:rsidRPr="00107C1B">
              <w:rPr>
                <w:rFonts w:ascii="Century Gothic" w:eastAsia="Times New Roman" w:hAnsi="Century Gothic" w:cs="Arial"/>
                <w:color w:val="000000"/>
                <w:sz w:val="20"/>
              </w:rPr>
              <w:t>63</w:t>
            </w:r>
          </w:p>
        </w:tc>
      </w:tr>
    </w:tbl>
    <w:p w14:paraId="4020A486" w14:textId="187E09BF" w:rsidR="00AE1197" w:rsidRPr="00107C1B" w:rsidRDefault="00C71F26" w:rsidP="00C71F26">
      <w:pPr>
        <w:jc w:val="center"/>
        <w:rPr>
          <w:rFonts w:ascii="Century Gothic" w:hAnsi="Century Gothic"/>
          <w:lang w:val="es-ES" w:eastAsia="en-US"/>
        </w:rPr>
      </w:pPr>
      <w:r w:rsidRPr="00107C1B">
        <w:rPr>
          <w:rFonts w:ascii="Century Gothic" w:hAnsi="Century Gothic"/>
          <w:sz w:val="20"/>
          <w:lang w:val="es-ES"/>
        </w:rPr>
        <w:t>Fuente: Secretaría de Hacienda, 2018</w:t>
      </w:r>
    </w:p>
    <w:p w14:paraId="18078956" w14:textId="47F6DF94" w:rsidR="00C71F26" w:rsidRPr="00107C1B" w:rsidRDefault="00C71F26" w:rsidP="00C71F26">
      <w:pPr>
        <w:jc w:val="both"/>
        <w:rPr>
          <w:rFonts w:ascii="Century Gothic" w:hAnsi="Century Gothic"/>
          <w:lang w:val="es-ES" w:eastAsia="en-US"/>
        </w:rPr>
      </w:pPr>
      <w:r w:rsidRPr="00107C1B">
        <w:rPr>
          <w:rFonts w:ascii="Century Gothic" w:hAnsi="Century Gothic"/>
          <w:lang w:val="es-ES" w:eastAsia="en-US"/>
        </w:rPr>
        <w:t>Los ingresos del Instituto Municipal de Vivienda presenta</w:t>
      </w:r>
      <w:r w:rsidR="004F5BDD" w:rsidRPr="00107C1B">
        <w:rPr>
          <w:rFonts w:ascii="Century Gothic" w:hAnsi="Century Gothic"/>
          <w:lang w:val="es-ES" w:eastAsia="en-US"/>
        </w:rPr>
        <w:t>n</w:t>
      </w:r>
      <w:r w:rsidRPr="00107C1B">
        <w:rPr>
          <w:rFonts w:ascii="Century Gothic" w:hAnsi="Century Gothic"/>
          <w:lang w:val="es-ES" w:eastAsia="en-US"/>
        </w:rPr>
        <w:t xml:space="preserve"> un decrecimiento del 13</w:t>
      </w:r>
      <w:r w:rsidR="004F5BDD" w:rsidRPr="00107C1B">
        <w:rPr>
          <w:rFonts w:ascii="Century Gothic" w:hAnsi="Century Gothic"/>
          <w:lang w:val="es-ES" w:eastAsia="en-US"/>
        </w:rPr>
        <w:t xml:space="preserve"> por ciento</w:t>
      </w:r>
      <w:r w:rsidR="00107C1B" w:rsidRPr="00107C1B">
        <w:rPr>
          <w:rFonts w:ascii="Century Gothic" w:hAnsi="Century Gothic"/>
          <w:lang w:val="es-ES" w:eastAsia="en-US"/>
        </w:rPr>
        <w:t xml:space="preserve">, teniendo en cuenta que sus recursos provienen </w:t>
      </w:r>
      <w:r w:rsidRPr="00107C1B">
        <w:rPr>
          <w:rFonts w:ascii="Century Gothic" w:hAnsi="Century Gothic"/>
          <w:lang w:val="es-ES" w:eastAsia="en-US"/>
        </w:rPr>
        <w:t>del 8</w:t>
      </w:r>
      <w:r w:rsidR="004F5BDD" w:rsidRPr="00107C1B">
        <w:rPr>
          <w:rFonts w:ascii="Century Gothic" w:hAnsi="Century Gothic"/>
          <w:lang w:val="es-ES" w:eastAsia="en-US"/>
        </w:rPr>
        <w:t xml:space="preserve"> por ciento</w:t>
      </w:r>
      <w:r w:rsidRPr="00107C1B">
        <w:rPr>
          <w:rFonts w:ascii="Century Gothic" w:hAnsi="Century Gothic"/>
          <w:lang w:val="es-ES" w:eastAsia="en-US"/>
        </w:rPr>
        <w:t xml:space="preserve"> del impuesto predial.</w:t>
      </w:r>
      <w:r w:rsidR="00107C1B" w:rsidRPr="00107C1B">
        <w:rPr>
          <w:rFonts w:ascii="Century Gothic" w:hAnsi="Century Gothic"/>
          <w:lang w:val="es-ES" w:eastAsia="en-US"/>
        </w:rPr>
        <w:t xml:space="preserve"> Igual sucede con el </w:t>
      </w:r>
      <w:r w:rsidRPr="00107C1B">
        <w:rPr>
          <w:rFonts w:ascii="Century Gothic" w:hAnsi="Century Gothic"/>
          <w:lang w:val="es-ES" w:eastAsia="en-US"/>
        </w:rPr>
        <w:t xml:space="preserve">Instituto </w:t>
      </w:r>
      <w:r w:rsidR="00107C1B" w:rsidRPr="00107C1B">
        <w:rPr>
          <w:rFonts w:ascii="Century Gothic" w:hAnsi="Century Gothic"/>
          <w:lang w:val="es-ES" w:eastAsia="en-US"/>
        </w:rPr>
        <w:t xml:space="preserve">Pasto </w:t>
      </w:r>
      <w:r w:rsidRPr="00107C1B">
        <w:rPr>
          <w:rFonts w:ascii="Century Gothic" w:hAnsi="Century Gothic"/>
          <w:lang w:val="es-ES" w:eastAsia="en-US"/>
        </w:rPr>
        <w:t>Deportes,</w:t>
      </w:r>
      <w:r w:rsidR="00107C1B" w:rsidRPr="00107C1B">
        <w:rPr>
          <w:rFonts w:ascii="Century Gothic" w:hAnsi="Century Gothic"/>
          <w:lang w:val="es-ES" w:eastAsia="en-US"/>
        </w:rPr>
        <w:t xml:space="preserve"> el cual tendrá ingresos inferiores </w:t>
      </w:r>
      <w:r w:rsidRPr="00107C1B">
        <w:rPr>
          <w:rFonts w:ascii="Century Gothic" w:hAnsi="Century Gothic"/>
          <w:lang w:val="es-ES" w:eastAsia="en-US"/>
        </w:rPr>
        <w:t xml:space="preserve">en </w:t>
      </w:r>
      <w:r w:rsidR="00107C1B" w:rsidRPr="00107C1B">
        <w:rPr>
          <w:rFonts w:ascii="Century Gothic" w:hAnsi="Century Gothic"/>
          <w:lang w:val="es-ES" w:eastAsia="en-US"/>
        </w:rPr>
        <w:t xml:space="preserve">un </w:t>
      </w:r>
      <w:r w:rsidRPr="00107C1B">
        <w:rPr>
          <w:rFonts w:ascii="Century Gothic" w:hAnsi="Century Gothic"/>
          <w:lang w:val="es-ES" w:eastAsia="en-US"/>
        </w:rPr>
        <w:t>24</w:t>
      </w:r>
      <w:r w:rsidR="004F5BDD" w:rsidRPr="00107C1B">
        <w:rPr>
          <w:rFonts w:ascii="Century Gothic" w:hAnsi="Century Gothic"/>
          <w:lang w:val="es-ES" w:eastAsia="en-US"/>
        </w:rPr>
        <w:t xml:space="preserve"> por ciento</w:t>
      </w:r>
      <w:r w:rsidRPr="00107C1B">
        <w:rPr>
          <w:rFonts w:ascii="Century Gothic" w:hAnsi="Century Gothic"/>
          <w:lang w:val="es-ES" w:eastAsia="en-US"/>
        </w:rPr>
        <w:t xml:space="preserve">, </w:t>
      </w:r>
      <w:r w:rsidR="00107C1B" w:rsidRPr="00107C1B">
        <w:rPr>
          <w:rFonts w:ascii="Century Gothic" w:hAnsi="Century Gothic"/>
          <w:lang w:val="es-ES" w:eastAsia="en-US"/>
        </w:rPr>
        <w:t xml:space="preserve">en la medida que sus </w:t>
      </w:r>
      <w:r w:rsidRPr="00107C1B">
        <w:rPr>
          <w:rFonts w:ascii="Century Gothic" w:hAnsi="Century Gothic"/>
          <w:lang w:val="es-ES" w:eastAsia="en-US"/>
        </w:rPr>
        <w:t xml:space="preserve">ingresos provienen de la </w:t>
      </w:r>
      <w:r w:rsidR="00107C1B" w:rsidRPr="00107C1B">
        <w:rPr>
          <w:rFonts w:ascii="Century Gothic" w:hAnsi="Century Gothic"/>
          <w:lang w:val="es-ES" w:eastAsia="en-US"/>
        </w:rPr>
        <w:t xml:space="preserve">venta de </w:t>
      </w:r>
      <w:r w:rsidRPr="00107C1B">
        <w:rPr>
          <w:rFonts w:ascii="Century Gothic" w:hAnsi="Century Gothic"/>
          <w:lang w:val="es-ES" w:eastAsia="en-US"/>
        </w:rPr>
        <w:t>boletería de los partidos del Deportivo Pasto.</w:t>
      </w:r>
    </w:p>
    <w:p w14:paraId="43B83851" w14:textId="17C8C86D" w:rsidR="00676AFD" w:rsidRPr="00107C1B" w:rsidRDefault="003763EF" w:rsidP="00C71F26">
      <w:pPr>
        <w:jc w:val="both"/>
        <w:rPr>
          <w:rFonts w:ascii="Century Gothic" w:hAnsi="Century Gothic"/>
          <w:lang w:val="es-ES" w:eastAsia="en-US"/>
        </w:rPr>
      </w:pPr>
      <w:r w:rsidRPr="00107C1B">
        <w:rPr>
          <w:rFonts w:ascii="Century Gothic" w:hAnsi="Century Gothic"/>
          <w:lang w:val="es-ES" w:eastAsia="en-US"/>
        </w:rPr>
        <w:t>Se presenta un crecimiento en los ingresos de la Unidad Administrativa Avante, esto se explica porque se está contemplando los aportes que se encuentran pendientes de giro de la Nación y que respaldan los compromisos adquiridos, los recursos de capital de esta Unidad ascienden a $12.292 y los ingresos corrientes a $26.022 millones.</w:t>
      </w:r>
    </w:p>
    <w:p w14:paraId="67759045" w14:textId="5AE21F0A" w:rsidR="003D6D8F" w:rsidRPr="007E2B8B" w:rsidRDefault="0001178D" w:rsidP="009931F5">
      <w:pPr>
        <w:pStyle w:val="Ttulo2"/>
        <w:rPr>
          <w:lang w:val="es-ES"/>
        </w:rPr>
      </w:pPr>
      <w:bookmarkStart w:id="92" w:name="_Toc532565941"/>
      <w:r w:rsidRPr="007E2B8B">
        <w:rPr>
          <w:lang w:val="es-ES"/>
        </w:rPr>
        <w:t>G</w:t>
      </w:r>
      <w:r w:rsidR="003D6D8F" w:rsidRPr="007E2B8B">
        <w:rPr>
          <w:lang w:val="es-ES"/>
        </w:rPr>
        <w:t>astos</w:t>
      </w:r>
      <w:bookmarkEnd w:id="92"/>
      <w:r w:rsidRPr="007E2B8B">
        <w:rPr>
          <w:lang w:val="es-ES"/>
        </w:rPr>
        <w:t xml:space="preserve"> </w:t>
      </w:r>
    </w:p>
    <w:p w14:paraId="242CA16D" w14:textId="2FCDA610" w:rsidR="008E2D73" w:rsidRPr="007E2B8B" w:rsidRDefault="003D6D8F" w:rsidP="009931F5">
      <w:pPr>
        <w:pStyle w:val="Ttulo3"/>
        <w:rPr>
          <w:lang w:val="es-ES"/>
        </w:rPr>
      </w:pPr>
      <w:bookmarkStart w:id="93" w:name="_Toc532565942"/>
      <w:r w:rsidRPr="007E2B8B">
        <w:rPr>
          <w:lang w:val="es-ES"/>
        </w:rPr>
        <w:t xml:space="preserve">Gastos </w:t>
      </w:r>
      <w:r w:rsidR="0001178D" w:rsidRPr="007E2B8B">
        <w:rPr>
          <w:lang w:val="es-ES"/>
        </w:rPr>
        <w:t>de funcionamiento</w:t>
      </w:r>
      <w:bookmarkEnd w:id="93"/>
      <w:r w:rsidR="0001178D" w:rsidRPr="007E2B8B">
        <w:rPr>
          <w:lang w:val="es-ES"/>
        </w:rPr>
        <w:t xml:space="preserve"> </w:t>
      </w:r>
    </w:p>
    <w:p w14:paraId="5F399DD3" w14:textId="05596558" w:rsidR="0001178D" w:rsidRPr="007E2B8B" w:rsidRDefault="0001178D" w:rsidP="009931F5">
      <w:pPr>
        <w:jc w:val="both"/>
        <w:rPr>
          <w:rFonts w:ascii="Century Gothic" w:hAnsi="Century Gothic"/>
          <w:lang w:val="es-ES"/>
        </w:rPr>
      </w:pPr>
      <w:r w:rsidRPr="007E2B8B">
        <w:rPr>
          <w:rFonts w:ascii="Century Gothic" w:hAnsi="Century Gothic"/>
          <w:lang w:val="es-ES"/>
        </w:rPr>
        <w:t xml:space="preserve">En los gastos de funcionamiento se contemplan los gastos financiados con ingresos corrientes de libre destinación y los de </w:t>
      </w:r>
      <w:r w:rsidR="007E2B8B" w:rsidRPr="007E2B8B">
        <w:rPr>
          <w:rFonts w:ascii="Century Gothic" w:hAnsi="Century Gothic"/>
          <w:lang w:val="es-ES"/>
        </w:rPr>
        <w:t xml:space="preserve">destinación específica, como son: </w:t>
      </w:r>
      <w:r w:rsidRPr="007E2B8B">
        <w:rPr>
          <w:rFonts w:ascii="Century Gothic" w:hAnsi="Century Gothic"/>
          <w:lang w:val="es-ES"/>
        </w:rPr>
        <w:t xml:space="preserve">las transferencias de la sobretasa </w:t>
      </w:r>
      <w:proofErr w:type="spellStart"/>
      <w:r w:rsidRPr="007E2B8B">
        <w:rPr>
          <w:rFonts w:ascii="Century Gothic" w:hAnsi="Century Gothic"/>
          <w:lang w:val="es-ES"/>
        </w:rPr>
        <w:t>bomberil</w:t>
      </w:r>
      <w:proofErr w:type="spellEnd"/>
      <w:r w:rsidRPr="007E2B8B">
        <w:rPr>
          <w:rFonts w:ascii="Century Gothic" w:hAnsi="Century Gothic"/>
          <w:lang w:val="es-ES"/>
        </w:rPr>
        <w:t>, el 15</w:t>
      </w:r>
      <w:r w:rsidR="004F5BDD" w:rsidRPr="007E2B8B">
        <w:rPr>
          <w:rFonts w:ascii="Century Gothic" w:hAnsi="Century Gothic"/>
          <w:lang w:val="es-ES"/>
        </w:rPr>
        <w:t xml:space="preserve"> por ciento</w:t>
      </w:r>
      <w:r w:rsidRPr="007E2B8B">
        <w:rPr>
          <w:rFonts w:ascii="Century Gothic" w:hAnsi="Century Gothic"/>
          <w:lang w:val="es-ES"/>
        </w:rPr>
        <w:t xml:space="preserve"> de impuesto predial a la Corporación Autónoma de Nariño y lo recursos correspondientes al 20</w:t>
      </w:r>
      <w:r w:rsidR="004F5BDD" w:rsidRPr="007E2B8B">
        <w:rPr>
          <w:rFonts w:ascii="Century Gothic" w:hAnsi="Century Gothic"/>
          <w:lang w:val="es-ES"/>
        </w:rPr>
        <w:t xml:space="preserve"> por ciento</w:t>
      </w:r>
      <w:r w:rsidRPr="007E2B8B">
        <w:rPr>
          <w:rFonts w:ascii="Century Gothic" w:hAnsi="Century Gothic"/>
          <w:lang w:val="es-ES"/>
        </w:rPr>
        <w:t xml:space="preserve"> de estampillas destinadas para financiar el pasivo pensional.</w:t>
      </w:r>
    </w:p>
    <w:p w14:paraId="60F4102B" w14:textId="5D991EB1" w:rsidR="0001178D" w:rsidRPr="007E2B8B" w:rsidRDefault="0001178D" w:rsidP="0001178D">
      <w:pPr>
        <w:spacing w:after="0"/>
        <w:jc w:val="center"/>
        <w:rPr>
          <w:rFonts w:ascii="Century Gothic" w:eastAsia="Times New Roman" w:hAnsi="Century Gothic" w:cs="Arial"/>
          <w:color w:val="000000"/>
          <w:lang w:val="es-ES"/>
        </w:rPr>
      </w:pPr>
      <w:bookmarkStart w:id="94" w:name="_Toc532570541"/>
      <w:r w:rsidRPr="007E2B8B">
        <w:rPr>
          <w:rFonts w:ascii="Century Gothic" w:hAnsi="Century Gothic"/>
          <w:lang w:val="es-ES"/>
        </w:rPr>
        <w:t xml:space="preserve">Tabla </w:t>
      </w:r>
      <w:r w:rsidRPr="007E2B8B">
        <w:rPr>
          <w:rFonts w:ascii="Century Gothic" w:hAnsi="Century Gothic"/>
          <w:lang w:val="es-ES"/>
        </w:rPr>
        <w:fldChar w:fldCharType="begin"/>
      </w:r>
      <w:r w:rsidRPr="007E2B8B">
        <w:rPr>
          <w:rFonts w:ascii="Century Gothic" w:hAnsi="Century Gothic"/>
          <w:lang w:val="es-ES"/>
        </w:rPr>
        <w:instrText xml:space="preserve"> SEQ Tabla \* ARABIC </w:instrText>
      </w:r>
      <w:r w:rsidRPr="007E2B8B">
        <w:rPr>
          <w:rFonts w:ascii="Century Gothic" w:hAnsi="Century Gothic"/>
          <w:lang w:val="es-ES"/>
        </w:rPr>
        <w:fldChar w:fldCharType="separate"/>
      </w:r>
      <w:r w:rsidR="00934BA3" w:rsidRPr="007E2B8B">
        <w:rPr>
          <w:rFonts w:ascii="Century Gothic" w:hAnsi="Century Gothic"/>
          <w:noProof/>
          <w:lang w:val="es-ES"/>
        </w:rPr>
        <w:t>50</w:t>
      </w:r>
      <w:r w:rsidRPr="007E2B8B">
        <w:rPr>
          <w:rFonts w:ascii="Century Gothic" w:hAnsi="Century Gothic"/>
          <w:lang w:val="es-ES"/>
        </w:rPr>
        <w:fldChar w:fldCharType="end"/>
      </w:r>
      <w:r w:rsidRPr="007E2B8B">
        <w:rPr>
          <w:rFonts w:ascii="Century Gothic" w:hAnsi="Century Gothic"/>
          <w:lang w:val="es-ES"/>
        </w:rPr>
        <w:t>.</w:t>
      </w:r>
      <w:r w:rsidRPr="007E2B8B">
        <w:rPr>
          <w:rFonts w:ascii="Century Gothic" w:hAnsi="Century Gothic"/>
          <w:b/>
          <w:lang w:val="es-ES"/>
        </w:rPr>
        <w:t xml:space="preserve"> </w:t>
      </w:r>
      <w:r w:rsidRPr="007E2B8B">
        <w:rPr>
          <w:rFonts w:ascii="Century Gothic" w:eastAsia="Times New Roman" w:hAnsi="Century Gothic" w:cs="Arial"/>
          <w:color w:val="000000"/>
          <w:lang w:val="es-ES"/>
        </w:rPr>
        <w:t>Comparativo gastos de funcionamiento</w:t>
      </w:r>
      <w:r w:rsidR="00C75686" w:rsidRPr="007E2B8B">
        <w:rPr>
          <w:rFonts w:ascii="Century Gothic" w:eastAsia="Times New Roman" w:hAnsi="Century Gothic" w:cs="Arial"/>
          <w:color w:val="000000"/>
          <w:lang w:val="es-ES"/>
        </w:rPr>
        <w:t xml:space="preserve"> </w:t>
      </w:r>
      <w:r w:rsidR="00C75686" w:rsidRPr="007E2B8B">
        <w:rPr>
          <w:rFonts w:ascii="Century Gothic" w:hAnsi="Century Gothic"/>
          <w:lang w:val="es-ES"/>
        </w:rPr>
        <w:t>(millones de pesos)</w:t>
      </w:r>
      <w:bookmarkEnd w:id="94"/>
    </w:p>
    <w:tbl>
      <w:tblPr>
        <w:tblW w:w="896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34"/>
        <w:gridCol w:w="1217"/>
        <w:gridCol w:w="1192"/>
        <w:gridCol w:w="1017"/>
      </w:tblGrid>
      <w:tr w:rsidR="0001178D" w:rsidRPr="007E2B8B" w14:paraId="62D8FA1E" w14:textId="77777777" w:rsidTr="007E2B8B">
        <w:trPr>
          <w:trHeight w:val="20"/>
        </w:trPr>
        <w:tc>
          <w:tcPr>
            <w:tcW w:w="5534" w:type="dxa"/>
            <w:shd w:val="clear" w:color="auto" w:fill="C4D79B"/>
            <w:vAlign w:val="center"/>
            <w:hideMark/>
          </w:tcPr>
          <w:p w14:paraId="2EB58012" w14:textId="1ED46A8C" w:rsidR="0001178D" w:rsidRPr="007E2B8B" w:rsidRDefault="0001178D" w:rsidP="0001178D">
            <w:pPr>
              <w:spacing w:after="0" w:line="240" w:lineRule="auto"/>
              <w:jc w:val="center"/>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Concepto</w:t>
            </w:r>
          </w:p>
        </w:tc>
        <w:tc>
          <w:tcPr>
            <w:tcW w:w="1217" w:type="dxa"/>
            <w:shd w:val="clear" w:color="auto" w:fill="C4D79B"/>
            <w:vAlign w:val="center"/>
            <w:hideMark/>
          </w:tcPr>
          <w:p w14:paraId="03FEF202" w14:textId="161E834B" w:rsidR="0001178D" w:rsidRPr="007E2B8B" w:rsidRDefault="0001178D" w:rsidP="0001178D">
            <w:pPr>
              <w:spacing w:after="0" w:line="240" w:lineRule="auto"/>
              <w:jc w:val="center"/>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Presupuesto inicial 2018</w:t>
            </w:r>
          </w:p>
        </w:tc>
        <w:tc>
          <w:tcPr>
            <w:tcW w:w="1192" w:type="dxa"/>
            <w:shd w:val="clear" w:color="auto" w:fill="C4D79B"/>
            <w:vAlign w:val="center"/>
            <w:hideMark/>
          </w:tcPr>
          <w:p w14:paraId="6696E46E" w14:textId="227CD200" w:rsidR="0001178D" w:rsidRPr="007E2B8B" w:rsidRDefault="0001178D" w:rsidP="0001178D">
            <w:pPr>
              <w:spacing w:after="0" w:line="240" w:lineRule="auto"/>
              <w:jc w:val="center"/>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Presupuesto inicial 2019</w:t>
            </w:r>
          </w:p>
        </w:tc>
        <w:tc>
          <w:tcPr>
            <w:tcW w:w="1017" w:type="dxa"/>
            <w:shd w:val="clear" w:color="auto" w:fill="C4D79B"/>
            <w:vAlign w:val="center"/>
            <w:hideMark/>
          </w:tcPr>
          <w:p w14:paraId="45C64885" w14:textId="1C724E78" w:rsidR="0001178D" w:rsidRPr="007E2B8B" w:rsidRDefault="0001178D" w:rsidP="0001178D">
            <w:pPr>
              <w:spacing w:after="0" w:line="240" w:lineRule="auto"/>
              <w:jc w:val="center"/>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Variación %</w:t>
            </w:r>
          </w:p>
        </w:tc>
      </w:tr>
      <w:tr w:rsidR="0001178D" w:rsidRPr="007E2B8B" w14:paraId="30E06C98" w14:textId="77777777" w:rsidTr="007E2B8B">
        <w:trPr>
          <w:trHeight w:val="20"/>
        </w:trPr>
        <w:tc>
          <w:tcPr>
            <w:tcW w:w="5534" w:type="dxa"/>
            <w:noWrap/>
            <w:vAlign w:val="bottom"/>
            <w:hideMark/>
          </w:tcPr>
          <w:p w14:paraId="39004F01" w14:textId="77777777" w:rsidR="0001178D" w:rsidRPr="007E2B8B" w:rsidRDefault="0001178D">
            <w:pPr>
              <w:spacing w:after="0" w:line="240" w:lineRule="auto"/>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Central</w:t>
            </w:r>
          </w:p>
        </w:tc>
        <w:tc>
          <w:tcPr>
            <w:tcW w:w="1217" w:type="dxa"/>
            <w:noWrap/>
            <w:vAlign w:val="center"/>
            <w:hideMark/>
          </w:tcPr>
          <w:p w14:paraId="5BE3A7BD" w14:textId="188FA222"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44.963 </w:t>
            </w:r>
          </w:p>
        </w:tc>
        <w:tc>
          <w:tcPr>
            <w:tcW w:w="1192" w:type="dxa"/>
            <w:noWrap/>
            <w:vAlign w:val="center"/>
            <w:hideMark/>
          </w:tcPr>
          <w:p w14:paraId="47A6D759" w14:textId="594BC0E0"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46.457 </w:t>
            </w:r>
          </w:p>
        </w:tc>
        <w:tc>
          <w:tcPr>
            <w:tcW w:w="1017" w:type="dxa"/>
            <w:noWrap/>
            <w:vAlign w:val="center"/>
            <w:hideMark/>
          </w:tcPr>
          <w:p w14:paraId="66A05B6E" w14:textId="15337A2F" w:rsidR="0001178D" w:rsidRPr="007E2B8B" w:rsidRDefault="004F5BD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3</w:t>
            </w:r>
          </w:p>
        </w:tc>
      </w:tr>
      <w:tr w:rsidR="0001178D" w:rsidRPr="007E2B8B" w14:paraId="6101010F" w14:textId="77777777" w:rsidTr="007E2B8B">
        <w:trPr>
          <w:trHeight w:val="20"/>
        </w:trPr>
        <w:tc>
          <w:tcPr>
            <w:tcW w:w="5534" w:type="dxa"/>
            <w:vAlign w:val="bottom"/>
            <w:hideMark/>
          </w:tcPr>
          <w:p w14:paraId="2CB2D0B2" w14:textId="77777777" w:rsidR="0001178D" w:rsidRPr="007E2B8B" w:rsidRDefault="0001178D">
            <w:pPr>
              <w:spacing w:after="0" w:line="240" w:lineRule="auto"/>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Transferencias con ingresos de destinación especifica</w:t>
            </w:r>
          </w:p>
        </w:tc>
        <w:tc>
          <w:tcPr>
            <w:tcW w:w="1217" w:type="dxa"/>
            <w:noWrap/>
            <w:vAlign w:val="center"/>
            <w:hideMark/>
          </w:tcPr>
          <w:p w14:paraId="62FD0F75" w14:textId="1B1BE793"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10.983 </w:t>
            </w:r>
          </w:p>
        </w:tc>
        <w:tc>
          <w:tcPr>
            <w:tcW w:w="1192" w:type="dxa"/>
            <w:noWrap/>
            <w:vAlign w:val="center"/>
            <w:hideMark/>
          </w:tcPr>
          <w:p w14:paraId="2146F0B2" w14:textId="4A333900"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12.180 </w:t>
            </w:r>
          </w:p>
        </w:tc>
        <w:tc>
          <w:tcPr>
            <w:tcW w:w="1017" w:type="dxa"/>
            <w:noWrap/>
            <w:vAlign w:val="center"/>
            <w:hideMark/>
          </w:tcPr>
          <w:p w14:paraId="398C9370" w14:textId="105EBE64" w:rsidR="0001178D" w:rsidRPr="007E2B8B" w:rsidRDefault="004F5BD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11</w:t>
            </w:r>
          </w:p>
        </w:tc>
      </w:tr>
      <w:tr w:rsidR="0001178D" w:rsidRPr="007E2B8B" w14:paraId="39EF628F" w14:textId="77777777" w:rsidTr="007E2B8B">
        <w:trPr>
          <w:trHeight w:val="20"/>
        </w:trPr>
        <w:tc>
          <w:tcPr>
            <w:tcW w:w="5534" w:type="dxa"/>
            <w:noWrap/>
            <w:vAlign w:val="bottom"/>
            <w:hideMark/>
          </w:tcPr>
          <w:p w14:paraId="7E928053" w14:textId="77777777" w:rsidR="0001178D" w:rsidRPr="007E2B8B" w:rsidRDefault="0001178D">
            <w:pPr>
              <w:spacing w:after="0" w:line="240" w:lineRule="auto"/>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Salud</w:t>
            </w:r>
          </w:p>
        </w:tc>
        <w:tc>
          <w:tcPr>
            <w:tcW w:w="1217" w:type="dxa"/>
            <w:noWrap/>
            <w:vAlign w:val="center"/>
            <w:hideMark/>
          </w:tcPr>
          <w:p w14:paraId="5551F539" w14:textId="5A481A0A"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1.946 </w:t>
            </w:r>
          </w:p>
        </w:tc>
        <w:tc>
          <w:tcPr>
            <w:tcW w:w="1192" w:type="dxa"/>
            <w:noWrap/>
            <w:vAlign w:val="center"/>
            <w:hideMark/>
          </w:tcPr>
          <w:p w14:paraId="44397C53" w14:textId="2A1E96DC"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2.083 </w:t>
            </w:r>
          </w:p>
        </w:tc>
        <w:tc>
          <w:tcPr>
            <w:tcW w:w="1017" w:type="dxa"/>
            <w:noWrap/>
            <w:vAlign w:val="center"/>
            <w:hideMark/>
          </w:tcPr>
          <w:p w14:paraId="6C635637" w14:textId="0CB060B2" w:rsidR="0001178D" w:rsidRPr="007E2B8B" w:rsidRDefault="004F5BD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7</w:t>
            </w:r>
          </w:p>
        </w:tc>
      </w:tr>
      <w:tr w:rsidR="0001178D" w:rsidRPr="007E2B8B" w14:paraId="0439E5E3" w14:textId="77777777" w:rsidTr="007E2B8B">
        <w:trPr>
          <w:trHeight w:val="20"/>
        </w:trPr>
        <w:tc>
          <w:tcPr>
            <w:tcW w:w="5534" w:type="dxa"/>
            <w:noWrap/>
            <w:vAlign w:val="bottom"/>
            <w:hideMark/>
          </w:tcPr>
          <w:p w14:paraId="2FA4D50D" w14:textId="77777777" w:rsidR="0001178D" w:rsidRPr="007E2B8B" w:rsidRDefault="0001178D">
            <w:pPr>
              <w:spacing w:after="0" w:line="240" w:lineRule="auto"/>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Tránsito</w:t>
            </w:r>
          </w:p>
        </w:tc>
        <w:tc>
          <w:tcPr>
            <w:tcW w:w="1217" w:type="dxa"/>
            <w:noWrap/>
            <w:vAlign w:val="center"/>
            <w:hideMark/>
          </w:tcPr>
          <w:p w14:paraId="618E2A0A" w14:textId="1B3EFBA1"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3.038 </w:t>
            </w:r>
          </w:p>
        </w:tc>
        <w:tc>
          <w:tcPr>
            <w:tcW w:w="1192" w:type="dxa"/>
            <w:noWrap/>
            <w:vAlign w:val="center"/>
            <w:hideMark/>
          </w:tcPr>
          <w:p w14:paraId="25EFA511" w14:textId="728E31F0"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3.838 </w:t>
            </w:r>
          </w:p>
        </w:tc>
        <w:tc>
          <w:tcPr>
            <w:tcW w:w="1017" w:type="dxa"/>
            <w:noWrap/>
            <w:vAlign w:val="center"/>
            <w:hideMark/>
          </w:tcPr>
          <w:p w14:paraId="759C3212" w14:textId="11AB3081" w:rsidR="0001178D" w:rsidRPr="007E2B8B" w:rsidRDefault="004F5BD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26</w:t>
            </w:r>
          </w:p>
        </w:tc>
      </w:tr>
      <w:tr w:rsidR="0001178D" w:rsidRPr="007E2B8B" w14:paraId="138992DC" w14:textId="77777777" w:rsidTr="007E2B8B">
        <w:trPr>
          <w:trHeight w:val="20"/>
        </w:trPr>
        <w:tc>
          <w:tcPr>
            <w:tcW w:w="5534" w:type="dxa"/>
            <w:shd w:val="clear" w:color="auto" w:fill="D8E4BC"/>
            <w:vAlign w:val="bottom"/>
            <w:hideMark/>
          </w:tcPr>
          <w:p w14:paraId="3C34E6FE" w14:textId="77777777" w:rsidR="0001178D" w:rsidRPr="007E2B8B" w:rsidRDefault="0001178D">
            <w:pPr>
              <w:spacing w:after="0" w:line="240" w:lineRule="auto"/>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Total funcionamiento con destinación específica y libre destinación</w:t>
            </w:r>
          </w:p>
        </w:tc>
        <w:tc>
          <w:tcPr>
            <w:tcW w:w="1217" w:type="dxa"/>
            <w:shd w:val="clear" w:color="auto" w:fill="D8E4BC"/>
            <w:noWrap/>
            <w:vAlign w:val="center"/>
            <w:hideMark/>
          </w:tcPr>
          <w:p w14:paraId="548E7A96" w14:textId="77F55EB3" w:rsidR="0001178D" w:rsidRPr="007E2B8B" w:rsidRDefault="0001178D" w:rsidP="0001178D">
            <w:pPr>
              <w:spacing w:after="0" w:line="240" w:lineRule="auto"/>
              <w:jc w:val="right"/>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 xml:space="preserve">60.930 </w:t>
            </w:r>
          </w:p>
        </w:tc>
        <w:tc>
          <w:tcPr>
            <w:tcW w:w="1192" w:type="dxa"/>
            <w:shd w:val="clear" w:color="auto" w:fill="D8E4BC"/>
            <w:noWrap/>
            <w:vAlign w:val="center"/>
            <w:hideMark/>
          </w:tcPr>
          <w:p w14:paraId="79019DF0" w14:textId="3F73D08E" w:rsidR="0001178D" w:rsidRPr="007E2B8B" w:rsidRDefault="0001178D" w:rsidP="0001178D">
            <w:pPr>
              <w:spacing w:after="0" w:line="240" w:lineRule="auto"/>
              <w:jc w:val="right"/>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 xml:space="preserve">64.559 </w:t>
            </w:r>
          </w:p>
        </w:tc>
        <w:tc>
          <w:tcPr>
            <w:tcW w:w="1017" w:type="dxa"/>
            <w:shd w:val="clear" w:color="auto" w:fill="D8E4BC"/>
            <w:noWrap/>
            <w:vAlign w:val="center"/>
            <w:hideMark/>
          </w:tcPr>
          <w:p w14:paraId="4E14EB09" w14:textId="64C014E3" w:rsidR="0001178D" w:rsidRPr="007E2B8B" w:rsidRDefault="004F5BDD" w:rsidP="0001178D">
            <w:pPr>
              <w:spacing w:after="0" w:line="240" w:lineRule="auto"/>
              <w:jc w:val="right"/>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6</w:t>
            </w:r>
          </w:p>
        </w:tc>
      </w:tr>
      <w:tr w:rsidR="0001178D" w:rsidRPr="007E2B8B" w14:paraId="3A0B65FE" w14:textId="77777777" w:rsidTr="007E2B8B">
        <w:trPr>
          <w:trHeight w:val="20"/>
        </w:trPr>
        <w:tc>
          <w:tcPr>
            <w:tcW w:w="5534" w:type="dxa"/>
            <w:vAlign w:val="bottom"/>
            <w:hideMark/>
          </w:tcPr>
          <w:p w14:paraId="1FD3CC8E" w14:textId="77777777" w:rsidR="0001178D" w:rsidRPr="007E2B8B" w:rsidRDefault="0001178D">
            <w:pPr>
              <w:spacing w:after="0" w:line="240" w:lineRule="auto"/>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Transferencia entes de control</w:t>
            </w:r>
          </w:p>
        </w:tc>
        <w:tc>
          <w:tcPr>
            <w:tcW w:w="1217" w:type="dxa"/>
            <w:noWrap/>
            <w:vAlign w:val="center"/>
            <w:hideMark/>
          </w:tcPr>
          <w:p w14:paraId="1B5B13C4" w14:textId="7090A420"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6.698 </w:t>
            </w:r>
          </w:p>
        </w:tc>
        <w:tc>
          <w:tcPr>
            <w:tcW w:w="1192" w:type="dxa"/>
            <w:noWrap/>
            <w:vAlign w:val="center"/>
            <w:hideMark/>
          </w:tcPr>
          <w:p w14:paraId="1012182E" w14:textId="68391DF2" w:rsidR="0001178D" w:rsidRPr="007E2B8B" w:rsidRDefault="0001178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 xml:space="preserve">6.883 </w:t>
            </w:r>
          </w:p>
        </w:tc>
        <w:tc>
          <w:tcPr>
            <w:tcW w:w="1017" w:type="dxa"/>
            <w:noWrap/>
            <w:vAlign w:val="center"/>
            <w:hideMark/>
          </w:tcPr>
          <w:p w14:paraId="21364540" w14:textId="636B6E64" w:rsidR="0001178D" w:rsidRPr="007E2B8B" w:rsidRDefault="004F5BDD" w:rsidP="0001178D">
            <w:pPr>
              <w:spacing w:after="0" w:line="240" w:lineRule="auto"/>
              <w:jc w:val="right"/>
              <w:rPr>
                <w:rFonts w:ascii="Century Gothic" w:eastAsia="Times New Roman" w:hAnsi="Century Gothic" w:cs="Arial"/>
                <w:color w:val="000000"/>
                <w:sz w:val="18"/>
                <w:szCs w:val="18"/>
                <w:lang w:val="es-ES"/>
              </w:rPr>
            </w:pPr>
            <w:r w:rsidRPr="007E2B8B">
              <w:rPr>
                <w:rFonts w:ascii="Century Gothic" w:eastAsia="Times New Roman" w:hAnsi="Century Gothic" w:cs="Arial"/>
                <w:color w:val="000000"/>
                <w:sz w:val="18"/>
                <w:szCs w:val="18"/>
                <w:lang w:val="es-ES"/>
              </w:rPr>
              <w:t>3</w:t>
            </w:r>
          </w:p>
        </w:tc>
      </w:tr>
      <w:tr w:rsidR="0001178D" w:rsidRPr="007E2B8B" w14:paraId="42624662" w14:textId="77777777" w:rsidTr="007E2B8B">
        <w:trPr>
          <w:trHeight w:val="20"/>
        </w:trPr>
        <w:tc>
          <w:tcPr>
            <w:tcW w:w="5534" w:type="dxa"/>
            <w:shd w:val="clear" w:color="auto" w:fill="C4D79B"/>
            <w:vAlign w:val="bottom"/>
            <w:hideMark/>
          </w:tcPr>
          <w:p w14:paraId="62548E86" w14:textId="563B5606" w:rsidR="0001178D" w:rsidRPr="007E2B8B" w:rsidRDefault="0001178D">
            <w:pPr>
              <w:spacing w:after="0" w:line="240" w:lineRule="auto"/>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 xml:space="preserve">Total funcionamiento </w:t>
            </w:r>
          </w:p>
        </w:tc>
        <w:tc>
          <w:tcPr>
            <w:tcW w:w="1217" w:type="dxa"/>
            <w:shd w:val="clear" w:color="auto" w:fill="C4D79B"/>
            <w:noWrap/>
            <w:vAlign w:val="center"/>
            <w:hideMark/>
          </w:tcPr>
          <w:p w14:paraId="60EC8EEF" w14:textId="4F32F292" w:rsidR="0001178D" w:rsidRPr="007E2B8B" w:rsidRDefault="0001178D" w:rsidP="0001178D">
            <w:pPr>
              <w:spacing w:after="0" w:line="240" w:lineRule="auto"/>
              <w:jc w:val="right"/>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 xml:space="preserve">67.628 </w:t>
            </w:r>
          </w:p>
        </w:tc>
        <w:tc>
          <w:tcPr>
            <w:tcW w:w="1192" w:type="dxa"/>
            <w:shd w:val="clear" w:color="auto" w:fill="C4D79B"/>
            <w:noWrap/>
            <w:vAlign w:val="center"/>
            <w:hideMark/>
          </w:tcPr>
          <w:p w14:paraId="6E344202" w14:textId="723EAA46" w:rsidR="0001178D" w:rsidRPr="007E2B8B" w:rsidRDefault="0001178D" w:rsidP="0001178D">
            <w:pPr>
              <w:spacing w:after="0" w:line="240" w:lineRule="auto"/>
              <w:jc w:val="right"/>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 xml:space="preserve">71.442 </w:t>
            </w:r>
          </w:p>
        </w:tc>
        <w:tc>
          <w:tcPr>
            <w:tcW w:w="1017" w:type="dxa"/>
            <w:shd w:val="clear" w:color="auto" w:fill="C4D79B"/>
            <w:noWrap/>
            <w:vAlign w:val="center"/>
            <w:hideMark/>
          </w:tcPr>
          <w:p w14:paraId="65D5491A" w14:textId="080F4C6D" w:rsidR="0001178D" w:rsidRPr="007E2B8B" w:rsidRDefault="004F5BDD" w:rsidP="0001178D">
            <w:pPr>
              <w:spacing w:after="0" w:line="240" w:lineRule="auto"/>
              <w:jc w:val="right"/>
              <w:rPr>
                <w:rFonts w:ascii="Century Gothic" w:eastAsia="Times New Roman" w:hAnsi="Century Gothic" w:cs="Arial"/>
                <w:b/>
                <w:color w:val="000000"/>
                <w:sz w:val="18"/>
                <w:szCs w:val="18"/>
                <w:lang w:val="es-ES"/>
              </w:rPr>
            </w:pPr>
            <w:r w:rsidRPr="007E2B8B">
              <w:rPr>
                <w:rFonts w:ascii="Century Gothic" w:eastAsia="Times New Roman" w:hAnsi="Century Gothic" w:cs="Arial"/>
                <w:b/>
                <w:color w:val="000000"/>
                <w:sz w:val="18"/>
                <w:szCs w:val="18"/>
                <w:lang w:val="es-ES"/>
              </w:rPr>
              <w:t>6</w:t>
            </w:r>
          </w:p>
        </w:tc>
      </w:tr>
    </w:tbl>
    <w:p w14:paraId="380E6859" w14:textId="77777777" w:rsidR="0001178D" w:rsidRPr="007E2B8B" w:rsidRDefault="0001178D" w:rsidP="0001178D">
      <w:pPr>
        <w:jc w:val="center"/>
        <w:rPr>
          <w:rFonts w:ascii="Century Gothic" w:hAnsi="Century Gothic"/>
          <w:lang w:val="es-ES" w:eastAsia="en-US"/>
        </w:rPr>
      </w:pPr>
      <w:r w:rsidRPr="007E2B8B">
        <w:rPr>
          <w:rFonts w:ascii="Century Gothic" w:hAnsi="Century Gothic"/>
          <w:sz w:val="20"/>
          <w:lang w:val="es-ES"/>
        </w:rPr>
        <w:t>Fuente: Secretaría de Hacienda, 2018</w:t>
      </w:r>
    </w:p>
    <w:p w14:paraId="7230C727" w14:textId="7C3039D2" w:rsidR="0001178D" w:rsidRPr="007E2B8B" w:rsidRDefault="003763EF" w:rsidP="0001178D">
      <w:pPr>
        <w:jc w:val="both"/>
        <w:rPr>
          <w:rFonts w:ascii="Century Gothic" w:hAnsi="Century Gothic"/>
          <w:lang w:val="es-ES"/>
        </w:rPr>
      </w:pPr>
      <w:r w:rsidRPr="007E2B8B">
        <w:rPr>
          <w:rFonts w:ascii="Century Gothic" w:hAnsi="Century Gothic"/>
          <w:lang w:val="es-ES"/>
        </w:rPr>
        <w:t xml:space="preserve">Los gastos de funcionamiento del sector central presentan un decrecimiento del 13 por ciento, esto se explica porque a finales de 2018 se realizó desahorro </w:t>
      </w:r>
      <w:r w:rsidR="00D54630">
        <w:rPr>
          <w:rFonts w:ascii="Century Gothic" w:hAnsi="Century Gothic"/>
          <w:lang w:val="es-ES"/>
        </w:rPr>
        <w:t>FONPET</w:t>
      </w:r>
      <w:r w:rsidR="007E2B8B" w:rsidRPr="007E2B8B">
        <w:rPr>
          <w:rFonts w:ascii="Century Gothic" w:hAnsi="Century Gothic"/>
          <w:lang w:val="es-ES"/>
        </w:rPr>
        <w:t xml:space="preserve"> </w:t>
      </w:r>
      <w:r w:rsidRPr="007E2B8B">
        <w:rPr>
          <w:rFonts w:ascii="Century Gothic" w:hAnsi="Century Gothic"/>
          <w:lang w:val="es-ES"/>
        </w:rPr>
        <w:t xml:space="preserve">para el pago de mesadas pensionales, liberando así los recursos de libre </w:t>
      </w:r>
      <w:r w:rsidRPr="007E2B8B">
        <w:rPr>
          <w:rFonts w:ascii="Century Gothic" w:hAnsi="Century Gothic"/>
          <w:lang w:val="es-ES"/>
        </w:rPr>
        <w:lastRenderedPageBreak/>
        <w:t>destinación que se utilizan para asumir estos gastos, los cuales no se alcanzaron a ejecutar y se contemplan para el año 2019, los gastos de la Secretaría de Tránsito presentan un crecimiento del 26 por ciento</w:t>
      </w:r>
      <w:r w:rsidR="008811D7">
        <w:rPr>
          <w:rFonts w:ascii="Century Gothic" w:hAnsi="Century Gothic"/>
          <w:lang w:val="es-ES"/>
        </w:rPr>
        <w:t xml:space="preserve">, debido a que </w:t>
      </w:r>
      <w:r w:rsidRPr="007E2B8B">
        <w:rPr>
          <w:rFonts w:ascii="Century Gothic" w:hAnsi="Century Gothic"/>
          <w:lang w:val="es-ES"/>
        </w:rPr>
        <w:t>durante la próxi</w:t>
      </w:r>
      <w:r w:rsidR="007E2B8B" w:rsidRPr="007E2B8B">
        <w:rPr>
          <w:rFonts w:ascii="Century Gothic" w:hAnsi="Century Gothic"/>
          <w:lang w:val="es-ES"/>
        </w:rPr>
        <w:t xml:space="preserve">ma vigencia se crearan cargos. </w:t>
      </w:r>
      <w:r w:rsidRPr="007E2B8B">
        <w:rPr>
          <w:rFonts w:ascii="Century Gothic" w:hAnsi="Century Gothic"/>
          <w:lang w:val="es-ES"/>
        </w:rPr>
        <w:t xml:space="preserve">En las transferencias de destinación específica se contemplan las que se realizan a </w:t>
      </w:r>
      <w:proofErr w:type="spellStart"/>
      <w:r w:rsidRPr="007E2B8B">
        <w:rPr>
          <w:rFonts w:ascii="Century Gothic" w:hAnsi="Century Gothic"/>
          <w:lang w:val="es-ES"/>
        </w:rPr>
        <w:t>Corponariño</w:t>
      </w:r>
      <w:proofErr w:type="spellEnd"/>
      <w:r w:rsidRPr="007E2B8B">
        <w:rPr>
          <w:rFonts w:ascii="Century Gothic" w:hAnsi="Century Gothic"/>
          <w:lang w:val="es-ES"/>
        </w:rPr>
        <w:t>, bomberos, los recursos de desahorro para el pago de mesadas y las que corresponden al pasivo pensional y que provienen del 20 por ciento de estampillas y de las cuotas partes, para todos estos se está contemplando los gastos que se asumirán con los recursos de balance por estos conceptos.</w:t>
      </w:r>
    </w:p>
    <w:p w14:paraId="6A1C85D1" w14:textId="5014D9B1" w:rsidR="0001178D" w:rsidRPr="0020393F" w:rsidRDefault="0001178D" w:rsidP="0001178D">
      <w:pPr>
        <w:pStyle w:val="Ttulo3"/>
        <w:rPr>
          <w:lang w:val="es-ES"/>
        </w:rPr>
      </w:pPr>
      <w:bookmarkStart w:id="95" w:name="_Toc532565943"/>
      <w:r w:rsidRPr="0020393F">
        <w:rPr>
          <w:lang w:val="es-ES"/>
        </w:rPr>
        <w:t>Gastos de funcionamiento con Ingresos Corrientes de Libre Destinación</w:t>
      </w:r>
      <w:bookmarkEnd w:id="95"/>
    </w:p>
    <w:p w14:paraId="6346A320" w14:textId="251E5245" w:rsidR="000E64D3" w:rsidRPr="0020393F" w:rsidRDefault="0001178D" w:rsidP="0001178D">
      <w:pPr>
        <w:jc w:val="both"/>
        <w:rPr>
          <w:rFonts w:ascii="Century Gothic" w:hAnsi="Century Gothic"/>
          <w:lang w:val="es-ES"/>
        </w:rPr>
      </w:pPr>
      <w:r w:rsidRPr="0020393F">
        <w:rPr>
          <w:rFonts w:ascii="Century Gothic" w:hAnsi="Century Gothic"/>
          <w:lang w:val="es-ES"/>
        </w:rPr>
        <w:t xml:space="preserve">Los gastos de funcionamiento con recursos de libre destinación se contemplan en el sector central, Fondo Local de Salud y </w:t>
      </w:r>
      <w:r w:rsidR="006E0A74">
        <w:rPr>
          <w:rFonts w:ascii="Century Gothic" w:hAnsi="Century Gothic"/>
          <w:lang w:val="es-ES"/>
        </w:rPr>
        <w:t xml:space="preserve">Fondo </w:t>
      </w:r>
      <w:r w:rsidRPr="0020393F">
        <w:rPr>
          <w:rFonts w:ascii="Century Gothic" w:hAnsi="Century Gothic"/>
          <w:lang w:val="es-ES"/>
        </w:rPr>
        <w:t>Tránsito y Transporte. La Administración Municipal realiza el control constante de los gastos y los ingresos para determinar si se encuentra dentro de los límites establecidos en la Ley 617 de 2000.</w:t>
      </w:r>
    </w:p>
    <w:p w14:paraId="79BEBF57" w14:textId="2852E3F6" w:rsidR="00C75686" w:rsidRPr="0020393F" w:rsidRDefault="00C75686" w:rsidP="00C75686">
      <w:pPr>
        <w:spacing w:after="0" w:line="240" w:lineRule="auto"/>
        <w:jc w:val="center"/>
        <w:rPr>
          <w:rFonts w:ascii="Century Gothic" w:eastAsia="Times New Roman" w:hAnsi="Century Gothic" w:cs="Arial"/>
          <w:color w:val="000000"/>
          <w:lang w:val="es-ES"/>
        </w:rPr>
      </w:pPr>
      <w:bookmarkStart w:id="96" w:name="_Toc532570542"/>
      <w:r w:rsidRPr="0020393F">
        <w:rPr>
          <w:rFonts w:ascii="Century Gothic" w:hAnsi="Century Gothic"/>
          <w:lang w:val="es-ES"/>
        </w:rPr>
        <w:t xml:space="preserve">Tabla </w:t>
      </w:r>
      <w:r w:rsidRPr="0020393F">
        <w:rPr>
          <w:rFonts w:ascii="Century Gothic" w:hAnsi="Century Gothic"/>
          <w:lang w:val="es-ES"/>
        </w:rPr>
        <w:fldChar w:fldCharType="begin"/>
      </w:r>
      <w:r w:rsidRPr="0020393F">
        <w:rPr>
          <w:rFonts w:ascii="Century Gothic" w:hAnsi="Century Gothic"/>
          <w:lang w:val="es-ES"/>
        </w:rPr>
        <w:instrText xml:space="preserve"> SEQ Tabla \* ARABIC </w:instrText>
      </w:r>
      <w:r w:rsidRPr="0020393F">
        <w:rPr>
          <w:rFonts w:ascii="Century Gothic" w:hAnsi="Century Gothic"/>
          <w:lang w:val="es-ES"/>
        </w:rPr>
        <w:fldChar w:fldCharType="separate"/>
      </w:r>
      <w:r w:rsidR="00934BA3" w:rsidRPr="0020393F">
        <w:rPr>
          <w:rFonts w:ascii="Century Gothic" w:hAnsi="Century Gothic"/>
          <w:noProof/>
          <w:lang w:val="es-ES"/>
        </w:rPr>
        <w:t>51</w:t>
      </w:r>
      <w:r w:rsidRPr="0020393F">
        <w:rPr>
          <w:rFonts w:ascii="Century Gothic" w:hAnsi="Century Gothic"/>
          <w:lang w:val="es-ES"/>
        </w:rPr>
        <w:fldChar w:fldCharType="end"/>
      </w:r>
      <w:r w:rsidRPr="0020393F">
        <w:rPr>
          <w:rFonts w:ascii="Century Gothic" w:hAnsi="Century Gothic"/>
          <w:lang w:val="es-ES"/>
        </w:rPr>
        <w:t>.</w:t>
      </w:r>
      <w:r w:rsidRPr="0020393F">
        <w:rPr>
          <w:rFonts w:ascii="Century Gothic" w:hAnsi="Century Gothic"/>
          <w:b/>
          <w:lang w:val="es-ES"/>
        </w:rPr>
        <w:t xml:space="preserve"> </w:t>
      </w:r>
      <w:r w:rsidRPr="0020393F">
        <w:rPr>
          <w:rFonts w:ascii="Century Gothic" w:hAnsi="Century Gothic"/>
          <w:lang w:val="es-ES"/>
        </w:rPr>
        <w:t>Comparativo indicador gastos de funcionamiento 2016 – 2019 (millones de pesos)</w:t>
      </w:r>
      <w:bookmarkEnd w:id="96"/>
    </w:p>
    <w:tbl>
      <w:tblPr>
        <w:tblW w:w="8941" w:type="dxa"/>
        <w:tblCellMar>
          <w:left w:w="70" w:type="dxa"/>
          <w:right w:w="70" w:type="dxa"/>
        </w:tblCellMar>
        <w:tblLook w:val="04A0" w:firstRow="1" w:lastRow="0" w:firstColumn="1" w:lastColumn="0" w:noHBand="0" w:noVBand="1"/>
      </w:tblPr>
      <w:tblGrid>
        <w:gridCol w:w="4465"/>
        <w:gridCol w:w="850"/>
        <w:gridCol w:w="851"/>
        <w:gridCol w:w="850"/>
        <w:gridCol w:w="992"/>
        <w:gridCol w:w="933"/>
      </w:tblGrid>
      <w:tr w:rsidR="00C75686" w:rsidRPr="006E0A74" w14:paraId="1187F69D" w14:textId="77777777" w:rsidTr="006E0A74">
        <w:trPr>
          <w:trHeight w:val="20"/>
        </w:trPr>
        <w:tc>
          <w:tcPr>
            <w:tcW w:w="4465" w:type="dxa"/>
            <w:tcBorders>
              <w:top w:val="single" w:sz="8" w:space="0" w:color="auto"/>
              <w:left w:val="single" w:sz="8" w:space="0" w:color="auto"/>
              <w:bottom w:val="single" w:sz="8" w:space="0" w:color="auto"/>
              <w:right w:val="single" w:sz="4" w:space="0" w:color="auto"/>
            </w:tcBorders>
            <w:shd w:val="clear" w:color="auto" w:fill="C2D69B" w:themeFill="accent3" w:themeFillTint="99"/>
            <w:noWrap/>
            <w:vAlign w:val="center"/>
            <w:hideMark/>
          </w:tcPr>
          <w:p w14:paraId="68A09045" w14:textId="5ECFC18E" w:rsidR="00C75686" w:rsidRPr="006E0A74" w:rsidRDefault="00C75686" w:rsidP="00C75686">
            <w:pPr>
              <w:spacing w:after="0" w:line="240" w:lineRule="auto"/>
              <w:jc w:val="center"/>
              <w:rPr>
                <w:rFonts w:ascii="Century Gothic" w:eastAsia="Times New Roman" w:hAnsi="Century Gothic" w:cs="Calibri"/>
                <w:b/>
                <w:bCs/>
                <w:color w:val="000000"/>
                <w:sz w:val="20"/>
                <w:lang w:val="es-ES"/>
              </w:rPr>
            </w:pPr>
            <w:r w:rsidRPr="006E0A74">
              <w:rPr>
                <w:rFonts w:ascii="Century Gothic" w:eastAsia="Times New Roman" w:hAnsi="Century Gothic" w:cs="Calibri"/>
                <w:b/>
                <w:bCs/>
                <w:color w:val="000000"/>
                <w:sz w:val="20"/>
                <w:lang w:val="es-ES"/>
              </w:rPr>
              <w:t>Detalle</w:t>
            </w:r>
          </w:p>
        </w:tc>
        <w:tc>
          <w:tcPr>
            <w:tcW w:w="850" w:type="dxa"/>
            <w:tcBorders>
              <w:top w:val="single" w:sz="8" w:space="0" w:color="auto"/>
              <w:left w:val="nil"/>
              <w:bottom w:val="single" w:sz="8" w:space="0" w:color="auto"/>
              <w:right w:val="single" w:sz="4" w:space="0" w:color="auto"/>
            </w:tcBorders>
            <w:shd w:val="clear" w:color="auto" w:fill="C2D69B" w:themeFill="accent3" w:themeFillTint="99"/>
            <w:noWrap/>
            <w:vAlign w:val="center"/>
            <w:hideMark/>
          </w:tcPr>
          <w:p w14:paraId="72CB99EE" w14:textId="77777777" w:rsidR="00C75686" w:rsidRPr="006E0A74" w:rsidRDefault="00C75686" w:rsidP="00C75686">
            <w:pPr>
              <w:spacing w:after="0" w:line="240" w:lineRule="auto"/>
              <w:jc w:val="center"/>
              <w:rPr>
                <w:rFonts w:ascii="Century Gothic" w:eastAsia="Times New Roman" w:hAnsi="Century Gothic" w:cs="Calibri"/>
                <w:b/>
                <w:bCs/>
                <w:color w:val="000000"/>
                <w:sz w:val="20"/>
                <w:lang w:val="es-ES"/>
              </w:rPr>
            </w:pPr>
            <w:r w:rsidRPr="006E0A74">
              <w:rPr>
                <w:rFonts w:ascii="Century Gothic" w:eastAsia="Times New Roman" w:hAnsi="Century Gothic" w:cs="Calibri"/>
                <w:b/>
                <w:bCs/>
                <w:color w:val="000000"/>
                <w:sz w:val="20"/>
                <w:lang w:val="es-ES"/>
              </w:rPr>
              <w:t>2015</w:t>
            </w:r>
          </w:p>
        </w:tc>
        <w:tc>
          <w:tcPr>
            <w:tcW w:w="851" w:type="dxa"/>
            <w:tcBorders>
              <w:top w:val="single" w:sz="8" w:space="0" w:color="auto"/>
              <w:left w:val="nil"/>
              <w:bottom w:val="single" w:sz="8" w:space="0" w:color="auto"/>
              <w:right w:val="single" w:sz="4" w:space="0" w:color="auto"/>
            </w:tcBorders>
            <w:shd w:val="clear" w:color="auto" w:fill="C2D69B" w:themeFill="accent3" w:themeFillTint="99"/>
            <w:noWrap/>
            <w:vAlign w:val="center"/>
            <w:hideMark/>
          </w:tcPr>
          <w:p w14:paraId="07DD2AC3" w14:textId="77777777" w:rsidR="00C75686" w:rsidRPr="006E0A74" w:rsidRDefault="00C75686" w:rsidP="00C75686">
            <w:pPr>
              <w:spacing w:after="0" w:line="240" w:lineRule="auto"/>
              <w:jc w:val="center"/>
              <w:rPr>
                <w:rFonts w:ascii="Century Gothic" w:eastAsia="Times New Roman" w:hAnsi="Century Gothic" w:cs="Calibri"/>
                <w:b/>
                <w:bCs/>
                <w:color w:val="000000"/>
                <w:sz w:val="20"/>
                <w:lang w:val="es-ES"/>
              </w:rPr>
            </w:pPr>
            <w:r w:rsidRPr="006E0A74">
              <w:rPr>
                <w:rFonts w:ascii="Century Gothic" w:eastAsia="Times New Roman" w:hAnsi="Century Gothic" w:cs="Calibri"/>
                <w:b/>
                <w:bCs/>
                <w:color w:val="000000"/>
                <w:sz w:val="20"/>
                <w:lang w:val="es-ES"/>
              </w:rPr>
              <w:t>2016</w:t>
            </w:r>
          </w:p>
        </w:tc>
        <w:tc>
          <w:tcPr>
            <w:tcW w:w="850" w:type="dxa"/>
            <w:tcBorders>
              <w:top w:val="single" w:sz="8" w:space="0" w:color="auto"/>
              <w:left w:val="nil"/>
              <w:bottom w:val="single" w:sz="8" w:space="0" w:color="auto"/>
              <w:right w:val="single" w:sz="4" w:space="0" w:color="auto"/>
            </w:tcBorders>
            <w:shd w:val="clear" w:color="auto" w:fill="C2D69B" w:themeFill="accent3" w:themeFillTint="99"/>
            <w:noWrap/>
            <w:vAlign w:val="center"/>
            <w:hideMark/>
          </w:tcPr>
          <w:p w14:paraId="4ABE3283" w14:textId="77777777" w:rsidR="00C75686" w:rsidRPr="006E0A74" w:rsidRDefault="00C75686" w:rsidP="00C75686">
            <w:pPr>
              <w:spacing w:after="0" w:line="240" w:lineRule="auto"/>
              <w:jc w:val="center"/>
              <w:rPr>
                <w:rFonts w:ascii="Century Gothic" w:eastAsia="Times New Roman" w:hAnsi="Century Gothic" w:cs="Calibri"/>
                <w:b/>
                <w:bCs/>
                <w:color w:val="000000"/>
                <w:sz w:val="20"/>
                <w:lang w:val="es-ES"/>
              </w:rPr>
            </w:pPr>
            <w:r w:rsidRPr="006E0A74">
              <w:rPr>
                <w:rFonts w:ascii="Century Gothic" w:eastAsia="Times New Roman" w:hAnsi="Century Gothic" w:cs="Calibri"/>
                <w:b/>
                <w:bCs/>
                <w:color w:val="000000"/>
                <w:sz w:val="20"/>
                <w:lang w:val="es-ES"/>
              </w:rPr>
              <w:t>2017</w:t>
            </w:r>
          </w:p>
        </w:tc>
        <w:tc>
          <w:tcPr>
            <w:tcW w:w="992" w:type="dxa"/>
            <w:tcBorders>
              <w:top w:val="single" w:sz="8" w:space="0" w:color="auto"/>
              <w:left w:val="nil"/>
              <w:bottom w:val="single" w:sz="8" w:space="0" w:color="auto"/>
              <w:right w:val="single" w:sz="4" w:space="0" w:color="auto"/>
            </w:tcBorders>
            <w:shd w:val="clear" w:color="auto" w:fill="C2D69B" w:themeFill="accent3" w:themeFillTint="99"/>
            <w:noWrap/>
            <w:vAlign w:val="center"/>
            <w:hideMark/>
          </w:tcPr>
          <w:p w14:paraId="7DA4A3DA" w14:textId="77777777" w:rsidR="00C75686" w:rsidRPr="006E0A74" w:rsidRDefault="00C75686" w:rsidP="00C75686">
            <w:pPr>
              <w:spacing w:after="0" w:line="240" w:lineRule="auto"/>
              <w:jc w:val="center"/>
              <w:rPr>
                <w:rFonts w:ascii="Century Gothic" w:eastAsia="Times New Roman" w:hAnsi="Century Gothic" w:cs="Calibri"/>
                <w:b/>
                <w:bCs/>
                <w:color w:val="000000"/>
                <w:sz w:val="20"/>
                <w:lang w:val="es-ES"/>
              </w:rPr>
            </w:pPr>
            <w:r w:rsidRPr="006E0A74">
              <w:rPr>
                <w:rFonts w:ascii="Century Gothic" w:eastAsia="Times New Roman" w:hAnsi="Century Gothic" w:cs="Calibri"/>
                <w:b/>
                <w:bCs/>
                <w:color w:val="000000"/>
                <w:sz w:val="20"/>
                <w:lang w:val="es-ES"/>
              </w:rPr>
              <w:t>2018</w:t>
            </w:r>
          </w:p>
        </w:tc>
        <w:tc>
          <w:tcPr>
            <w:tcW w:w="933" w:type="dxa"/>
            <w:tcBorders>
              <w:top w:val="single" w:sz="8" w:space="0" w:color="auto"/>
              <w:left w:val="nil"/>
              <w:bottom w:val="single" w:sz="8" w:space="0" w:color="auto"/>
              <w:right w:val="single" w:sz="8" w:space="0" w:color="auto"/>
            </w:tcBorders>
            <w:shd w:val="clear" w:color="auto" w:fill="C2D69B" w:themeFill="accent3" w:themeFillTint="99"/>
            <w:noWrap/>
            <w:vAlign w:val="center"/>
            <w:hideMark/>
          </w:tcPr>
          <w:p w14:paraId="302EE15A" w14:textId="77777777" w:rsidR="00C75686" w:rsidRPr="006E0A74" w:rsidRDefault="00C75686" w:rsidP="00C75686">
            <w:pPr>
              <w:spacing w:after="0" w:line="240" w:lineRule="auto"/>
              <w:jc w:val="center"/>
              <w:rPr>
                <w:rFonts w:ascii="Century Gothic" w:eastAsia="Times New Roman" w:hAnsi="Century Gothic" w:cs="Calibri"/>
                <w:b/>
                <w:bCs/>
                <w:color w:val="000000"/>
                <w:sz w:val="20"/>
                <w:lang w:val="es-ES"/>
              </w:rPr>
            </w:pPr>
            <w:r w:rsidRPr="006E0A74">
              <w:rPr>
                <w:rFonts w:ascii="Century Gothic" w:eastAsia="Times New Roman" w:hAnsi="Century Gothic" w:cs="Calibri"/>
                <w:b/>
                <w:bCs/>
                <w:color w:val="000000"/>
                <w:sz w:val="20"/>
                <w:lang w:val="es-ES"/>
              </w:rPr>
              <w:t>2019</w:t>
            </w:r>
          </w:p>
        </w:tc>
      </w:tr>
      <w:tr w:rsidR="00C75686" w:rsidRPr="006E0A74" w14:paraId="4FFE5267" w14:textId="77777777" w:rsidTr="006E0A74">
        <w:trPr>
          <w:trHeight w:val="20"/>
        </w:trPr>
        <w:tc>
          <w:tcPr>
            <w:tcW w:w="4465" w:type="dxa"/>
            <w:tcBorders>
              <w:top w:val="nil"/>
              <w:left w:val="single" w:sz="8" w:space="0" w:color="auto"/>
              <w:bottom w:val="single" w:sz="4" w:space="0" w:color="auto"/>
              <w:right w:val="single" w:sz="4" w:space="0" w:color="auto"/>
            </w:tcBorders>
            <w:shd w:val="clear" w:color="auto" w:fill="C2D69B" w:themeFill="accent3" w:themeFillTint="99"/>
            <w:vAlign w:val="bottom"/>
            <w:hideMark/>
          </w:tcPr>
          <w:p w14:paraId="280CB25D" w14:textId="77777777" w:rsidR="00C75686" w:rsidRPr="006E0A74" w:rsidRDefault="00C75686" w:rsidP="00FE59EC">
            <w:pPr>
              <w:spacing w:after="0" w:line="240" w:lineRule="auto"/>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Ingresos Corrientes de libre destinación</w:t>
            </w:r>
          </w:p>
        </w:tc>
        <w:tc>
          <w:tcPr>
            <w:tcW w:w="850" w:type="dxa"/>
            <w:tcBorders>
              <w:top w:val="nil"/>
              <w:left w:val="nil"/>
              <w:bottom w:val="single" w:sz="4" w:space="0" w:color="auto"/>
              <w:right w:val="single" w:sz="4" w:space="0" w:color="auto"/>
            </w:tcBorders>
            <w:noWrap/>
            <w:vAlign w:val="center"/>
            <w:hideMark/>
          </w:tcPr>
          <w:p w14:paraId="0A235EA6" w14:textId="4D8FB487"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72</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707 </w:t>
            </w:r>
          </w:p>
        </w:tc>
        <w:tc>
          <w:tcPr>
            <w:tcW w:w="851" w:type="dxa"/>
            <w:tcBorders>
              <w:top w:val="nil"/>
              <w:left w:val="nil"/>
              <w:bottom w:val="single" w:sz="4" w:space="0" w:color="auto"/>
              <w:right w:val="single" w:sz="4" w:space="0" w:color="auto"/>
            </w:tcBorders>
            <w:noWrap/>
            <w:vAlign w:val="center"/>
            <w:hideMark/>
          </w:tcPr>
          <w:p w14:paraId="09F2B703" w14:textId="2C66FF4C"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84</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280 </w:t>
            </w:r>
          </w:p>
        </w:tc>
        <w:tc>
          <w:tcPr>
            <w:tcW w:w="850" w:type="dxa"/>
            <w:tcBorders>
              <w:top w:val="nil"/>
              <w:left w:val="nil"/>
              <w:bottom w:val="single" w:sz="4" w:space="0" w:color="auto"/>
              <w:right w:val="single" w:sz="4" w:space="0" w:color="auto"/>
            </w:tcBorders>
            <w:noWrap/>
            <w:vAlign w:val="center"/>
            <w:hideMark/>
          </w:tcPr>
          <w:p w14:paraId="3F63A41D" w14:textId="3075377B"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88</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143 </w:t>
            </w:r>
          </w:p>
        </w:tc>
        <w:tc>
          <w:tcPr>
            <w:tcW w:w="992" w:type="dxa"/>
            <w:tcBorders>
              <w:top w:val="nil"/>
              <w:left w:val="nil"/>
              <w:bottom w:val="single" w:sz="4" w:space="0" w:color="auto"/>
              <w:right w:val="single" w:sz="4" w:space="0" w:color="auto"/>
            </w:tcBorders>
            <w:noWrap/>
            <w:vAlign w:val="center"/>
            <w:hideMark/>
          </w:tcPr>
          <w:p w14:paraId="6C9BC4F3" w14:textId="383EA3F3"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100</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246 </w:t>
            </w:r>
          </w:p>
        </w:tc>
        <w:tc>
          <w:tcPr>
            <w:tcW w:w="933" w:type="dxa"/>
            <w:tcBorders>
              <w:top w:val="nil"/>
              <w:left w:val="nil"/>
              <w:bottom w:val="single" w:sz="4" w:space="0" w:color="auto"/>
              <w:right w:val="single" w:sz="8" w:space="0" w:color="auto"/>
            </w:tcBorders>
            <w:noWrap/>
            <w:vAlign w:val="center"/>
            <w:hideMark/>
          </w:tcPr>
          <w:p w14:paraId="2EDF8501" w14:textId="4D8342E0"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103</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963 </w:t>
            </w:r>
          </w:p>
        </w:tc>
      </w:tr>
      <w:tr w:rsidR="00C75686" w:rsidRPr="006E0A74" w14:paraId="03D6B172" w14:textId="77777777" w:rsidTr="006E0A74">
        <w:trPr>
          <w:trHeight w:val="20"/>
        </w:trPr>
        <w:tc>
          <w:tcPr>
            <w:tcW w:w="4465" w:type="dxa"/>
            <w:tcBorders>
              <w:top w:val="nil"/>
              <w:left w:val="single" w:sz="8" w:space="0" w:color="auto"/>
              <w:bottom w:val="single" w:sz="4" w:space="0" w:color="auto"/>
              <w:right w:val="single" w:sz="4" w:space="0" w:color="auto"/>
            </w:tcBorders>
            <w:shd w:val="clear" w:color="auto" w:fill="C2D69B" w:themeFill="accent3" w:themeFillTint="99"/>
            <w:vAlign w:val="bottom"/>
            <w:hideMark/>
          </w:tcPr>
          <w:p w14:paraId="6AAC077E" w14:textId="77777777" w:rsidR="00C75686" w:rsidRPr="006E0A74" w:rsidRDefault="00C75686" w:rsidP="00FE59EC">
            <w:pPr>
              <w:spacing w:after="0" w:line="240" w:lineRule="auto"/>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Gastos de Funcionamiento</w:t>
            </w:r>
          </w:p>
        </w:tc>
        <w:tc>
          <w:tcPr>
            <w:tcW w:w="850" w:type="dxa"/>
            <w:tcBorders>
              <w:top w:val="nil"/>
              <w:left w:val="nil"/>
              <w:bottom w:val="single" w:sz="4" w:space="0" w:color="auto"/>
              <w:right w:val="single" w:sz="4" w:space="0" w:color="auto"/>
            </w:tcBorders>
            <w:noWrap/>
            <w:vAlign w:val="center"/>
            <w:hideMark/>
          </w:tcPr>
          <w:p w14:paraId="64A850F3" w14:textId="626B8BD4"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35</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459 </w:t>
            </w:r>
          </w:p>
        </w:tc>
        <w:tc>
          <w:tcPr>
            <w:tcW w:w="851" w:type="dxa"/>
            <w:tcBorders>
              <w:top w:val="nil"/>
              <w:left w:val="nil"/>
              <w:bottom w:val="single" w:sz="4" w:space="0" w:color="auto"/>
              <w:right w:val="single" w:sz="4" w:space="0" w:color="auto"/>
            </w:tcBorders>
            <w:noWrap/>
            <w:vAlign w:val="center"/>
            <w:hideMark/>
          </w:tcPr>
          <w:p w14:paraId="283674DD" w14:textId="7EE29E51"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37</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513 </w:t>
            </w:r>
          </w:p>
        </w:tc>
        <w:tc>
          <w:tcPr>
            <w:tcW w:w="850" w:type="dxa"/>
            <w:tcBorders>
              <w:top w:val="nil"/>
              <w:left w:val="nil"/>
              <w:bottom w:val="single" w:sz="4" w:space="0" w:color="auto"/>
              <w:right w:val="single" w:sz="4" w:space="0" w:color="auto"/>
            </w:tcBorders>
            <w:noWrap/>
            <w:vAlign w:val="center"/>
            <w:hideMark/>
          </w:tcPr>
          <w:p w14:paraId="4C2DFC0E" w14:textId="7E3520DB"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40</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405 </w:t>
            </w:r>
          </w:p>
        </w:tc>
        <w:tc>
          <w:tcPr>
            <w:tcW w:w="992" w:type="dxa"/>
            <w:tcBorders>
              <w:top w:val="nil"/>
              <w:left w:val="nil"/>
              <w:bottom w:val="single" w:sz="4" w:space="0" w:color="auto"/>
              <w:right w:val="single" w:sz="4" w:space="0" w:color="auto"/>
            </w:tcBorders>
            <w:noWrap/>
            <w:vAlign w:val="center"/>
            <w:hideMark/>
          </w:tcPr>
          <w:p w14:paraId="1B2B80A7" w14:textId="786D3489"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50</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367 </w:t>
            </w:r>
          </w:p>
        </w:tc>
        <w:tc>
          <w:tcPr>
            <w:tcW w:w="933" w:type="dxa"/>
            <w:tcBorders>
              <w:top w:val="nil"/>
              <w:left w:val="nil"/>
              <w:bottom w:val="single" w:sz="4" w:space="0" w:color="auto"/>
              <w:right w:val="single" w:sz="8" w:space="0" w:color="auto"/>
            </w:tcBorders>
            <w:noWrap/>
            <w:vAlign w:val="center"/>
            <w:hideMark/>
          </w:tcPr>
          <w:p w14:paraId="6EF338CB" w14:textId="66C60112" w:rsidR="00C75686" w:rsidRPr="006E0A74" w:rsidRDefault="00C75686" w:rsidP="00C75686">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52</w:t>
            </w:r>
            <w:r w:rsidR="0020393F" w:rsidRPr="006E0A74">
              <w:rPr>
                <w:rFonts w:ascii="Century Gothic" w:eastAsia="Times New Roman" w:hAnsi="Century Gothic" w:cs="Calibri"/>
                <w:color w:val="000000"/>
                <w:sz w:val="20"/>
                <w:lang w:val="es-ES"/>
              </w:rPr>
              <w:t>.</w:t>
            </w:r>
            <w:r w:rsidRPr="006E0A74">
              <w:rPr>
                <w:rFonts w:ascii="Century Gothic" w:eastAsia="Times New Roman" w:hAnsi="Century Gothic" w:cs="Calibri"/>
                <w:color w:val="000000"/>
                <w:sz w:val="20"/>
                <w:lang w:val="es-ES"/>
              </w:rPr>
              <w:t xml:space="preserve">368 </w:t>
            </w:r>
          </w:p>
        </w:tc>
      </w:tr>
      <w:tr w:rsidR="00C75686" w:rsidRPr="006E0A74" w14:paraId="6CB2B589" w14:textId="77777777" w:rsidTr="006E0A74">
        <w:trPr>
          <w:trHeight w:val="20"/>
        </w:trPr>
        <w:tc>
          <w:tcPr>
            <w:tcW w:w="4465" w:type="dxa"/>
            <w:tcBorders>
              <w:top w:val="nil"/>
              <w:left w:val="single" w:sz="8" w:space="0" w:color="auto"/>
              <w:bottom w:val="single" w:sz="8" w:space="0" w:color="auto"/>
              <w:right w:val="single" w:sz="4" w:space="0" w:color="auto"/>
            </w:tcBorders>
            <w:shd w:val="clear" w:color="auto" w:fill="C2D69B" w:themeFill="accent3" w:themeFillTint="99"/>
            <w:vAlign w:val="bottom"/>
            <w:hideMark/>
          </w:tcPr>
          <w:p w14:paraId="5E6212E4" w14:textId="77777777" w:rsidR="00C75686" w:rsidRPr="006E0A74" w:rsidRDefault="00C75686" w:rsidP="00FE59EC">
            <w:pPr>
              <w:spacing w:after="0" w:line="240" w:lineRule="auto"/>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Indicador</w:t>
            </w:r>
          </w:p>
        </w:tc>
        <w:tc>
          <w:tcPr>
            <w:tcW w:w="850" w:type="dxa"/>
            <w:tcBorders>
              <w:top w:val="nil"/>
              <w:left w:val="nil"/>
              <w:bottom w:val="single" w:sz="8" w:space="0" w:color="auto"/>
              <w:right w:val="single" w:sz="4" w:space="0" w:color="auto"/>
            </w:tcBorders>
            <w:noWrap/>
            <w:vAlign w:val="bottom"/>
            <w:hideMark/>
          </w:tcPr>
          <w:p w14:paraId="737BA2AC" w14:textId="77777777" w:rsidR="00C75686" w:rsidRPr="006E0A74" w:rsidRDefault="00C75686" w:rsidP="00FE59EC">
            <w:pPr>
              <w:spacing w:after="0" w:line="240" w:lineRule="auto"/>
              <w:jc w:val="right"/>
              <w:rPr>
                <w:rFonts w:ascii="Century Gothic" w:eastAsia="Times New Roman" w:hAnsi="Century Gothic" w:cs="Calibri"/>
                <w:sz w:val="20"/>
                <w:lang w:val="es-ES"/>
              </w:rPr>
            </w:pPr>
            <w:r w:rsidRPr="006E0A74">
              <w:rPr>
                <w:rFonts w:ascii="Century Gothic" w:eastAsia="Times New Roman" w:hAnsi="Century Gothic" w:cs="Calibri"/>
                <w:sz w:val="20"/>
                <w:lang w:val="es-ES"/>
              </w:rPr>
              <w:t>49%</w:t>
            </w:r>
          </w:p>
        </w:tc>
        <w:tc>
          <w:tcPr>
            <w:tcW w:w="851" w:type="dxa"/>
            <w:tcBorders>
              <w:top w:val="nil"/>
              <w:left w:val="nil"/>
              <w:bottom w:val="single" w:sz="8" w:space="0" w:color="auto"/>
              <w:right w:val="single" w:sz="4" w:space="0" w:color="auto"/>
            </w:tcBorders>
            <w:noWrap/>
            <w:vAlign w:val="bottom"/>
            <w:hideMark/>
          </w:tcPr>
          <w:p w14:paraId="691C8543" w14:textId="77777777" w:rsidR="00C75686" w:rsidRPr="006E0A74" w:rsidRDefault="00C75686" w:rsidP="00FE59EC">
            <w:pPr>
              <w:spacing w:after="0" w:line="240" w:lineRule="auto"/>
              <w:jc w:val="right"/>
              <w:rPr>
                <w:rFonts w:ascii="Century Gothic" w:eastAsia="Times New Roman" w:hAnsi="Century Gothic" w:cs="Calibri"/>
                <w:sz w:val="20"/>
                <w:lang w:val="es-ES"/>
              </w:rPr>
            </w:pPr>
            <w:r w:rsidRPr="006E0A74">
              <w:rPr>
                <w:rFonts w:ascii="Century Gothic" w:eastAsia="Times New Roman" w:hAnsi="Century Gothic" w:cs="Calibri"/>
                <w:sz w:val="20"/>
                <w:lang w:val="es-ES"/>
              </w:rPr>
              <w:t>45%</w:t>
            </w:r>
          </w:p>
        </w:tc>
        <w:tc>
          <w:tcPr>
            <w:tcW w:w="850" w:type="dxa"/>
            <w:tcBorders>
              <w:top w:val="nil"/>
              <w:left w:val="nil"/>
              <w:bottom w:val="single" w:sz="8" w:space="0" w:color="auto"/>
              <w:right w:val="single" w:sz="4" w:space="0" w:color="auto"/>
            </w:tcBorders>
            <w:noWrap/>
            <w:vAlign w:val="bottom"/>
            <w:hideMark/>
          </w:tcPr>
          <w:p w14:paraId="06314105" w14:textId="77777777" w:rsidR="00C75686" w:rsidRPr="006E0A74" w:rsidRDefault="00C75686" w:rsidP="00FE59EC">
            <w:pPr>
              <w:spacing w:after="0" w:line="240" w:lineRule="auto"/>
              <w:jc w:val="right"/>
              <w:rPr>
                <w:rFonts w:ascii="Century Gothic" w:eastAsia="Times New Roman" w:hAnsi="Century Gothic" w:cs="Calibri"/>
                <w:sz w:val="20"/>
                <w:lang w:val="es-ES"/>
              </w:rPr>
            </w:pPr>
            <w:r w:rsidRPr="006E0A74">
              <w:rPr>
                <w:rFonts w:ascii="Century Gothic" w:eastAsia="Times New Roman" w:hAnsi="Century Gothic" w:cs="Calibri"/>
                <w:sz w:val="20"/>
                <w:lang w:val="es-ES"/>
              </w:rPr>
              <w:t>46%</w:t>
            </w:r>
          </w:p>
        </w:tc>
        <w:tc>
          <w:tcPr>
            <w:tcW w:w="992" w:type="dxa"/>
            <w:tcBorders>
              <w:top w:val="nil"/>
              <w:left w:val="nil"/>
              <w:bottom w:val="single" w:sz="8" w:space="0" w:color="auto"/>
              <w:right w:val="single" w:sz="4" w:space="0" w:color="auto"/>
            </w:tcBorders>
            <w:noWrap/>
            <w:vAlign w:val="bottom"/>
            <w:hideMark/>
          </w:tcPr>
          <w:p w14:paraId="2A9822F3" w14:textId="77777777" w:rsidR="00C75686" w:rsidRPr="006E0A74" w:rsidRDefault="00C75686" w:rsidP="00FE59EC">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50%</w:t>
            </w:r>
          </w:p>
        </w:tc>
        <w:tc>
          <w:tcPr>
            <w:tcW w:w="933" w:type="dxa"/>
            <w:tcBorders>
              <w:top w:val="nil"/>
              <w:left w:val="nil"/>
              <w:bottom w:val="single" w:sz="8" w:space="0" w:color="auto"/>
              <w:right w:val="single" w:sz="8" w:space="0" w:color="auto"/>
            </w:tcBorders>
            <w:noWrap/>
            <w:vAlign w:val="bottom"/>
            <w:hideMark/>
          </w:tcPr>
          <w:p w14:paraId="29819EB8" w14:textId="77777777" w:rsidR="00C75686" w:rsidRPr="006E0A74" w:rsidRDefault="00C75686" w:rsidP="00FE59EC">
            <w:pPr>
              <w:spacing w:after="0" w:line="240" w:lineRule="auto"/>
              <w:jc w:val="right"/>
              <w:rPr>
                <w:rFonts w:ascii="Century Gothic" w:eastAsia="Times New Roman" w:hAnsi="Century Gothic" w:cs="Calibri"/>
                <w:color w:val="000000"/>
                <w:sz w:val="20"/>
                <w:lang w:val="es-ES"/>
              </w:rPr>
            </w:pPr>
            <w:r w:rsidRPr="006E0A74">
              <w:rPr>
                <w:rFonts w:ascii="Century Gothic" w:eastAsia="Times New Roman" w:hAnsi="Century Gothic" w:cs="Calibri"/>
                <w:color w:val="000000"/>
                <w:sz w:val="20"/>
                <w:lang w:val="es-ES"/>
              </w:rPr>
              <w:t>50%</w:t>
            </w:r>
          </w:p>
        </w:tc>
      </w:tr>
    </w:tbl>
    <w:p w14:paraId="6BE605C0" w14:textId="77777777" w:rsidR="00C75686" w:rsidRPr="0020393F" w:rsidRDefault="00C75686" w:rsidP="00C75686">
      <w:pPr>
        <w:jc w:val="center"/>
        <w:rPr>
          <w:rFonts w:ascii="Century Gothic" w:hAnsi="Century Gothic"/>
          <w:lang w:val="es-ES" w:eastAsia="en-US"/>
        </w:rPr>
      </w:pPr>
      <w:r w:rsidRPr="0020393F">
        <w:rPr>
          <w:rFonts w:ascii="Century Gothic" w:hAnsi="Century Gothic"/>
          <w:sz w:val="20"/>
          <w:lang w:val="es-ES"/>
        </w:rPr>
        <w:t>Fuente: Secretaría de Hacienda, 2018</w:t>
      </w:r>
    </w:p>
    <w:p w14:paraId="134B3A7B" w14:textId="0F28F1F0" w:rsidR="00E74FB1" w:rsidRDefault="00C75686" w:rsidP="00C75686">
      <w:pPr>
        <w:jc w:val="both"/>
        <w:rPr>
          <w:rFonts w:ascii="Century Gothic" w:hAnsi="Century Gothic"/>
          <w:lang w:val="es-ES"/>
        </w:rPr>
      </w:pPr>
      <w:r w:rsidRPr="0020393F">
        <w:rPr>
          <w:rFonts w:ascii="Century Gothic" w:hAnsi="Century Gothic"/>
          <w:lang w:val="es-ES"/>
        </w:rPr>
        <w:t>El Municipio se encuentra en categoría primera y el límite de los gastos de funcionamiento es del 65</w:t>
      </w:r>
      <w:r w:rsidR="004F5BDD" w:rsidRPr="0020393F">
        <w:rPr>
          <w:rFonts w:ascii="Century Gothic" w:hAnsi="Century Gothic"/>
          <w:lang w:val="es-ES"/>
        </w:rPr>
        <w:t xml:space="preserve"> por ciento</w:t>
      </w:r>
      <w:r w:rsidRPr="0020393F">
        <w:rPr>
          <w:rFonts w:ascii="Century Gothic" w:hAnsi="Century Gothic"/>
          <w:lang w:val="es-ES"/>
        </w:rPr>
        <w:t>, en el año 2016 y 2017 se ubicó por debajo del 50</w:t>
      </w:r>
      <w:r w:rsidR="004F5BDD" w:rsidRPr="0020393F">
        <w:rPr>
          <w:rFonts w:ascii="Century Gothic" w:hAnsi="Century Gothic"/>
          <w:lang w:val="es-ES"/>
        </w:rPr>
        <w:t xml:space="preserve"> por ciento</w:t>
      </w:r>
      <w:r w:rsidR="006E0A74">
        <w:rPr>
          <w:rFonts w:ascii="Century Gothic" w:hAnsi="Century Gothic"/>
          <w:lang w:val="es-ES"/>
        </w:rPr>
        <w:t>;</w:t>
      </w:r>
      <w:r w:rsidRPr="0020393F">
        <w:rPr>
          <w:rFonts w:ascii="Century Gothic" w:hAnsi="Century Gothic"/>
          <w:lang w:val="es-ES"/>
        </w:rPr>
        <w:t xml:space="preserve"> para </w:t>
      </w:r>
      <w:r w:rsidR="006E0A74">
        <w:rPr>
          <w:rFonts w:ascii="Century Gothic" w:hAnsi="Century Gothic"/>
          <w:lang w:val="es-ES"/>
        </w:rPr>
        <w:t xml:space="preserve">los años </w:t>
      </w:r>
      <w:r w:rsidRPr="0020393F">
        <w:rPr>
          <w:rFonts w:ascii="Century Gothic" w:hAnsi="Century Gothic"/>
          <w:lang w:val="es-ES"/>
        </w:rPr>
        <w:t>2018 y 2019 se proyectó en el 50</w:t>
      </w:r>
      <w:r w:rsidR="004F5BDD" w:rsidRPr="0020393F">
        <w:rPr>
          <w:rFonts w:ascii="Century Gothic" w:hAnsi="Century Gothic"/>
          <w:lang w:val="es-ES"/>
        </w:rPr>
        <w:t xml:space="preserve"> por ciento</w:t>
      </w:r>
      <w:r w:rsidR="006E0A74">
        <w:rPr>
          <w:rFonts w:ascii="Century Gothic" w:hAnsi="Century Gothic"/>
          <w:lang w:val="es-ES"/>
        </w:rPr>
        <w:t>. Así mismo</w:t>
      </w:r>
      <w:r w:rsidRPr="0020393F">
        <w:rPr>
          <w:rFonts w:ascii="Century Gothic" w:hAnsi="Century Gothic"/>
          <w:lang w:val="es-ES"/>
        </w:rPr>
        <w:t>, se está</w:t>
      </w:r>
      <w:r w:rsidR="006E0A74">
        <w:rPr>
          <w:rFonts w:ascii="Century Gothic" w:hAnsi="Century Gothic"/>
          <w:lang w:val="es-ES"/>
        </w:rPr>
        <w:t>n</w:t>
      </w:r>
      <w:r w:rsidRPr="0020393F">
        <w:rPr>
          <w:rFonts w:ascii="Century Gothic" w:hAnsi="Century Gothic"/>
          <w:lang w:val="es-ES"/>
        </w:rPr>
        <w:t xml:space="preserve"> </w:t>
      </w:r>
      <w:r w:rsidR="006E0A74">
        <w:rPr>
          <w:rFonts w:ascii="Century Gothic" w:hAnsi="Century Gothic"/>
          <w:lang w:val="es-ES"/>
        </w:rPr>
        <w:t xml:space="preserve">calculando </w:t>
      </w:r>
      <w:r w:rsidRPr="0020393F">
        <w:rPr>
          <w:rFonts w:ascii="Century Gothic" w:hAnsi="Century Gothic"/>
          <w:lang w:val="es-ES"/>
        </w:rPr>
        <w:t xml:space="preserve">los gastos de personal en dos puntos por encima del incremento que determine el Gobierno Nacional para el salario mínimo, reflejándose estos en la totalidad de los gastos de funcionamiento, los gastos generales se realizan con criterios de austeridad y de acuerdo al comportamiento de los últimos años. En las transferencias las de mayor impacto son las correspondientes al pago de mesadas pensionales que se acerca a los $10.750 millones para el </w:t>
      </w:r>
      <w:r w:rsidR="0020393F" w:rsidRPr="0020393F">
        <w:rPr>
          <w:rFonts w:ascii="Century Gothic" w:hAnsi="Century Gothic"/>
          <w:lang w:val="es-ES"/>
        </w:rPr>
        <w:t xml:space="preserve">año </w:t>
      </w:r>
      <w:r w:rsidRPr="0020393F">
        <w:rPr>
          <w:rFonts w:ascii="Century Gothic" w:hAnsi="Century Gothic"/>
          <w:lang w:val="es-ES"/>
        </w:rPr>
        <w:t>2019.</w:t>
      </w:r>
    </w:p>
    <w:p w14:paraId="30D64F1E" w14:textId="77777777" w:rsidR="00E74FB1" w:rsidRDefault="00E74FB1">
      <w:pPr>
        <w:rPr>
          <w:rFonts w:ascii="Century Gothic" w:hAnsi="Century Gothic"/>
          <w:lang w:val="es-ES"/>
        </w:rPr>
      </w:pPr>
      <w:r>
        <w:rPr>
          <w:rFonts w:ascii="Century Gothic" w:hAnsi="Century Gothic"/>
          <w:lang w:val="es-ES"/>
        </w:rPr>
        <w:br w:type="page"/>
      </w:r>
    </w:p>
    <w:p w14:paraId="37CD5909" w14:textId="77777777" w:rsidR="003763EF" w:rsidRPr="0020393F" w:rsidRDefault="003763EF" w:rsidP="003763EF">
      <w:pPr>
        <w:spacing w:after="0"/>
        <w:jc w:val="center"/>
        <w:rPr>
          <w:rFonts w:ascii="Century Gothic" w:hAnsi="Century Gothic"/>
          <w:lang w:val="es-ES"/>
        </w:rPr>
      </w:pPr>
      <w:bookmarkStart w:id="97" w:name="_Toc532570543"/>
      <w:r w:rsidRPr="0020393F">
        <w:rPr>
          <w:rFonts w:ascii="Century Gothic" w:hAnsi="Century Gothic"/>
          <w:lang w:val="es-ES"/>
        </w:rPr>
        <w:lastRenderedPageBreak/>
        <w:t xml:space="preserve">Tabla </w:t>
      </w:r>
      <w:r w:rsidRPr="0020393F">
        <w:rPr>
          <w:rFonts w:ascii="Century Gothic" w:hAnsi="Century Gothic"/>
          <w:lang w:val="es-ES"/>
        </w:rPr>
        <w:fldChar w:fldCharType="begin"/>
      </w:r>
      <w:r w:rsidRPr="0020393F">
        <w:rPr>
          <w:rFonts w:ascii="Century Gothic" w:hAnsi="Century Gothic"/>
          <w:lang w:val="es-ES"/>
        </w:rPr>
        <w:instrText xml:space="preserve"> SEQ Tabla \* ARABIC </w:instrText>
      </w:r>
      <w:r w:rsidRPr="0020393F">
        <w:rPr>
          <w:rFonts w:ascii="Century Gothic" w:hAnsi="Century Gothic"/>
          <w:lang w:val="es-ES"/>
        </w:rPr>
        <w:fldChar w:fldCharType="separate"/>
      </w:r>
      <w:r w:rsidR="00934BA3" w:rsidRPr="0020393F">
        <w:rPr>
          <w:rFonts w:ascii="Century Gothic" w:hAnsi="Century Gothic"/>
          <w:noProof/>
          <w:lang w:val="es-ES"/>
        </w:rPr>
        <w:t>52</w:t>
      </w:r>
      <w:r w:rsidRPr="0020393F">
        <w:rPr>
          <w:rFonts w:ascii="Century Gothic" w:hAnsi="Century Gothic"/>
          <w:lang w:val="es-ES"/>
        </w:rPr>
        <w:fldChar w:fldCharType="end"/>
      </w:r>
      <w:r w:rsidRPr="0020393F">
        <w:rPr>
          <w:rFonts w:ascii="Century Gothic" w:hAnsi="Century Gothic"/>
          <w:lang w:val="es-ES"/>
        </w:rPr>
        <w:t>. Proyección gastos de funcionamiento con Ingresos Corrientes de Libre Destinación (millones de pesos)</w:t>
      </w:r>
      <w:bookmarkEnd w:id="97"/>
    </w:p>
    <w:p w14:paraId="5BDD85C9" w14:textId="77777777" w:rsidR="003763EF" w:rsidRPr="0020393F" w:rsidRDefault="003763EF" w:rsidP="003763EF">
      <w:pPr>
        <w:spacing w:after="0"/>
        <w:jc w:val="center"/>
        <w:rPr>
          <w:rFonts w:ascii="Century Gothic" w:hAnsi="Century Gothic"/>
          <w:sz w:val="20"/>
          <w:lang w:val="es-ES"/>
        </w:rPr>
      </w:pPr>
      <w:r w:rsidRPr="0020393F">
        <w:rPr>
          <w:noProof/>
          <w:lang w:val="es-ES" w:eastAsia="es-ES"/>
        </w:rPr>
        <w:drawing>
          <wp:inline distT="0" distB="0" distL="0" distR="0" wp14:anchorId="429E443F" wp14:editId="4CAD0DDC">
            <wp:extent cx="5612130" cy="130156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130" cy="1301562"/>
                    </a:xfrm>
                    <a:prstGeom prst="rect">
                      <a:avLst/>
                    </a:prstGeom>
                    <a:noFill/>
                    <a:ln>
                      <a:noFill/>
                    </a:ln>
                  </pic:spPr>
                </pic:pic>
              </a:graphicData>
            </a:graphic>
          </wp:inline>
        </w:drawing>
      </w:r>
    </w:p>
    <w:p w14:paraId="5C624FDA" w14:textId="77777777" w:rsidR="003763EF" w:rsidRPr="0020393F" w:rsidRDefault="003763EF" w:rsidP="003763EF">
      <w:pPr>
        <w:jc w:val="center"/>
        <w:rPr>
          <w:rFonts w:ascii="Century Gothic" w:hAnsi="Century Gothic"/>
          <w:lang w:val="es-ES" w:eastAsia="en-US"/>
        </w:rPr>
      </w:pPr>
      <w:r w:rsidRPr="0020393F">
        <w:rPr>
          <w:rFonts w:ascii="Century Gothic" w:hAnsi="Century Gothic"/>
          <w:sz w:val="20"/>
          <w:lang w:val="es-ES"/>
        </w:rPr>
        <w:t>Fuente: Secretaría de Hacienda, 2018</w:t>
      </w:r>
    </w:p>
    <w:p w14:paraId="5ADAB8F4" w14:textId="3F15C096" w:rsidR="00C75686" w:rsidRPr="0020393F" w:rsidRDefault="00C75686" w:rsidP="00C75686">
      <w:pPr>
        <w:jc w:val="both"/>
        <w:rPr>
          <w:rFonts w:ascii="Century Gothic" w:hAnsi="Century Gothic"/>
          <w:lang w:val="es-ES"/>
        </w:rPr>
      </w:pPr>
      <w:r w:rsidRPr="0020393F">
        <w:rPr>
          <w:rFonts w:ascii="Century Gothic" w:hAnsi="Century Gothic"/>
          <w:lang w:val="es-ES"/>
        </w:rPr>
        <w:t>Se observa de acuerdo a la proyección que el Municipio se mantiene en los límites establecidos</w:t>
      </w:r>
      <w:r w:rsidR="006E0A74">
        <w:rPr>
          <w:rFonts w:ascii="Century Gothic" w:hAnsi="Century Gothic"/>
          <w:lang w:val="es-ES"/>
        </w:rPr>
        <w:t>,</w:t>
      </w:r>
      <w:r w:rsidRPr="0020393F">
        <w:rPr>
          <w:rFonts w:ascii="Century Gothic" w:hAnsi="Century Gothic"/>
          <w:lang w:val="es-ES"/>
        </w:rPr>
        <w:t xml:space="preserve"> es decir</w:t>
      </w:r>
      <w:r w:rsidR="006E0A74">
        <w:rPr>
          <w:rFonts w:ascii="Century Gothic" w:hAnsi="Century Gothic"/>
          <w:lang w:val="es-ES"/>
        </w:rPr>
        <w:t>,</w:t>
      </w:r>
      <w:r w:rsidRPr="0020393F">
        <w:rPr>
          <w:rFonts w:ascii="Century Gothic" w:hAnsi="Century Gothic"/>
          <w:lang w:val="es-ES"/>
        </w:rPr>
        <w:t xml:space="preserve"> por debajo del 65</w:t>
      </w:r>
      <w:r w:rsidR="004F5BDD" w:rsidRPr="0020393F">
        <w:rPr>
          <w:rFonts w:ascii="Century Gothic" w:hAnsi="Century Gothic"/>
          <w:lang w:val="es-ES"/>
        </w:rPr>
        <w:t xml:space="preserve"> por ciento</w:t>
      </w:r>
      <w:r w:rsidRPr="0020393F">
        <w:rPr>
          <w:rFonts w:ascii="Century Gothic" w:hAnsi="Century Gothic"/>
          <w:lang w:val="es-ES"/>
        </w:rPr>
        <w:t>.</w:t>
      </w:r>
    </w:p>
    <w:p w14:paraId="6528ECEB" w14:textId="77777777" w:rsidR="00C75686" w:rsidRPr="008303FD" w:rsidRDefault="00C75686" w:rsidP="00C75686">
      <w:pPr>
        <w:pStyle w:val="Ttulo4"/>
        <w:rPr>
          <w:lang w:val="es-ES"/>
        </w:rPr>
      </w:pPr>
      <w:r w:rsidRPr="008303FD">
        <w:rPr>
          <w:lang w:val="es-ES"/>
        </w:rPr>
        <w:t>Transferencias Concejo Municipal</w:t>
      </w:r>
    </w:p>
    <w:p w14:paraId="113B0BDE" w14:textId="11C142A8" w:rsidR="00C75686" w:rsidRPr="008303FD" w:rsidRDefault="00C75686" w:rsidP="00C75686">
      <w:pPr>
        <w:jc w:val="both"/>
        <w:rPr>
          <w:rFonts w:ascii="Century Gothic" w:hAnsi="Century Gothic"/>
          <w:lang w:val="es-ES"/>
        </w:rPr>
      </w:pPr>
      <w:r w:rsidRPr="008303FD">
        <w:rPr>
          <w:rFonts w:ascii="Century Gothic" w:hAnsi="Century Gothic"/>
          <w:lang w:val="es-ES"/>
        </w:rPr>
        <w:t>Al Concejo Municipal se le transfiere para gastos de funcionamiento el 1.5</w:t>
      </w:r>
      <w:r w:rsidR="004F5BDD" w:rsidRPr="008303FD">
        <w:rPr>
          <w:rFonts w:ascii="Century Gothic" w:hAnsi="Century Gothic"/>
          <w:lang w:val="es-ES"/>
        </w:rPr>
        <w:t xml:space="preserve"> por ciento</w:t>
      </w:r>
      <w:r w:rsidRPr="008303FD">
        <w:rPr>
          <w:rFonts w:ascii="Century Gothic" w:hAnsi="Century Gothic"/>
          <w:lang w:val="es-ES"/>
        </w:rPr>
        <w:t xml:space="preserve"> de los ingresos corrientes de libre destinación</w:t>
      </w:r>
      <w:r w:rsidR="0020393F" w:rsidRPr="008303FD">
        <w:rPr>
          <w:rFonts w:ascii="Century Gothic" w:hAnsi="Century Gothic"/>
          <w:lang w:val="es-ES"/>
        </w:rPr>
        <w:t>,</w:t>
      </w:r>
      <w:r w:rsidRPr="008303FD">
        <w:rPr>
          <w:rFonts w:ascii="Century Gothic" w:hAnsi="Century Gothic"/>
          <w:lang w:val="es-ES"/>
        </w:rPr>
        <w:t xml:space="preserve"> además</w:t>
      </w:r>
      <w:r w:rsidR="0020393F" w:rsidRPr="008303FD">
        <w:rPr>
          <w:rFonts w:ascii="Century Gothic" w:hAnsi="Century Gothic"/>
          <w:lang w:val="es-ES"/>
        </w:rPr>
        <w:t>,</w:t>
      </w:r>
      <w:r w:rsidRPr="008303FD">
        <w:rPr>
          <w:rFonts w:ascii="Century Gothic" w:hAnsi="Century Gothic"/>
          <w:lang w:val="es-ES"/>
        </w:rPr>
        <w:t xml:space="preserve"> los </w:t>
      </w:r>
      <w:r w:rsidR="008303FD" w:rsidRPr="008303FD">
        <w:rPr>
          <w:rFonts w:ascii="Century Gothic" w:hAnsi="Century Gothic"/>
          <w:lang w:val="es-ES"/>
        </w:rPr>
        <w:t>h</w:t>
      </w:r>
      <w:r w:rsidRPr="008303FD">
        <w:rPr>
          <w:rFonts w:ascii="Century Gothic" w:hAnsi="Century Gothic"/>
          <w:lang w:val="es-ES"/>
        </w:rPr>
        <w:t xml:space="preserve">onorarios del Concejo que corresponde a 150 sesiones ordinarias y 40 extraordinarias </w:t>
      </w:r>
      <w:r w:rsidR="00772E1B" w:rsidRPr="008303FD">
        <w:rPr>
          <w:rFonts w:ascii="Century Gothic" w:hAnsi="Century Gothic"/>
          <w:lang w:val="es-ES"/>
        </w:rPr>
        <w:t xml:space="preserve">para un total de 190 sesiones. </w:t>
      </w:r>
      <w:r w:rsidRPr="008303FD">
        <w:rPr>
          <w:rFonts w:ascii="Century Gothic" w:hAnsi="Century Gothic"/>
          <w:lang w:val="es-ES"/>
        </w:rPr>
        <w:t>El valor de la sesión para el 2018 asciende a $408</w:t>
      </w:r>
      <w:r w:rsidR="008303FD">
        <w:rPr>
          <w:rFonts w:ascii="Century Gothic" w:hAnsi="Century Gothic"/>
          <w:lang w:val="es-ES"/>
        </w:rPr>
        <w:t>.</w:t>
      </w:r>
      <w:r w:rsidRPr="008303FD">
        <w:rPr>
          <w:rFonts w:ascii="Century Gothic" w:hAnsi="Century Gothic"/>
          <w:lang w:val="es-ES"/>
        </w:rPr>
        <w:t>703</w:t>
      </w:r>
      <w:r w:rsidR="008303FD">
        <w:rPr>
          <w:rFonts w:ascii="Century Gothic" w:hAnsi="Century Gothic"/>
          <w:lang w:val="es-ES"/>
        </w:rPr>
        <w:t>,</w:t>
      </w:r>
      <w:r w:rsidRPr="008303FD">
        <w:rPr>
          <w:rFonts w:ascii="Century Gothic" w:hAnsi="Century Gothic"/>
          <w:lang w:val="es-ES"/>
        </w:rPr>
        <w:t>14, para los siguientes años se está realizando con una proyección del 3</w:t>
      </w:r>
      <w:r w:rsidR="004F5BDD" w:rsidRPr="008303FD">
        <w:rPr>
          <w:rFonts w:ascii="Century Gothic" w:hAnsi="Century Gothic"/>
          <w:lang w:val="es-ES"/>
        </w:rPr>
        <w:t xml:space="preserve"> por ciento</w:t>
      </w:r>
      <w:r w:rsidRPr="008303FD">
        <w:rPr>
          <w:rFonts w:ascii="Century Gothic" w:hAnsi="Century Gothic"/>
          <w:lang w:val="es-ES"/>
        </w:rPr>
        <w:t>.</w:t>
      </w:r>
    </w:p>
    <w:p w14:paraId="4B591C61" w14:textId="1C413669" w:rsidR="00C75686" w:rsidRPr="008303FD" w:rsidRDefault="00C75686" w:rsidP="00772E1B">
      <w:pPr>
        <w:spacing w:after="0"/>
        <w:jc w:val="center"/>
        <w:rPr>
          <w:rFonts w:ascii="Century Gothic" w:hAnsi="Century Gothic"/>
          <w:lang w:val="es-ES"/>
        </w:rPr>
      </w:pPr>
      <w:bookmarkStart w:id="98" w:name="_Toc532570544"/>
      <w:r w:rsidRPr="008303FD">
        <w:rPr>
          <w:rFonts w:ascii="Century Gothic" w:hAnsi="Century Gothic"/>
          <w:lang w:val="es-ES"/>
        </w:rPr>
        <w:t xml:space="preserve">Tabla </w:t>
      </w:r>
      <w:r w:rsidRPr="008303FD">
        <w:rPr>
          <w:rFonts w:ascii="Century Gothic" w:hAnsi="Century Gothic"/>
          <w:lang w:val="es-ES"/>
        </w:rPr>
        <w:fldChar w:fldCharType="begin"/>
      </w:r>
      <w:r w:rsidRPr="008303FD">
        <w:rPr>
          <w:rFonts w:ascii="Century Gothic" w:hAnsi="Century Gothic"/>
          <w:lang w:val="es-ES"/>
        </w:rPr>
        <w:instrText xml:space="preserve"> SEQ Tabla \* ARABIC </w:instrText>
      </w:r>
      <w:r w:rsidRPr="008303FD">
        <w:rPr>
          <w:rFonts w:ascii="Century Gothic" w:hAnsi="Century Gothic"/>
          <w:lang w:val="es-ES"/>
        </w:rPr>
        <w:fldChar w:fldCharType="separate"/>
      </w:r>
      <w:r w:rsidR="00934BA3" w:rsidRPr="008303FD">
        <w:rPr>
          <w:rFonts w:ascii="Century Gothic" w:hAnsi="Century Gothic"/>
          <w:noProof/>
          <w:lang w:val="es-ES"/>
        </w:rPr>
        <w:t>53</w:t>
      </w:r>
      <w:r w:rsidRPr="008303FD">
        <w:rPr>
          <w:rFonts w:ascii="Century Gothic" w:hAnsi="Century Gothic"/>
          <w:lang w:val="es-ES"/>
        </w:rPr>
        <w:fldChar w:fldCharType="end"/>
      </w:r>
      <w:r w:rsidRPr="008303FD">
        <w:rPr>
          <w:rFonts w:ascii="Century Gothic" w:hAnsi="Century Gothic"/>
          <w:lang w:val="es-ES"/>
        </w:rPr>
        <w:t>. Proyección transferencias Concejo Municipal 2019 – 2020 (millones de pesos)</w:t>
      </w:r>
      <w:bookmarkEnd w:id="98"/>
    </w:p>
    <w:p w14:paraId="5F2F5C37" w14:textId="288C0933" w:rsidR="0001178D" w:rsidRPr="008303FD" w:rsidRDefault="00C75686" w:rsidP="00772E1B">
      <w:pPr>
        <w:spacing w:after="0"/>
        <w:rPr>
          <w:rFonts w:ascii="Century Gothic" w:eastAsia="Times New Roman" w:hAnsi="Century Gothic" w:cs="Arial"/>
          <w:color w:val="000000"/>
          <w:lang w:val="es-ES"/>
        </w:rPr>
      </w:pPr>
      <w:r w:rsidRPr="008303FD">
        <w:rPr>
          <w:rFonts w:ascii="Century Gothic" w:hAnsi="Century Gothic"/>
          <w:noProof/>
          <w:lang w:val="es-ES" w:eastAsia="es-ES"/>
        </w:rPr>
        <w:drawing>
          <wp:inline distT="0" distB="0" distL="0" distR="0" wp14:anchorId="62615725" wp14:editId="01B21995">
            <wp:extent cx="5615940" cy="46482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5940" cy="464820"/>
                    </a:xfrm>
                    <a:prstGeom prst="rect">
                      <a:avLst/>
                    </a:prstGeom>
                    <a:noFill/>
                    <a:ln>
                      <a:noFill/>
                    </a:ln>
                  </pic:spPr>
                </pic:pic>
              </a:graphicData>
            </a:graphic>
          </wp:inline>
        </w:drawing>
      </w:r>
    </w:p>
    <w:p w14:paraId="00AEF441" w14:textId="77777777" w:rsidR="00772E1B" w:rsidRPr="008303FD" w:rsidRDefault="00772E1B" w:rsidP="00772E1B">
      <w:pPr>
        <w:jc w:val="center"/>
        <w:rPr>
          <w:rFonts w:ascii="Century Gothic" w:hAnsi="Century Gothic"/>
          <w:lang w:val="es-ES" w:eastAsia="en-US"/>
        </w:rPr>
      </w:pPr>
      <w:r w:rsidRPr="008303FD">
        <w:rPr>
          <w:rFonts w:ascii="Century Gothic" w:hAnsi="Century Gothic"/>
          <w:sz w:val="20"/>
          <w:lang w:val="es-ES"/>
        </w:rPr>
        <w:t>Fuente: Secretaría de Hacienda, 2018</w:t>
      </w:r>
    </w:p>
    <w:p w14:paraId="32334C0D" w14:textId="77777777" w:rsidR="00772E1B" w:rsidRPr="008303FD" w:rsidRDefault="00772E1B" w:rsidP="00772E1B">
      <w:pPr>
        <w:pStyle w:val="Ttulo4"/>
        <w:rPr>
          <w:lang w:val="es-ES"/>
        </w:rPr>
      </w:pPr>
      <w:r w:rsidRPr="008303FD">
        <w:rPr>
          <w:lang w:val="es-ES"/>
        </w:rPr>
        <w:t>Transferencias Personería Municipal</w:t>
      </w:r>
    </w:p>
    <w:p w14:paraId="74F94ABD" w14:textId="1908DF8B" w:rsidR="00772E1B" w:rsidRPr="008303FD" w:rsidRDefault="00772E1B" w:rsidP="00772E1B">
      <w:pPr>
        <w:rPr>
          <w:rFonts w:ascii="Century Gothic" w:hAnsi="Century Gothic"/>
          <w:lang w:val="es-ES"/>
        </w:rPr>
      </w:pPr>
      <w:r w:rsidRPr="008303FD">
        <w:rPr>
          <w:rFonts w:ascii="Century Gothic" w:hAnsi="Century Gothic"/>
          <w:lang w:val="es-ES"/>
        </w:rPr>
        <w:t>A la Personería Municipal se le transfiere el 1.7</w:t>
      </w:r>
      <w:r w:rsidR="004F5BDD" w:rsidRPr="008303FD">
        <w:rPr>
          <w:rFonts w:ascii="Century Gothic" w:hAnsi="Century Gothic"/>
          <w:lang w:val="es-ES"/>
        </w:rPr>
        <w:t xml:space="preserve"> por ciento</w:t>
      </w:r>
      <w:r w:rsidRPr="008303FD">
        <w:rPr>
          <w:rFonts w:ascii="Century Gothic" w:hAnsi="Century Gothic"/>
          <w:lang w:val="es-ES"/>
        </w:rPr>
        <w:t xml:space="preserve"> de los ingresos corrientes de libre destinación para los gastos de funcionamiento.</w:t>
      </w:r>
    </w:p>
    <w:p w14:paraId="1AB52175" w14:textId="524A3747" w:rsidR="00772E1B" w:rsidRPr="008303FD" w:rsidRDefault="00772E1B" w:rsidP="00772E1B">
      <w:pPr>
        <w:spacing w:after="0"/>
        <w:jc w:val="center"/>
        <w:rPr>
          <w:rFonts w:ascii="Century Gothic" w:hAnsi="Century Gothic"/>
          <w:lang w:val="es-ES"/>
        </w:rPr>
      </w:pPr>
      <w:bookmarkStart w:id="99" w:name="_Toc532570545"/>
      <w:r w:rsidRPr="008303FD">
        <w:rPr>
          <w:rFonts w:ascii="Century Gothic" w:hAnsi="Century Gothic"/>
          <w:lang w:val="es-ES"/>
        </w:rPr>
        <w:t xml:space="preserve">Tabla </w:t>
      </w:r>
      <w:r w:rsidRPr="008303FD">
        <w:rPr>
          <w:rFonts w:ascii="Century Gothic" w:hAnsi="Century Gothic"/>
          <w:lang w:val="es-ES"/>
        </w:rPr>
        <w:fldChar w:fldCharType="begin"/>
      </w:r>
      <w:r w:rsidRPr="008303FD">
        <w:rPr>
          <w:rFonts w:ascii="Century Gothic" w:hAnsi="Century Gothic"/>
          <w:lang w:val="es-ES"/>
        </w:rPr>
        <w:instrText xml:space="preserve"> SEQ Tabla \* ARABIC </w:instrText>
      </w:r>
      <w:r w:rsidRPr="008303FD">
        <w:rPr>
          <w:rFonts w:ascii="Century Gothic" w:hAnsi="Century Gothic"/>
          <w:lang w:val="es-ES"/>
        </w:rPr>
        <w:fldChar w:fldCharType="separate"/>
      </w:r>
      <w:r w:rsidR="00934BA3" w:rsidRPr="008303FD">
        <w:rPr>
          <w:rFonts w:ascii="Century Gothic" w:hAnsi="Century Gothic"/>
          <w:noProof/>
          <w:lang w:val="es-ES"/>
        </w:rPr>
        <w:t>54</w:t>
      </w:r>
      <w:r w:rsidRPr="008303FD">
        <w:rPr>
          <w:rFonts w:ascii="Century Gothic" w:hAnsi="Century Gothic"/>
          <w:lang w:val="es-ES"/>
        </w:rPr>
        <w:fldChar w:fldCharType="end"/>
      </w:r>
      <w:r w:rsidRPr="008303FD">
        <w:rPr>
          <w:rFonts w:ascii="Century Gothic" w:hAnsi="Century Gothic"/>
          <w:lang w:val="es-ES"/>
        </w:rPr>
        <w:t>. Proyección transferencias Personería Municipal 2019 – 2020 (millones de pesos)</w:t>
      </w:r>
      <w:bookmarkEnd w:id="99"/>
    </w:p>
    <w:p w14:paraId="31D15574" w14:textId="529F737E" w:rsidR="00772E1B" w:rsidRPr="008303FD" w:rsidRDefault="00772E1B" w:rsidP="00772E1B">
      <w:pPr>
        <w:spacing w:after="0"/>
        <w:jc w:val="both"/>
        <w:rPr>
          <w:rFonts w:ascii="Century Gothic" w:hAnsi="Century Gothic"/>
          <w:lang w:val="es-ES"/>
        </w:rPr>
      </w:pPr>
      <w:r w:rsidRPr="008303FD">
        <w:rPr>
          <w:rFonts w:ascii="Century Gothic" w:hAnsi="Century Gothic"/>
          <w:noProof/>
          <w:lang w:val="es-ES" w:eastAsia="es-ES"/>
        </w:rPr>
        <w:drawing>
          <wp:inline distT="0" distB="0" distL="0" distR="0" wp14:anchorId="40189109" wp14:editId="377D07C2">
            <wp:extent cx="5615940" cy="236220"/>
            <wp:effectExtent l="0" t="0" r="381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5940" cy="236220"/>
                    </a:xfrm>
                    <a:prstGeom prst="rect">
                      <a:avLst/>
                    </a:prstGeom>
                    <a:noFill/>
                    <a:ln>
                      <a:noFill/>
                    </a:ln>
                  </pic:spPr>
                </pic:pic>
              </a:graphicData>
            </a:graphic>
          </wp:inline>
        </w:drawing>
      </w:r>
    </w:p>
    <w:p w14:paraId="131C3269" w14:textId="77777777" w:rsidR="00772E1B" w:rsidRPr="008303FD" w:rsidRDefault="00772E1B" w:rsidP="00772E1B">
      <w:pPr>
        <w:jc w:val="center"/>
        <w:rPr>
          <w:rFonts w:ascii="Century Gothic" w:hAnsi="Century Gothic"/>
          <w:lang w:val="es-ES" w:eastAsia="en-US"/>
        </w:rPr>
      </w:pPr>
      <w:r w:rsidRPr="008303FD">
        <w:rPr>
          <w:rFonts w:ascii="Century Gothic" w:hAnsi="Century Gothic"/>
          <w:sz w:val="20"/>
          <w:lang w:val="es-ES"/>
        </w:rPr>
        <w:t>Fuente: Secretaría de Hacienda, 2018</w:t>
      </w:r>
    </w:p>
    <w:p w14:paraId="04F5C767" w14:textId="77777777" w:rsidR="00772E1B" w:rsidRPr="008303FD" w:rsidRDefault="00772E1B" w:rsidP="00772E1B">
      <w:pPr>
        <w:pStyle w:val="Ttulo4"/>
        <w:rPr>
          <w:lang w:val="es-ES"/>
        </w:rPr>
      </w:pPr>
      <w:r w:rsidRPr="008303FD">
        <w:rPr>
          <w:lang w:val="es-ES"/>
        </w:rPr>
        <w:lastRenderedPageBreak/>
        <w:t>Transferencias Contraloría Municipal</w:t>
      </w:r>
    </w:p>
    <w:p w14:paraId="63EF7D8D" w14:textId="17A0C956" w:rsidR="00772E1B" w:rsidRPr="008303FD" w:rsidRDefault="00772E1B" w:rsidP="00772E1B">
      <w:pPr>
        <w:jc w:val="both"/>
        <w:rPr>
          <w:rFonts w:ascii="Century Gothic" w:hAnsi="Century Gothic"/>
          <w:lang w:val="es-ES"/>
        </w:rPr>
      </w:pPr>
      <w:r w:rsidRPr="008303FD">
        <w:rPr>
          <w:rFonts w:ascii="Century Gothic" w:hAnsi="Century Gothic"/>
          <w:lang w:val="es-ES"/>
        </w:rPr>
        <w:t xml:space="preserve">De acuerdo a la </w:t>
      </w:r>
      <w:r w:rsidR="008303FD" w:rsidRPr="008303FD">
        <w:rPr>
          <w:rFonts w:ascii="Century Gothic" w:hAnsi="Century Gothic"/>
          <w:lang w:val="es-ES"/>
        </w:rPr>
        <w:t xml:space="preserve">Ley </w:t>
      </w:r>
      <w:r w:rsidRPr="008303FD">
        <w:rPr>
          <w:rFonts w:ascii="Century Gothic" w:hAnsi="Century Gothic"/>
          <w:lang w:val="es-ES"/>
        </w:rPr>
        <w:t xml:space="preserve">1416 de 2010 en el </w:t>
      </w:r>
      <w:r w:rsidR="008303FD" w:rsidRPr="008303FD">
        <w:rPr>
          <w:rFonts w:ascii="Century Gothic" w:hAnsi="Century Gothic"/>
          <w:lang w:val="es-ES"/>
        </w:rPr>
        <w:t>Artículo 2</w:t>
      </w:r>
      <w:r w:rsidRPr="008303FD">
        <w:rPr>
          <w:rFonts w:ascii="Century Gothic" w:hAnsi="Century Gothic"/>
          <w:lang w:val="es-ES"/>
        </w:rPr>
        <w:t xml:space="preserve">, </w:t>
      </w:r>
      <w:r w:rsidR="008303FD" w:rsidRPr="008303FD">
        <w:rPr>
          <w:rFonts w:ascii="Century Gothic" w:hAnsi="Century Gothic"/>
          <w:lang w:val="es-ES"/>
        </w:rPr>
        <w:t xml:space="preserve">Parágrafo I se </w:t>
      </w:r>
      <w:r w:rsidRPr="008303FD">
        <w:rPr>
          <w:rFonts w:ascii="Century Gothic" w:hAnsi="Century Gothic"/>
          <w:lang w:val="es-ES"/>
        </w:rPr>
        <w:t xml:space="preserve">establece </w:t>
      </w:r>
      <w:r w:rsidR="008303FD" w:rsidRPr="008303FD">
        <w:rPr>
          <w:rFonts w:ascii="Century Gothic" w:hAnsi="Century Gothic"/>
          <w:lang w:val="es-ES"/>
        </w:rPr>
        <w:t xml:space="preserve">que: </w:t>
      </w:r>
      <w:r w:rsidRPr="008303FD">
        <w:rPr>
          <w:rFonts w:ascii="Century Gothic" w:hAnsi="Century Gothic"/>
          <w:lang w:val="es-ES"/>
        </w:rPr>
        <w:t>“A partir de la vigencia 2011 los gastos de las Contralorías Municipales y Distritales, sumadas las transferencias del nivel central y descentralizado, crecerán porcentualmente en la cifra mayor que resulte de comparar la inflación causada en el año anterior y la proyectada para el siguiente por el respectivo distrito o municipio. Para estos propósitos, el Secretario de Hacienda distrital o municipal, o quien haga sus veces, establecerá los ajustes que proporcionalmente deberán hacer tanto el nivel central como las entidades descentralizadas en los porcentajes y cuotas de auditase establecidas en el presente artículo”</w:t>
      </w:r>
    </w:p>
    <w:p w14:paraId="75B080D5" w14:textId="4ECFD004" w:rsidR="00772E1B" w:rsidRPr="006B59E5" w:rsidRDefault="00772E1B" w:rsidP="00772E1B">
      <w:pPr>
        <w:spacing w:after="0"/>
        <w:jc w:val="center"/>
        <w:rPr>
          <w:rFonts w:ascii="Century Gothic" w:hAnsi="Century Gothic"/>
          <w:lang w:val="es-ES"/>
        </w:rPr>
      </w:pPr>
      <w:bookmarkStart w:id="100" w:name="_Toc532570546"/>
      <w:r w:rsidRPr="008303FD">
        <w:rPr>
          <w:rFonts w:ascii="Century Gothic" w:hAnsi="Century Gothic"/>
          <w:lang w:val="es-ES"/>
        </w:rPr>
        <w:t xml:space="preserve">Tabla </w:t>
      </w:r>
      <w:r w:rsidRPr="008303FD">
        <w:rPr>
          <w:rFonts w:ascii="Century Gothic" w:hAnsi="Century Gothic"/>
          <w:lang w:val="es-ES"/>
        </w:rPr>
        <w:fldChar w:fldCharType="begin"/>
      </w:r>
      <w:r w:rsidRPr="008303FD">
        <w:rPr>
          <w:rFonts w:ascii="Century Gothic" w:hAnsi="Century Gothic"/>
          <w:lang w:val="es-ES"/>
        </w:rPr>
        <w:instrText xml:space="preserve"> SEQ Tabla \* ARABIC </w:instrText>
      </w:r>
      <w:r w:rsidRPr="008303FD">
        <w:rPr>
          <w:rFonts w:ascii="Century Gothic" w:hAnsi="Century Gothic"/>
          <w:lang w:val="es-ES"/>
        </w:rPr>
        <w:fldChar w:fldCharType="separate"/>
      </w:r>
      <w:r w:rsidR="00934BA3" w:rsidRPr="008303FD">
        <w:rPr>
          <w:rFonts w:ascii="Century Gothic" w:hAnsi="Century Gothic"/>
          <w:noProof/>
          <w:lang w:val="es-ES"/>
        </w:rPr>
        <w:t>55</w:t>
      </w:r>
      <w:r w:rsidRPr="008303FD">
        <w:rPr>
          <w:rFonts w:ascii="Century Gothic" w:hAnsi="Century Gothic"/>
          <w:lang w:val="es-ES"/>
        </w:rPr>
        <w:fldChar w:fldCharType="end"/>
      </w:r>
      <w:r w:rsidRPr="008303FD">
        <w:rPr>
          <w:rFonts w:ascii="Century Gothic" w:hAnsi="Century Gothic"/>
          <w:lang w:val="es-ES"/>
        </w:rPr>
        <w:t xml:space="preserve">. Proyección transferencias Contraloría Municipal 2019 – 2020 (millones de </w:t>
      </w:r>
      <w:r w:rsidRPr="006B59E5">
        <w:rPr>
          <w:rFonts w:ascii="Century Gothic" w:hAnsi="Century Gothic"/>
          <w:lang w:val="es-ES"/>
        </w:rPr>
        <w:t>pesos)</w:t>
      </w:r>
      <w:bookmarkEnd w:id="100"/>
    </w:p>
    <w:p w14:paraId="0F4B59D4" w14:textId="56CA091E" w:rsidR="00772E1B" w:rsidRPr="006B59E5" w:rsidRDefault="00772E1B" w:rsidP="00772E1B">
      <w:pPr>
        <w:spacing w:after="0"/>
        <w:jc w:val="both"/>
        <w:rPr>
          <w:rFonts w:ascii="Century Gothic" w:hAnsi="Century Gothic"/>
          <w:lang w:val="es-ES"/>
        </w:rPr>
      </w:pPr>
      <w:r w:rsidRPr="006B59E5">
        <w:rPr>
          <w:rFonts w:ascii="Century Gothic" w:hAnsi="Century Gothic"/>
          <w:noProof/>
          <w:lang w:val="es-ES" w:eastAsia="es-ES"/>
        </w:rPr>
        <w:drawing>
          <wp:inline distT="0" distB="0" distL="0" distR="0" wp14:anchorId="0980EDE6" wp14:editId="0768B3E5">
            <wp:extent cx="5615940" cy="236220"/>
            <wp:effectExtent l="0" t="0" r="381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5940" cy="236220"/>
                    </a:xfrm>
                    <a:prstGeom prst="rect">
                      <a:avLst/>
                    </a:prstGeom>
                    <a:noFill/>
                    <a:ln>
                      <a:noFill/>
                    </a:ln>
                  </pic:spPr>
                </pic:pic>
              </a:graphicData>
            </a:graphic>
          </wp:inline>
        </w:drawing>
      </w:r>
    </w:p>
    <w:p w14:paraId="7B6C845A" w14:textId="77777777" w:rsidR="00772E1B" w:rsidRPr="006B59E5" w:rsidRDefault="00772E1B" w:rsidP="00772E1B">
      <w:pPr>
        <w:jc w:val="center"/>
        <w:rPr>
          <w:rFonts w:ascii="Century Gothic" w:hAnsi="Century Gothic"/>
          <w:lang w:val="es-ES" w:eastAsia="en-US"/>
        </w:rPr>
      </w:pPr>
      <w:r w:rsidRPr="006B59E5">
        <w:rPr>
          <w:rFonts w:ascii="Century Gothic" w:hAnsi="Century Gothic"/>
          <w:sz w:val="20"/>
          <w:lang w:val="es-ES"/>
        </w:rPr>
        <w:t>Fuente: Secretaría de Hacienda, 2018</w:t>
      </w:r>
    </w:p>
    <w:p w14:paraId="4AF7255C" w14:textId="77777777" w:rsidR="008D29DA" w:rsidRPr="006B59E5" w:rsidRDefault="00FB2F37" w:rsidP="009931F5">
      <w:pPr>
        <w:pStyle w:val="Ttulo3"/>
        <w:rPr>
          <w:lang w:val="es-ES"/>
        </w:rPr>
      </w:pPr>
      <w:bookmarkStart w:id="101" w:name="_Toc532565944"/>
      <w:r w:rsidRPr="006B59E5">
        <w:rPr>
          <w:lang w:val="es-ES"/>
        </w:rPr>
        <w:t>Gastos de inversión</w:t>
      </w:r>
      <w:bookmarkEnd w:id="101"/>
    </w:p>
    <w:p w14:paraId="53DD821A" w14:textId="5486191D" w:rsidR="00B352D5" w:rsidRPr="006B59E5" w:rsidRDefault="003763EF" w:rsidP="008303FD">
      <w:pPr>
        <w:jc w:val="both"/>
        <w:rPr>
          <w:rFonts w:ascii="Century Gothic" w:hAnsi="Century Gothic" w:cs="Arial"/>
          <w:lang w:val="es-ES"/>
        </w:rPr>
      </w:pPr>
      <w:r w:rsidRPr="006B59E5">
        <w:rPr>
          <w:rFonts w:ascii="Century Gothic" w:hAnsi="Century Gothic" w:cs="Arial"/>
          <w:lang w:val="es-ES"/>
        </w:rPr>
        <w:t>La inversión asciende a $702.591 millones que representan el 88,5 por ciento del total de los gastos programados para el 2018, la inversión más alta es en el sector educativo, seguido por el sector salud.</w:t>
      </w:r>
    </w:p>
    <w:p w14:paraId="4574BB94" w14:textId="4E18BF9C" w:rsidR="00496B58" w:rsidRPr="006B59E5" w:rsidRDefault="00496B58" w:rsidP="00BC6D66">
      <w:pPr>
        <w:pStyle w:val="Epgrafe"/>
        <w:spacing w:after="0" w:line="276" w:lineRule="auto"/>
        <w:jc w:val="center"/>
        <w:rPr>
          <w:rFonts w:ascii="Century Gothic" w:hAnsi="Century Gothic" w:cs="Arial"/>
          <w:b w:val="0"/>
          <w:color w:val="auto"/>
          <w:sz w:val="22"/>
          <w:szCs w:val="22"/>
          <w:lang w:val="es-ES"/>
        </w:rPr>
      </w:pPr>
      <w:bookmarkStart w:id="102" w:name="_Toc532566069"/>
      <w:r w:rsidRPr="006B59E5">
        <w:rPr>
          <w:rFonts w:ascii="Century Gothic" w:hAnsi="Century Gothic"/>
          <w:b w:val="0"/>
          <w:color w:val="auto"/>
          <w:sz w:val="22"/>
          <w:szCs w:val="22"/>
          <w:lang w:val="es-ES"/>
        </w:rPr>
        <w:t xml:space="preserve">Gráfica </w:t>
      </w:r>
      <w:r w:rsidR="00A83A24" w:rsidRPr="006B59E5">
        <w:rPr>
          <w:rFonts w:ascii="Century Gothic" w:hAnsi="Century Gothic"/>
          <w:b w:val="0"/>
          <w:color w:val="auto"/>
          <w:sz w:val="22"/>
          <w:szCs w:val="22"/>
          <w:lang w:val="es-ES"/>
        </w:rPr>
        <w:fldChar w:fldCharType="begin"/>
      </w:r>
      <w:r w:rsidRPr="006B59E5">
        <w:rPr>
          <w:rFonts w:ascii="Century Gothic" w:hAnsi="Century Gothic"/>
          <w:b w:val="0"/>
          <w:color w:val="auto"/>
          <w:sz w:val="22"/>
          <w:szCs w:val="22"/>
          <w:lang w:val="es-ES"/>
        </w:rPr>
        <w:instrText xml:space="preserve"> SEQ Gráfica \* ARABIC </w:instrText>
      </w:r>
      <w:r w:rsidR="00A83A24" w:rsidRPr="006B59E5">
        <w:rPr>
          <w:rFonts w:ascii="Century Gothic" w:hAnsi="Century Gothic"/>
          <w:b w:val="0"/>
          <w:color w:val="auto"/>
          <w:sz w:val="22"/>
          <w:szCs w:val="22"/>
          <w:lang w:val="es-ES"/>
        </w:rPr>
        <w:fldChar w:fldCharType="separate"/>
      </w:r>
      <w:r w:rsidR="00A439A1" w:rsidRPr="006B59E5">
        <w:rPr>
          <w:rFonts w:ascii="Century Gothic" w:hAnsi="Century Gothic"/>
          <w:b w:val="0"/>
          <w:noProof/>
          <w:color w:val="auto"/>
          <w:sz w:val="22"/>
          <w:szCs w:val="22"/>
          <w:lang w:val="es-ES"/>
        </w:rPr>
        <w:t>16</w:t>
      </w:r>
      <w:r w:rsidR="00A83A24" w:rsidRPr="006B59E5">
        <w:rPr>
          <w:rFonts w:ascii="Century Gothic" w:hAnsi="Century Gothic"/>
          <w:b w:val="0"/>
          <w:color w:val="auto"/>
          <w:sz w:val="22"/>
          <w:szCs w:val="22"/>
          <w:lang w:val="es-ES"/>
        </w:rPr>
        <w:fldChar w:fldCharType="end"/>
      </w:r>
      <w:r w:rsidRPr="006B59E5">
        <w:rPr>
          <w:rFonts w:ascii="Century Gothic" w:hAnsi="Century Gothic"/>
          <w:b w:val="0"/>
          <w:color w:val="auto"/>
          <w:sz w:val="22"/>
          <w:szCs w:val="22"/>
          <w:lang w:val="es-ES"/>
        </w:rPr>
        <w:t xml:space="preserve">. </w:t>
      </w:r>
      <w:r w:rsidR="00EB1327" w:rsidRPr="006B59E5">
        <w:rPr>
          <w:rFonts w:ascii="Century Gothic" w:hAnsi="Century Gothic"/>
          <w:b w:val="0"/>
          <w:color w:val="auto"/>
          <w:sz w:val="22"/>
          <w:szCs w:val="22"/>
          <w:lang w:val="es-ES"/>
        </w:rPr>
        <w:t xml:space="preserve">Comparativo recursos de inversión </w:t>
      </w:r>
      <w:r w:rsidR="00544433" w:rsidRPr="006B59E5">
        <w:rPr>
          <w:rFonts w:ascii="Century Gothic" w:hAnsi="Century Gothic" w:cs="Arial"/>
          <w:b w:val="0"/>
          <w:color w:val="auto"/>
          <w:sz w:val="22"/>
          <w:szCs w:val="22"/>
          <w:lang w:val="es-ES"/>
        </w:rPr>
        <w:t>(millones de pesos)</w:t>
      </w:r>
      <w:r w:rsidRPr="006B59E5">
        <w:rPr>
          <w:rFonts w:ascii="Century Gothic" w:hAnsi="Century Gothic" w:cs="Arial"/>
          <w:b w:val="0"/>
          <w:color w:val="auto"/>
          <w:sz w:val="22"/>
          <w:szCs w:val="22"/>
          <w:lang w:val="es-ES"/>
        </w:rPr>
        <w:t>.</w:t>
      </w:r>
      <w:bookmarkEnd w:id="102"/>
    </w:p>
    <w:p w14:paraId="3C6C7502" w14:textId="17552DF7" w:rsidR="00957D4E" w:rsidRPr="006B59E5" w:rsidRDefault="00D5520F" w:rsidP="00BC6D66">
      <w:pPr>
        <w:spacing w:after="0"/>
        <w:jc w:val="center"/>
        <w:rPr>
          <w:rFonts w:ascii="Century Gothic" w:hAnsi="Century Gothic" w:cs="Arial"/>
          <w:lang w:val="es-ES"/>
        </w:rPr>
      </w:pPr>
      <w:r w:rsidRPr="006B59E5">
        <w:rPr>
          <w:rFonts w:ascii="Century Gothic" w:hAnsi="Century Gothic" w:cs="Arial"/>
          <w:noProof/>
          <w:lang w:val="es-ES" w:eastAsia="es-ES"/>
        </w:rPr>
        <mc:AlternateContent>
          <mc:Choice Requires="wps">
            <w:drawing>
              <wp:anchor distT="0" distB="0" distL="114300" distR="114300" simplePos="0" relativeHeight="251704832" behindDoc="0" locked="0" layoutInCell="1" allowOverlap="1" wp14:anchorId="05343C41" wp14:editId="55B3DF95">
                <wp:simplePos x="0" y="0"/>
                <wp:positionH relativeFrom="column">
                  <wp:posOffset>2444115</wp:posOffset>
                </wp:positionH>
                <wp:positionV relativeFrom="paragraph">
                  <wp:posOffset>1722120</wp:posOffset>
                </wp:positionV>
                <wp:extent cx="744220" cy="2286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228600"/>
                        </a:xfrm>
                        <a:prstGeom prst="rect">
                          <a:avLst/>
                        </a:prstGeom>
                        <a:noFill/>
                        <a:ln w="9525">
                          <a:noFill/>
                          <a:miter lim="800000"/>
                          <a:headEnd/>
                          <a:tailEnd/>
                        </a:ln>
                      </wps:spPr>
                      <wps:txbx>
                        <w:txbxContent>
                          <w:p w14:paraId="4027FD7D" w14:textId="130CC41B" w:rsidR="008954F2" w:rsidRPr="004743DA" w:rsidRDefault="008954F2" w:rsidP="00D5520F">
                            <w:pPr>
                              <w:rPr>
                                <w:b/>
                                <w:color w:val="595959" w:themeColor="text1" w:themeTint="A6"/>
                                <w:sz w:val="18"/>
                              </w:rPr>
                            </w:pPr>
                            <w:r>
                              <w:rPr>
                                <w:b/>
                                <w:color w:val="595959" w:themeColor="text1" w:themeTint="A6"/>
                                <w:sz w:val="18"/>
                              </w:rPr>
                              <w:t>629.172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2" type="#_x0000_t202" style="position:absolute;left:0;text-align:left;margin-left:192.45pt;margin-top:135.6pt;width:58.6pt;height: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" filled="f" stroked="f">
                <v:textbox>
                  <w:txbxContent>
                    <w:p w14:paraId="4027FD7D" w14:textId="130CC41B" w:rsidR="008954F2" w:rsidRPr="004743DA" w:rsidRDefault="008954F2" w:rsidP="00D5520F">
                      <w:pPr>
                        <w:rPr>
                          <w:b/>
                          <w:color w:val="595959" w:themeColor="text1" w:themeTint="A6"/>
                          <w:sz w:val="18"/>
                        </w:rPr>
                      </w:pPr>
                      <w:r>
                        <w:rPr>
                          <w:b/>
                          <w:color w:val="595959" w:themeColor="text1" w:themeTint="A6"/>
                          <w:sz w:val="18"/>
                        </w:rPr>
                        <w:t>629.172</w:t>
                      </w:r>
                    </w:p>
                  </w:txbxContent>
                </v:textbox>
              </v:shape>
            </w:pict>
          </mc:Fallback>
        </mc:AlternateContent>
      </w:r>
      <w:r w:rsidRPr="006B59E5">
        <w:rPr>
          <w:rFonts w:ascii="Century Gothic" w:hAnsi="Century Gothic" w:cs="Arial"/>
          <w:noProof/>
          <w:lang w:val="es-ES" w:eastAsia="es-ES"/>
        </w:rPr>
        <mc:AlternateContent>
          <mc:Choice Requires="wps">
            <w:drawing>
              <wp:anchor distT="0" distB="0" distL="114300" distR="114300" simplePos="0" relativeHeight="251699712" behindDoc="0" locked="0" layoutInCell="1" allowOverlap="1" wp14:anchorId="0FFB7041" wp14:editId="42ECB1BD">
                <wp:simplePos x="0" y="0"/>
                <wp:positionH relativeFrom="column">
                  <wp:posOffset>2444115</wp:posOffset>
                </wp:positionH>
                <wp:positionV relativeFrom="paragraph">
                  <wp:posOffset>1904365</wp:posOffset>
                </wp:positionV>
                <wp:extent cx="744220" cy="2286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228600"/>
                        </a:xfrm>
                        <a:prstGeom prst="rect">
                          <a:avLst/>
                        </a:prstGeom>
                        <a:noFill/>
                        <a:ln w="9525">
                          <a:noFill/>
                          <a:miter lim="800000"/>
                          <a:headEnd/>
                          <a:tailEnd/>
                        </a:ln>
                      </wps:spPr>
                      <wps:txbx>
                        <w:txbxContent>
                          <w:p w14:paraId="1F0A2C80" w14:textId="2593C3AA" w:rsidR="008954F2" w:rsidRPr="004743DA" w:rsidRDefault="008954F2">
                            <w:pPr>
                              <w:rPr>
                                <w:b/>
                                <w:color w:val="595959" w:themeColor="text1" w:themeTint="A6"/>
                                <w:sz w:val="18"/>
                              </w:rPr>
                            </w:pPr>
                            <w:r w:rsidRPr="004743DA">
                              <w:rPr>
                                <w:b/>
                                <w:color w:val="595959" w:themeColor="text1" w:themeTint="A6"/>
                                <w:sz w:val="18"/>
                              </w:rPr>
                              <w:t>702.591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92.45pt;margin-top:149.95pt;width:58.6pt;height:1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" filled="f" stroked="f">
                <v:textbox>
                  <w:txbxContent>
                    <w:p w14:paraId="1F0A2C80" w14:textId="2593C3AA" w:rsidR="008954F2" w:rsidRPr="004743DA" w:rsidRDefault="008954F2">
                      <w:pPr>
                        <w:rPr>
                          <w:b/>
                          <w:color w:val="595959" w:themeColor="text1" w:themeTint="A6"/>
                          <w:sz w:val="18"/>
                        </w:rPr>
                      </w:pPr>
                      <w:r w:rsidRPr="004743DA">
                        <w:rPr>
                          <w:b/>
                          <w:color w:val="595959" w:themeColor="text1" w:themeTint="A6"/>
                          <w:sz w:val="18"/>
                        </w:rPr>
                        <w:t>702.591</w:t>
                      </w:r>
                    </w:p>
                  </w:txbxContent>
                </v:textbox>
              </v:shape>
            </w:pict>
          </mc:Fallback>
        </mc:AlternateContent>
      </w:r>
      <w:r w:rsidRPr="006B59E5">
        <w:rPr>
          <w:rFonts w:ascii="Century Gothic" w:hAnsi="Century Gothic" w:cs="Arial"/>
          <w:noProof/>
          <w:lang w:val="es-ES" w:eastAsia="es-ES"/>
        </w:rPr>
        <mc:AlternateContent>
          <mc:Choice Requires="wps">
            <w:drawing>
              <wp:anchor distT="0" distB="0" distL="114300" distR="114300" simplePos="0" relativeHeight="251703808" behindDoc="0" locked="0" layoutInCell="1" allowOverlap="1" wp14:anchorId="26088C6C" wp14:editId="39D11441">
                <wp:simplePos x="0" y="0"/>
                <wp:positionH relativeFrom="column">
                  <wp:posOffset>2487930</wp:posOffset>
                </wp:positionH>
                <wp:positionV relativeFrom="paragraph">
                  <wp:posOffset>1776095</wp:posOffset>
                </wp:positionV>
                <wp:extent cx="586105" cy="116840"/>
                <wp:effectExtent l="0" t="0" r="4445"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 cy="116840"/>
                        </a:xfrm>
                        <a:prstGeom prst="rect">
                          <a:avLst/>
                        </a:prstGeom>
                        <a:solidFill>
                          <a:schemeClr val="bg1"/>
                        </a:solidFill>
                        <a:ln w="9525">
                          <a:noFill/>
                          <a:miter lim="800000"/>
                          <a:headEnd/>
                          <a:tailEnd/>
                        </a:ln>
                      </wps:spPr>
                      <wps:txbx>
                        <w:txbxContent>
                          <w:p w14:paraId="5602CB1A" w14:textId="77777777" w:rsidR="008954F2" w:rsidRPr="004743DA" w:rsidRDefault="008954F2" w:rsidP="00D5520F">
                            <w:pPr>
                              <w:rPr>
                                <w:rFonts w:ascii="Century Gothic" w:hAnsi="Century Gothic"/>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5.9pt;margin-top:139.85pt;width:46.15pt;height:9.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" fillcolor="white [3212]" stroked="f">
                <v:textbox>
                  <w:txbxContent>
                    <w:p w14:paraId="5602CB1A" w14:textId="77777777" w:rsidR="008954F2" w:rsidRPr="004743DA" w:rsidRDefault="008954F2" w:rsidP="00D5520F">
                      <w:pPr>
                        <w:rPr>
                          <w:rFonts w:ascii="Century Gothic" w:hAnsi="Century Gothic"/>
                          <w:sz w:val="18"/>
                        </w:rPr>
                      </w:pPr>
                    </w:p>
                  </w:txbxContent>
                </v:textbox>
              </v:shape>
            </w:pict>
          </mc:Fallback>
        </mc:AlternateContent>
      </w:r>
      <w:r w:rsidR="004743DA" w:rsidRPr="006B59E5">
        <w:rPr>
          <w:rFonts w:ascii="Century Gothic" w:hAnsi="Century Gothic" w:cs="Arial"/>
          <w:noProof/>
          <w:lang w:val="es-ES" w:eastAsia="es-ES"/>
        </w:rPr>
        <mc:AlternateContent>
          <mc:Choice Requires="wps">
            <w:drawing>
              <wp:anchor distT="0" distB="0" distL="114300" distR="114300" simplePos="0" relativeHeight="251698688" behindDoc="0" locked="0" layoutInCell="1" allowOverlap="1" wp14:anchorId="6C4F5B34" wp14:editId="6B5B6546">
                <wp:simplePos x="0" y="0"/>
                <wp:positionH relativeFrom="column">
                  <wp:posOffset>2488418</wp:posOffset>
                </wp:positionH>
                <wp:positionV relativeFrom="paragraph">
                  <wp:posOffset>1951990</wp:posOffset>
                </wp:positionV>
                <wp:extent cx="586154" cy="116938"/>
                <wp:effectExtent l="0" t="0" r="444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54" cy="116938"/>
                        </a:xfrm>
                        <a:prstGeom prst="rect">
                          <a:avLst/>
                        </a:prstGeom>
                        <a:solidFill>
                          <a:schemeClr val="bg1"/>
                        </a:solidFill>
                        <a:ln w="9525">
                          <a:noFill/>
                          <a:miter lim="800000"/>
                          <a:headEnd/>
                          <a:tailEnd/>
                        </a:ln>
                      </wps:spPr>
                      <wps:txbx>
                        <w:txbxContent>
                          <w:p w14:paraId="1F8A7B60" w14:textId="53E61152" w:rsidR="008954F2" w:rsidRPr="004743DA" w:rsidRDefault="008954F2" w:rsidP="004743DA">
                            <w:pPr>
                              <w:rPr>
                                <w:rFonts w:ascii="Century Gothic" w:hAnsi="Century Gothic"/>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95.95pt;margin-top:153.7pt;width:46.15pt;height:9.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" fillcolor="white [3212]" stroked="f">
                <v:textbox>
                  <w:txbxContent>
                    <w:p w14:paraId="1F8A7B60" w14:textId="53E61152" w:rsidR="008954F2" w:rsidRPr="004743DA" w:rsidRDefault="008954F2" w:rsidP="004743DA">
                      <w:pPr>
                        <w:rPr>
                          <w:rFonts w:ascii="Century Gothic" w:hAnsi="Century Gothic"/>
                          <w:sz w:val="18"/>
                        </w:rPr>
                      </w:pPr>
                    </w:p>
                  </w:txbxContent>
                </v:textbox>
              </v:shape>
            </w:pict>
          </mc:Fallback>
        </mc:AlternateContent>
      </w:r>
      <w:r w:rsidR="00BC6D66" w:rsidRPr="006B59E5">
        <w:rPr>
          <w:rFonts w:ascii="Century Gothic" w:hAnsi="Century Gothic"/>
          <w:noProof/>
          <w:lang w:val="es-ES" w:eastAsia="es-ES"/>
        </w:rPr>
        <w:drawing>
          <wp:inline distT="0" distB="0" distL="0" distR="0" wp14:anchorId="2322C0D5" wp14:editId="680AF5FF">
            <wp:extent cx="3593123" cy="2121877"/>
            <wp:effectExtent l="0" t="0" r="7620" b="0"/>
            <wp:docPr id="73" name="Gráfico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4C013F0" w14:textId="359F01E3" w:rsidR="00496B58" w:rsidRPr="006B59E5" w:rsidRDefault="004E1EA6" w:rsidP="009931F5">
      <w:pPr>
        <w:widowControl w:val="0"/>
        <w:jc w:val="center"/>
        <w:rPr>
          <w:rFonts w:ascii="Century Gothic" w:eastAsia="Century Gothic" w:hAnsi="Century Gothic" w:cs="Century Gothic"/>
          <w:sz w:val="20"/>
          <w:lang w:val="es-ES"/>
        </w:rPr>
      </w:pPr>
      <w:r w:rsidRPr="006B59E5">
        <w:rPr>
          <w:rFonts w:ascii="Century Gothic" w:hAnsi="Century Gothic"/>
          <w:sz w:val="20"/>
          <w:lang w:val="es-ES"/>
        </w:rPr>
        <w:t>Fuente: Secretarí</w:t>
      </w:r>
      <w:r w:rsidR="00EB1327" w:rsidRPr="006B59E5">
        <w:rPr>
          <w:rFonts w:ascii="Century Gothic" w:hAnsi="Century Gothic"/>
          <w:sz w:val="20"/>
          <w:lang w:val="es-ES"/>
        </w:rPr>
        <w:t>a de Hacienda, 2018</w:t>
      </w:r>
    </w:p>
    <w:p w14:paraId="37C9C1FE" w14:textId="4893ABFB" w:rsidR="00F569C6" w:rsidRPr="006B59E5" w:rsidRDefault="00F569C6" w:rsidP="00F569C6">
      <w:pPr>
        <w:jc w:val="both"/>
        <w:rPr>
          <w:rFonts w:ascii="Century Gothic" w:hAnsi="Century Gothic" w:cs="Arial"/>
          <w:lang w:val="es-ES"/>
        </w:rPr>
      </w:pPr>
      <w:r w:rsidRPr="006B59E5">
        <w:rPr>
          <w:rFonts w:ascii="Century Gothic" w:hAnsi="Century Gothic" w:cs="Arial"/>
          <w:lang w:val="es-ES"/>
        </w:rPr>
        <w:t xml:space="preserve">El componente de inversión represento un incremento del </w:t>
      </w:r>
      <w:r w:rsidR="00D5520F" w:rsidRPr="006B59E5">
        <w:rPr>
          <w:rFonts w:ascii="Century Gothic" w:hAnsi="Century Gothic" w:cs="Arial"/>
          <w:lang w:val="es-ES"/>
        </w:rPr>
        <w:t>11,6</w:t>
      </w:r>
      <w:r w:rsidR="00EB1327" w:rsidRPr="006B59E5">
        <w:rPr>
          <w:rFonts w:ascii="Century Gothic" w:hAnsi="Century Gothic" w:cs="Arial"/>
          <w:lang w:val="es-ES"/>
        </w:rPr>
        <w:t xml:space="preserve"> por ciento respecto al año 2018</w:t>
      </w:r>
      <w:r w:rsidRPr="006B59E5">
        <w:rPr>
          <w:rFonts w:ascii="Century Gothic" w:hAnsi="Century Gothic" w:cs="Arial"/>
          <w:lang w:val="es-ES"/>
        </w:rPr>
        <w:t xml:space="preserve">, al pasar de </w:t>
      </w:r>
      <w:r w:rsidR="00D5520F" w:rsidRPr="006B59E5">
        <w:rPr>
          <w:rFonts w:ascii="Century Gothic" w:hAnsi="Century Gothic" w:cs="Arial"/>
          <w:lang w:val="es-ES"/>
        </w:rPr>
        <w:t>62</w:t>
      </w:r>
      <w:r w:rsidR="00EB1327" w:rsidRPr="006B59E5">
        <w:rPr>
          <w:rFonts w:ascii="Century Gothic" w:hAnsi="Century Gothic" w:cs="Arial"/>
          <w:lang w:val="es-ES"/>
        </w:rPr>
        <w:t>9</w:t>
      </w:r>
      <w:r w:rsidRPr="006B59E5">
        <w:rPr>
          <w:rFonts w:ascii="Century Gothic" w:hAnsi="Century Gothic" w:cs="Arial"/>
          <w:lang w:val="es-ES"/>
        </w:rPr>
        <w:t>.</w:t>
      </w:r>
      <w:r w:rsidR="00EB1327" w:rsidRPr="006B59E5">
        <w:rPr>
          <w:rFonts w:ascii="Century Gothic" w:hAnsi="Century Gothic" w:cs="Arial"/>
          <w:lang w:val="es-ES"/>
        </w:rPr>
        <w:t>172</w:t>
      </w:r>
      <w:r w:rsidRPr="006B59E5">
        <w:rPr>
          <w:rFonts w:ascii="Century Gothic" w:hAnsi="Century Gothic" w:cs="Arial"/>
          <w:lang w:val="es-ES"/>
        </w:rPr>
        <w:t xml:space="preserve"> a </w:t>
      </w:r>
      <w:r w:rsidR="00EB1327" w:rsidRPr="006B59E5">
        <w:rPr>
          <w:rFonts w:ascii="Century Gothic" w:hAnsi="Century Gothic" w:cs="Arial"/>
          <w:lang w:val="es-ES"/>
        </w:rPr>
        <w:t>70</w:t>
      </w:r>
      <w:r w:rsidR="00D5520F" w:rsidRPr="006B59E5">
        <w:rPr>
          <w:rFonts w:ascii="Century Gothic" w:hAnsi="Century Gothic" w:cs="Arial"/>
          <w:lang w:val="es-ES"/>
        </w:rPr>
        <w:t>2</w:t>
      </w:r>
      <w:r w:rsidRPr="006B59E5">
        <w:rPr>
          <w:rFonts w:ascii="Century Gothic" w:hAnsi="Century Gothic" w:cs="Arial"/>
          <w:lang w:val="es-ES"/>
        </w:rPr>
        <w:t>.</w:t>
      </w:r>
      <w:r w:rsidR="00D5520F" w:rsidRPr="006B59E5">
        <w:rPr>
          <w:rFonts w:ascii="Century Gothic" w:hAnsi="Century Gothic" w:cs="Arial"/>
          <w:lang w:val="es-ES"/>
        </w:rPr>
        <w:t>591</w:t>
      </w:r>
      <w:r w:rsidRPr="006B59E5">
        <w:rPr>
          <w:rFonts w:ascii="Century Gothic" w:hAnsi="Century Gothic" w:cs="Arial"/>
          <w:lang w:val="es-ES"/>
        </w:rPr>
        <w:t xml:space="preserve"> millones, manteniéndose la partici</w:t>
      </w:r>
      <w:r w:rsidR="00D5520F" w:rsidRPr="006B59E5">
        <w:rPr>
          <w:rFonts w:ascii="Century Gothic" w:hAnsi="Century Gothic" w:cs="Arial"/>
          <w:lang w:val="es-ES"/>
        </w:rPr>
        <w:t>pación de la inversión en el 88,5</w:t>
      </w:r>
      <w:r w:rsidRPr="006B59E5">
        <w:rPr>
          <w:rFonts w:ascii="Century Gothic" w:hAnsi="Century Gothic" w:cs="Arial"/>
          <w:lang w:val="es-ES"/>
        </w:rPr>
        <w:t xml:space="preserve"> respecto al total del presupuesto.</w:t>
      </w:r>
    </w:p>
    <w:p w14:paraId="52240504" w14:textId="50F17722" w:rsidR="00544433" w:rsidRPr="006B59E5" w:rsidRDefault="00F569C6" w:rsidP="00F569C6">
      <w:pPr>
        <w:jc w:val="both"/>
        <w:rPr>
          <w:rFonts w:ascii="Century Gothic" w:hAnsi="Century Gothic" w:cs="Arial"/>
          <w:lang w:val="es-ES"/>
        </w:rPr>
      </w:pPr>
      <w:r w:rsidRPr="006B59E5">
        <w:rPr>
          <w:rFonts w:ascii="Century Gothic" w:hAnsi="Century Gothic" w:cs="Arial"/>
          <w:lang w:val="es-ES"/>
        </w:rPr>
        <w:lastRenderedPageBreak/>
        <w:t xml:space="preserve">Del total de la inversión por pactos, se aprecia que el pacto </w:t>
      </w:r>
      <w:r w:rsidR="00586226" w:rsidRPr="006B59E5">
        <w:rPr>
          <w:rFonts w:ascii="Century Gothic" w:hAnsi="Century Gothic" w:cs="Arial"/>
          <w:lang w:val="es-ES"/>
        </w:rPr>
        <w:t xml:space="preserve">uno </w:t>
      </w:r>
      <w:r w:rsidRPr="006B59E5">
        <w:rPr>
          <w:rFonts w:ascii="Century Gothic" w:hAnsi="Century Gothic" w:cs="Arial"/>
          <w:lang w:val="es-ES"/>
        </w:rPr>
        <w:t xml:space="preserve">incrementa su participación en </w:t>
      </w:r>
      <w:r w:rsidR="00D5520F" w:rsidRPr="006B59E5">
        <w:rPr>
          <w:rFonts w:ascii="Century Gothic" w:hAnsi="Century Gothic" w:cs="Arial"/>
          <w:lang w:val="es-ES"/>
        </w:rPr>
        <w:t>6,7</w:t>
      </w:r>
      <w:r w:rsidRPr="006B59E5">
        <w:rPr>
          <w:rFonts w:ascii="Century Gothic" w:hAnsi="Century Gothic" w:cs="Arial"/>
          <w:lang w:val="es-ES"/>
        </w:rPr>
        <w:t xml:space="preserve"> por ciento respecto al año anterior. Al pasar de </w:t>
      </w:r>
      <w:r w:rsidR="00DC4101" w:rsidRPr="006B59E5">
        <w:rPr>
          <w:rFonts w:ascii="Century Gothic" w:hAnsi="Century Gothic" w:cs="Arial"/>
          <w:lang w:val="es-ES"/>
        </w:rPr>
        <w:t>4</w:t>
      </w:r>
      <w:r w:rsidR="00D5520F" w:rsidRPr="006B59E5">
        <w:rPr>
          <w:rFonts w:ascii="Century Gothic" w:hAnsi="Century Gothic" w:cs="Arial"/>
          <w:lang w:val="es-ES"/>
        </w:rPr>
        <w:t>66</w:t>
      </w:r>
      <w:r w:rsidR="00DC4101" w:rsidRPr="006B59E5">
        <w:rPr>
          <w:rFonts w:ascii="Century Gothic" w:hAnsi="Century Gothic" w:cs="Arial"/>
          <w:lang w:val="es-ES"/>
        </w:rPr>
        <w:t>.6</w:t>
      </w:r>
      <w:r w:rsidR="00D5520F" w:rsidRPr="006B59E5">
        <w:rPr>
          <w:rFonts w:ascii="Century Gothic" w:hAnsi="Century Gothic" w:cs="Arial"/>
          <w:lang w:val="es-ES"/>
        </w:rPr>
        <w:t>98</w:t>
      </w:r>
      <w:r w:rsidRPr="006B59E5">
        <w:rPr>
          <w:rFonts w:ascii="Century Gothic" w:hAnsi="Century Gothic" w:cs="Arial"/>
          <w:lang w:val="es-ES"/>
        </w:rPr>
        <w:t xml:space="preserve"> a 4</w:t>
      </w:r>
      <w:r w:rsidR="00DC4101" w:rsidRPr="006B59E5">
        <w:rPr>
          <w:rFonts w:ascii="Century Gothic" w:hAnsi="Century Gothic" w:cs="Arial"/>
          <w:lang w:val="es-ES"/>
        </w:rPr>
        <w:t>9</w:t>
      </w:r>
      <w:r w:rsidR="00D5520F" w:rsidRPr="006B59E5">
        <w:rPr>
          <w:rFonts w:ascii="Century Gothic" w:hAnsi="Century Gothic" w:cs="Arial"/>
          <w:lang w:val="es-ES"/>
        </w:rPr>
        <w:t>8</w:t>
      </w:r>
      <w:r w:rsidR="00DC4101" w:rsidRPr="006B59E5">
        <w:rPr>
          <w:rFonts w:ascii="Century Gothic" w:hAnsi="Century Gothic" w:cs="Arial"/>
          <w:lang w:val="es-ES"/>
        </w:rPr>
        <w:t>.2</w:t>
      </w:r>
      <w:r w:rsidR="00D5520F" w:rsidRPr="006B59E5">
        <w:rPr>
          <w:rFonts w:ascii="Century Gothic" w:hAnsi="Century Gothic" w:cs="Arial"/>
          <w:lang w:val="es-ES"/>
        </w:rPr>
        <w:t>58</w:t>
      </w:r>
      <w:r w:rsidRPr="006B59E5">
        <w:rPr>
          <w:rFonts w:ascii="Century Gothic" w:hAnsi="Century Gothic" w:cs="Arial"/>
          <w:lang w:val="es-ES"/>
        </w:rPr>
        <w:t xml:space="preserve"> mi</w:t>
      </w:r>
      <w:r w:rsidR="00586226" w:rsidRPr="006B59E5">
        <w:rPr>
          <w:rFonts w:ascii="Century Gothic" w:hAnsi="Century Gothic" w:cs="Arial"/>
          <w:lang w:val="es-ES"/>
        </w:rPr>
        <w:t>llones; el pacto dos</w:t>
      </w:r>
      <w:r w:rsidRPr="006B59E5">
        <w:rPr>
          <w:rFonts w:ascii="Century Gothic" w:hAnsi="Century Gothic" w:cs="Arial"/>
          <w:lang w:val="es-ES"/>
        </w:rPr>
        <w:t xml:space="preserve"> tuvo un incremento del </w:t>
      </w:r>
      <w:r w:rsidR="00DC4101" w:rsidRPr="006B59E5">
        <w:rPr>
          <w:rFonts w:ascii="Century Gothic" w:hAnsi="Century Gothic" w:cs="Arial"/>
          <w:lang w:val="es-ES"/>
        </w:rPr>
        <w:t>9</w:t>
      </w:r>
      <w:r w:rsidR="006B59E5" w:rsidRPr="006B59E5">
        <w:rPr>
          <w:rFonts w:ascii="Century Gothic" w:hAnsi="Century Gothic" w:cs="Arial"/>
          <w:lang w:val="es-ES"/>
        </w:rPr>
        <w:t>,2</w:t>
      </w:r>
      <w:r w:rsidRPr="006B59E5">
        <w:rPr>
          <w:rFonts w:ascii="Century Gothic" w:hAnsi="Century Gothic" w:cs="Arial"/>
          <w:lang w:val="es-ES"/>
        </w:rPr>
        <w:t xml:space="preserve"> por ciento </w:t>
      </w:r>
      <w:r w:rsidR="006B59E5" w:rsidRPr="006B59E5">
        <w:rPr>
          <w:rFonts w:ascii="Century Gothic" w:hAnsi="Century Gothic" w:cs="Arial"/>
          <w:lang w:val="es-ES"/>
        </w:rPr>
        <w:t xml:space="preserve">frente </w:t>
      </w:r>
      <w:r w:rsidRPr="006B59E5">
        <w:rPr>
          <w:rFonts w:ascii="Century Gothic" w:hAnsi="Century Gothic" w:cs="Arial"/>
          <w:lang w:val="es-ES"/>
        </w:rPr>
        <w:t xml:space="preserve">al año anterior; el pacto </w:t>
      </w:r>
      <w:r w:rsidR="00586226" w:rsidRPr="006B59E5">
        <w:rPr>
          <w:rFonts w:ascii="Century Gothic" w:hAnsi="Century Gothic" w:cs="Arial"/>
          <w:lang w:val="es-ES"/>
        </w:rPr>
        <w:t>tres</w:t>
      </w:r>
      <w:r w:rsidRPr="006B59E5">
        <w:rPr>
          <w:rFonts w:ascii="Century Gothic" w:hAnsi="Century Gothic" w:cs="Arial"/>
          <w:lang w:val="es-ES"/>
        </w:rPr>
        <w:t xml:space="preserve"> presenta un</w:t>
      </w:r>
      <w:r w:rsidR="00DC4101" w:rsidRPr="006B59E5">
        <w:rPr>
          <w:rFonts w:ascii="Century Gothic" w:hAnsi="Century Gothic" w:cs="Arial"/>
          <w:lang w:val="es-ES"/>
        </w:rPr>
        <w:t xml:space="preserve"> </w:t>
      </w:r>
      <w:r w:rsidRPr="006B59E5">
        <w:rPr>
          <w:rFonts w:ascii="Century Gothic" w:hAnsi="Century Gothic" w:cs="Arial"/>
          <w:lang w:val="es-ES"/>
        </w:rPr>
        <w:t>a</w:t>
      </w:r>
      <w:r w:rsidR="00DC4101" w:rsidRPr="006B59E5">
        <w:rPr>
          <w:rFonts w:ascii="Century Gothic" w:hAnsi="Century Gothic" w:cs="Arial"/>
          <w:lang w:val="es-ES"/>
        </w:rPr>
        <w:t xml:space="preserve">umento </w:t>
      </w:r>
      <w:r w:rsidRPr="006B59E5">
        <w:rPr>
          <w:rFonts w:ascii="Century Gothic" w:hAnsi="Century Gothic" w:cs="Arial"/>
          <w:lang w:val="es-ES"/>
        </w:rPr>
        <w:t xml:space="preserve">del </w:t>
      </w:r>
      <w:r w:rsidR="00DC4101" w:rsidRPr="006B59E5">
        <w:rPr>
          <w:rFonts w:ascii="Century Gothic" w:hAnsi="Century Gothic" w:cs="Arial"/>
          <w:lang w:val="es-ES"/>
        </w:rPr>
        <w:t>36</w:t>
      </w:r>
      <w:r w:rsidR="006B59E5" w:rsidRPr="006B59E5">
        <w:rPr>
          <w:rFonts w:ascii="Century Gothic" w:hAnsi="Century Gothic" w:cs="Arial"/>
          <w:lang w:val="es-ES"/>
        </w:rPr>
        <w:t>,1</w:t>
      </w:r>
      <w:r w:rsidRPr="006B59E5">
        <w:rPr>
          <w:rFonts w:ascii="Century Gothic" w:hAnsi="Century Gothic" w:cs="Arial"/>
          <w:lang w:val="es-ES"/>
        </w:rPr>
        <w:t xml:space="preserve"> por ciento </w:t>
      </w:r>
      <w:r w:rsidR="00586226" w:rsidRPr="006B59E5">
        <w:rPr>
          <w:rFonts w:ascii="Century Gothic" w:hAnsi="Century Gothic" w:cs="Arial"/>
          <w:lang w:val="es-ES"/>
        </w:rPr>
        <w:t>respecto a la vigencia 2017; por su parte, el pacto cuatro</w:t>
      </w:r>
      <w:r w:rsidRPr="006B59E5">
        <w:rPr>
          <w:rFonts w:ascii="Century Gothic" w:hAnsi="Century Gothic" w:cs="Arial"/>
          <w:lang w:val="es-ES"/>
        </w:rPr>
        <w:t xml:space="preserve"> presenta un incremento del </w:t>
      </w:r>
      <w:r w:rsidR="00DC4101" w:rsidRPr="006B59E5">
        <w:rPr>
          <w:rFonts w:ascii="Century Gothic" w:hAnsi="Century Gothic" w:cs="Arial"/>
          <w:lang w:val="es-ES"/>
        </w:rPr>
        <w:t>13,6</w:t>
      </w:r>
      <w:r w:rsidRPr="006B59E5">
        <w:rPr>
          <w:rFonts w:ascii="Century Gothic" w:hAnsi="Century Gothic" w:cs="Arial"/>
          <w:lang w:val="es-ES"/>
        </w:rPr>
        <w:t xml:space="preserve"> por ciento. Finalmente</w:t>
      </w:r>
      <w:r w:rsidR="00DC4101" w:rsidRPr="006B59E5">
        <w:rPr>
          <w:rFonts w:ascii="Century Gothic" w:hAnsi="Century Gothic" w:cs="Arial"/>
          <w:lang w:val="es-ES"/>
        </w:rPr>
        <w:t>,</w:t>
      </w:r>
      <w:r w:rsidRPr="006B59E5">
        <w:rPr>
          <w:rFonts w:ascii="Century Gothic" w:hAnsi="Century Gothic" w:cs="Arial"/>
          <w:lang w:val="es-ES"/>
        </w:rPr>
        <w:t xml:space="preserve"> el pacto </w:t>
      </w:r>
      <w:r w:rsidR="00586226" w:rsidRPr="006B59E5">
        <w:rPr>
          <w:rFonts w:ascii="Century Gothic" w:hAnsi="Century Gothic" w:cs="Arial"/>
          <w:lang w:val="es-ES"/>
        </w:rPr>
        <w:t>cinco</w:t>
      </w:r>
      <w:r w:rsidRPr="006B59E5">
        <w:rPr>
          <w:rFonts w:ascii="Century Gothic" w:hAnsi="Century Gothic" w:cs="Arial"/>
          <w:lang w:val="es-ES"/>
        </w:rPr>
        <w:t xml:space="preserve"> registra una disminución del </w:t>
      </w:r>
      <w:r w:rsidR="00DC4101" w:rsidRPr="006B59E5">
        <w:rPr>
          <w:rFonts w:ascii="Century Gothic" w:hAnsi="Century Gothic" w:cs="Arial"/>
          <w:lang w:val="es-ES"/>
        </w:rPr>
        <w:t>2</w:t>
      </w:r>
      <w:r w:rsidR="006B59E5" w:rsidRPr="006B59E5">
        <w:rPr>
          <w:rFonts w:ascii="Century Gothic" w:hAnsi="Century Gothic" w:cs="Arial"/>
          <w:lang w:val="es-ES"/>
        </w:rPr>
        <w:t>6</w:t>
      </w:r>
      <w:r w:rsidR="00DC4101" w:rsidRPr="006B59E5">
        <w:rPr>
          <w:rFonts w:ascii="Century Gothic" w:hAnsi="Century Gothic" w:cs="Arial"/>
          <w:lang w:val="es-ES"/>
        </w:rPr>
        <w:t>,0</w:t>
      </w:r>
      <w:r w:rsidRPr="006B59E5">
        <w:rPr>
          <w:rFonts w:ascii="Century Gothic" w:hAnsi="Century Gothic" w:cs="Arial"/>
          <w:lang w:val="es-ES"/>
        </w:rPr>
        <w:t xml:space="preserve"> por ciento</w:t>
      </w:r>
      <w:r w:rsidR="00586226" w:rsidRPr="006B59E5">
        <w:rPr>
          <w:rFonts w:ascii="Century Gothic" w:hAnsi="Century Gothic" w:cs="Arial"/>
          <w:lang w:val="es-ES"/>
        </w:rPr>
        <w:t>,</w:t>
      </w:r>
      <w:r w:rsidRPr="006B59E5">
        <w:rPr>
          <w:rFonts w:ascii="Century Gothic" w:hAnsi="Century Gothic" w:cs="Arial"/>
          <w:lang w:val="es-ES"/>
        </w:rPr>
        <w:t xml:space="preserve"> al pasar de </w:t>
      </w:r>
      <w:r w:rsidR="00DC4101" w:rsidRPr="006B59E5">
        <w:rPr>
          <w:rFonts w:ascii="Century Gothic" w:hAnsi="Century Gothic" w:cs="Arial"/>
          <w:lang w:val="es-ES"/>
        </w:rPr>
        <w:t>10.</w:t>
      </w:r>
      <w:r w:rsidR="006B59E5" w:rsidRPr="006B59E5">
        <w:rPr>
          <w:rFonts w:ascii="Century Gothic" w:hAnsi="Century Gothic" w:cs="Arial"/>
          <w:lang w:val="es-ES"/>
        </w:rPr>
        <w:t>109</w:t>
      </w:r>
      <w:r w:rsidRPr="006B59E5">
        <w:rPr>
          <w:rFonts w:ascii="Century Gothic" w:hAnsi="Century Gothic" w:cs="Arial"/>
          <w:lang w:val="es-ES"/>
        </w:rPr>
        <w:t xml:space="preserve"> </w:t>
      </w:r>
      <w:r w:rsidR="00DC4101" w:rsidRPr="006B59E5">
        <w:rPr>
          <w:rFonts w:ascii="Century Gothic" w:hAnsi="Century Gothic" w:cs="Arial"/>
          <w:lang w:val="es-ES"/>
        </w:rPr>
        <w:t xml:space="preserve">en el año 2018 </w:t>
      </w:r>
      <w:r w:rsidRPr="006B59E5">
        <w:rPr>
          <w:rFonts w:ascii="Century Gothic" w:hAnsi="Century Gothic" w:cs="Arial"/>
          <w:lang w:val="es-ES"/>
        </w:rPr>
        <w:t xml:space="preserve">a </w:t>
      </w:r>
      <w:r w:rsidR="00DC4101" w:rsidRPr="006B59E5">
        <w:rPr>
          <w:rFonts w:ascii="Century Gothic" w:hAnsi="Century Gothic" w:cs="Arial"/>
          <w:lang w:val="es-ES"/>
        </w:rPr>
        <w:t>7</w:t>
      </w:r>
      <w:r w:rsidRPr="006B59E5">
        <w:rPr>
          <w:rFonts w:ascii="Century Gothic" w:hAnsi="Century Gothic" w:cs="Arial"/>
          <w:lang w:val="es-ES"/>
        </w:rPr>
        <w:t>.</w:t>
      </w:r>
      <w:r w:rsidR="00DC4101" w:rsidRPr="006B59E5">
        <w:rPr>
          <w:rFonts w:ascii="Century Gothic" w:hAnsi="Century Gothic" w:cs="Arial"/>
          <w:lang w:val="es-ES"/>
        </w:rPr>
        <w:t>4</w:t>
      </w:r>
      <w:r w:rsidR="006B59E5" w:rsidRPr="006B59E5">
        <w:rPr>
          <w:rFonts w:ascii="Century Gothic" w:hAnsi="Century Gothic" w:cs="Arial"/>
          <w:lang w:val="es-ES"/>
        </w:rPr>
        <w:t>76</w:t>
      </w:r>
      <w:r w:rsidRPr="006B59E5">
        <w:rPr>
          <w:rFonts w:ascii="Century Gothic" w:hAnsi="Century Gothic" w:cs="Arial"/>
          <w:lang w:val="es-ES"/>
        </w:rPr>
        <w:t xml:space="preserve"> millones</w:t>
      </w:r>
      <w:r w:rsidR="00DC4101" w:rsidRPr="006B59E5">
        <w:rPr>
          <w:rFonts w:ascii="Century Gothic" w:hAnsi="Century Gothic" w:cs="Arial"/>
          <w:lang w:val="es-ES"/>
        </w:rPr>
        <w:t xml:space="preserve"> en el 2019</w:t>
      </w:r>
      <w:r w:rsidRPr="006B59E5">
        <w:rPr>
          <w:rFonts w:ascii="Century Gothic" w:hAnsi="Century Gothic" w:cs="Arial"/>
          <w:lang w:val="es-ES"/>
        </w:rPr>
        <w:t>.</w:t>
      </w:r>
      <w:r w:rsidR="00586226" w:rsidRPr="006B59E5">
        <w:rPr>
          <w:rFonts w:ascii="Century Gothic" w:hAnsi="Century Gothic" w:cs="Arial"/>
          <w:lang w:val="es-ES"/>
        </w:rPr>
        <w:t xml:space="preserve"> </w:t>
      </w:r>
    </w:p>
    <w:p w14:paraId="4799BBB2" w14:textId="2D124C39" w:rsidR="00982068" w:rsidRPr="006B59E5" w:rsidRDefault="00982068" w:rsidP="00982068">
      <w:pPr>
        <w:pStyle w:val="Epgrafe"/>
        <w:jc w:val="center"/>
        <w:rPr>
          <w:rFonts w:ascii="Century Gothic" w:hAnsi="Century Gothic" w:cs="Arial"/>
          <w:b w:val="0"/>
          <w:color w:val="auto"/>
          <w:sz w:val="22"/>
          <w:lang w:val="es-ES"/>
        </w:rPr>
      </w:pPr>
      <w:bookmarkStart w:id="103" w:name="_Toc532566070"/>
      <w:r w:rsidRPr="006B59E5">
        <w:rPr>
          <w:rFonts w:ascii="Century Gothic" w:hAnsi="Century Gothic"/>
          <w:b w:val="0"/>
          <w:color w:val="auto"/>
          <w:sz w:val="22"/>
          <w:lang w:val="es-ES"/>
        </w:rPr>
        <w:t xml:space="preserve">Gráfica </w:t>
      </w:r>
      <w:r w:rsidRPr="006B59E5">
        <w:rPr>
          <w:rFonts w:ascii="Century Gothic" w:hAnsi="Century Gothic"/>
          <w:b w:val="0"/>
          <w:color w:val="auto"/>
          <w:sz w:val="22"/>
          <w:lang w:val="es-ES"/>
        </w:rPr>
        <w:fldChar w:fldCharType="begin"/>
      </w:r>
      <w:r w:rsidRPr="006B59E5">
        <w:rPr>
          <w:rFonts w:ascii="Century Gothic" w:hAnsi="Century Gothic"/>
          <w:b w:val="0"/>
          <w:color w:val="auto"/>
          <w:sz w:val="22"/>
          <w:lang w:val="es-ES"/>
        </w:rPr>
        <w:instrText xml:space="preserve"> SEQ Gráfica \* ARABIC </w:instrText>
      </w:r>
      <w:r w:rsidRPr="006B59E5">
        <w:rPr>
          <w:rFonts w:ascii="Century Gothic" w:hAnsi="Century Gothic"/>
          <w:b w:val="0"/>
          <w:color w:val="auto"/>
          <w:sz w:val="22"/>
          <w:lang w:val="es-ES"/>
        </w:rPr>
        <w:fldChar w:fldCharType="separate"/>
      </w:r>
      <w:r w:rsidR="004A2E30" w:rsidRPr="006B59E5">
        <w:rPr>
          <w:rFonts w:ascii="Century Gothic" w:hAnsi="Century Gothic"/>
          <w:b w:val="0"/>
          <w:noProof/>
          <w:color w:val="auto"/>
          <w:sz w:val="22"/>
          <w:lang w:val="es-ES"/>
        </w:rPr>
        <w:t>17</w:t>
      </w:r>
      <w:r w:rsidRPr="006B59E5">
        <w:rPr>
          <w:rFonts w:ascii="Century Gothic" w:hAnsi="Century Gothic"/>
          <w:b w:val="0"/>
          <w:color w:val="auto"/>
          <w:sz w:val="22"/>
          <w:lang w:val="es-ES"/>
        </w:rPr>
        <w:fldChar w:fldCharType="end"/>
      </w:r>
      <w:r w:rsidRPr="006B59E5">
        <w:rPr>
          <w:rFonts w:ascii="Century Gothic" w:hAnsi="Century Gothic"/>
          <w:b w:val="0"/>
          <w:color w:val="auto"/>
          <w:sz w:val="22"/>
          <w:lang w:val="es-ES"/>
        </w:rPr>
        <w:t>. Comparativo de los recursos de inversión por pacto, años 2018 y 2019</w:t>
      </w:r>
      <w:bookmarkEnd w:id="103"/>
    </w:p>
    <w:p w14:paraId="3F1B9A9C" w14:textId="58E8495B" w:rsidR="00DC4101" w:rsidRPr="006B59E5" w:rsidRDefault="006B59E5" w:rsidP="00982068">
      <w:pPr>
        <w:jc w:val="center"/>
        <w:rPr>
          <w:rFonts w:ascii="Century Gothic" w:hAnsi="Century Gothic" w:cs="Arial"/>
          <w:lang w:val="es-ES"/>
        </w:rPr>
      </w:pPr>
      <w:r w:rsidRPr="006B59E5">
        <w:rPr>
          <w:rFonts w:ascii="Century Gothic" w:hAnsi="Century Gothic" w:cs="Arial"/>
          <w:noProof/>
          <w:lang w:val="es-ES" w:eastAsia="es-ES"/>
        </w:rPr>
        <w:drawing>
          <wp:inline distT="0" distB="0" distL="0" distR="0" wp14:anchorId="019B34F5" wp14:editId="40BBF167">
            <wp:extent cx="5461000" cy="3006602"/>
            <wp:effectExtent l="0" t="0" r="635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64515" cy="3008537"/>
                    </a:xfrm>
                    <a:prstGeom prst="rect">
                      <a:avLst/>
                    </a:prstGeom>
                    <a:noFill/>
                  </pic:spPr>
                </pic:pic>
              </a:graphicData>
            </a:graphic>
          </wp:inline>
        </w:drawing>
      </w:r>
    </w:p>
    <w:p w14:paraId="0528CB3F" w14:textId="71A65CDB" w:rsidR="006B59E5" w:rsidRPr="006B59E5" w:rsidRDefault="006B59E5" w:rsidP="00982068">
      <w:pPr>
        <w:jc w:val="center"/>
        <w:rPr>
          <w:rFonts w:ascii="Century Gothic" w:hAnsi="Century Gothic" w:cs="Arial"/>
          <w:lang w:val="es-ES"/>
        </w:rPr>
      </w:pPr>
      <w:r w:rsidRPr="006B59E5">
        <w:rPr>
          <w:rFonts w:ascii="Century Gothic" w:hAnsi="Century Gothic" w:cs="Arial"/>
          <w:lang w:val="es-ES"/>
        </w:rPr>
        <w:t>Fuente: Secretaría de Hacienda, 2018</w:t>
      </w:r>
    </w:p>
    <w:p w14:paraId="4AE138D4" w14:textId="5D10344C" w:rsidR="00F569C6" w:rsidRPr="009010DD" w:rsidRDefault="00F569C6" w:rsidP="00F569C6">
      <w:pPr>
        <w:jc w:val="both"/>
        <w:rPr>
          <w:rFonts w:ascii="Century Gothic" w:hAnsi="Century Gothic" w:cs="Arial"/>
          <w:lang w:val="es-ES"/>
        </w:rPr>
      </w:pPr>
      <w:r w:rsidRPr="006B59E5">
        <w:rPr>
          <w:rFonts w:ascii="Century Gothic" w:hAnsi="Century Gothic" w:cs="Arial"/>
          <w:lang w:val="es-ES"/>
        </w:rPr>
        <w:t>Es de resaltar que la mayor parte de la inversión del municipio se orienta a financiar el pacto por los derechos sociales, que representa el 7</w:t>
      </w:r>
      <w:r w:rsidR="006B59E5" w:rsidRPr="006B59E5">
        <w:rPr>
          <w:rFonts w:ascii="Century Gothic" w:hAnsi="Century Gothic" w:cs="Arial"/>
          <w:lang w:val="es-ES"/>
        </w:rPr>
        <w:t>0</w:t>
      </w:r>
      <w:r w:rsidRPr="006B59E5">
        <w:rPr>
          <w:rFonts w:ascii="Century Gothic" w:hAnsi="Century Gothic" w:cs="Arial"/>
          <w:lang w:val="es-ES"/>
        </w:rPr>
        <w:t>.</w:t>
      </w:r>
      <w:r w:rsidR="006B59E5" w:rsidRPr="006B59E5">
        <w:rPr>
          <w:rFonts w:ascii="Century Gothic" w:hAnsi="Century Gothic" w:cs="Arial"/>
          <w:lang w:val="es-ES"/>
        </w:rPr>
        <w:t>9</w:t>
      </w:r>
      <w:r w:rsidRPr="006B59E5">
        <w:rPr>
          <w:rFonts w:ascii="Century Gothic" w:hAnsi="Century Gothic" w:cs="Arial"/>
          <w:lang w:val="es-ES"/>
        </w:rPr>
        <w:t xml:space="preserve"> por ciento, recursos que en su mayor proporción provienen del Sistema General de Participación, principalmente para las rutas especializadas de educación y salud; el nuevo pacto por la naturaleza participa con el </w:t>
      </w:r>
      <w:r w:rsidR="00DC4101" w:rsidRPr="006B59E5">
        <w:rPr>
          <w:rFonts w:ascii="Century Gothic" w:hAnsi="Century Gothic" w:cs="Arial"/>
          <w:lang w:val="es-ES"/>
        </w:rPr>
        <w:t>20</w:t>
      </w:r>
      <w:r w:rsidRPr="006B59E5">
        <w:rPr>
          <w:rFonts w:ascii="Century Gothic" w:hAnsi="Century Gothic" w:cs="Arial"/>
          <w:lang w:val="es-ES"/>
        </w:rPr>
        <w:t>.</w:t>
      </w:r>
      <w:r w:rsidR="006B59E5" w:rsidRPr="006B59E5">
        <w:rPr>
          <w:rFonts w:ascii="Century Gothic" w:hAnsi="Century Gothic" w:cs="Arial"/>
          <w:lang w:val="es-ES"/>
        </w:rPr>
        <w:t>8</w:t>
      </w:r>
      <w:r w:rsidRPr="006B59E5">
        <w:rPr>
          <w:rFonts w:ascii="Century Gothic" w:hAnsi="Century Gothic" w:cs="Arial"/>
          <w:lang w:val="es-ES"/>
        </w:rPr>
        <w:t xml:space="preserve"> por ciento de la inversión y el de menor participación es el pacto por un gobierno ab</w:t>
      </w:r>
      <w:r w:rsidR="006B59E5" w:rsidRPr="006B59E5">
        <w:rPr>
          <w:rFonts w:ascii="Century Gothic" w:hAnsi="Century Gothic" w:cs="Arial"/>
          <w:lang w:val="es-ES"/>
        </w:rPr>
        <w:t xml:space="preserve">ierto y participativo con </w:t>
      </w:r>
      <w:r w:rsidR="006B59E5" w:rsidRPr="009010DD">
        <w:rPr>
          <w:rFonts w:ascii="Century Gothic" w:hAnsi="Century Gothic" w:cs="Arial"/>
          <w:lang w:val="es-ES"/>
        </w:rPr>
        <w:t>el 1.0</w:t>
      </w:r>
      <w:r w:rsidRPr="009010DD">
        <w:rPr>
          <w:rFonts w:ascii="Century Gothic" w:hAnsi="Century Gothic" w:cs="Arial"/>
          <w:lang w:val="es-ES"/>
        </w:rPr>
        <w:t xml:space="preserve"> por ciento</w:t>
      </w:r>
      <w:r w:rsidR="00441A01" w:rsidRPr="009010DD">
        <w:rPr>
          <w:rFonts w:ascii="Century Gothic" w:hAnsi="Century Gothic" w:cs="Arial"/>
          <w:lang w:val="es-ES"/>
        </w:rPr>
        <w:t xml:space="preserve"> (Ver Anexo 1)</w:t>
      </w:r>
      <w:r w:rsidRPr="009010DD">
        <w:rPr>
          <w:rFonts w:ascii="Century Gothic" w:hAnsi="Century Gothic" w:cs="Arial"/>
          <w:lang w:val="es-ES"/>
        </w:rPr>
        <w:t>.</w:t>
      </w:r>
    </w:p>
    <w:p w14:paraId="12A5ECDD" w14:textId="77777777" w:rsidR="000E64D3" w:rsidRPr="009010DD" w:rsidRDefault="000E64D3" w:rsidP="000E64D3">
      <w:pPr>
        <w:pStyle w:val="Ttulo4"/>
      </w:pPr>
      <w:r w:rsidRPr="009010DD">
        <w:t>Vigencias futuras en Gastos de Inversión</w:t>
      </w:r>
    </w:p>
    <w:p w14:paraId="027C82D3" w14:textId="2F6F806C" w:rsidR="000E64D3" w:rsidRPr="009010DD" w:rsidRDefault="00C3599C" w:rsidP="000E64D3">
      <w:pPr>
        <w:jc w:val="both"/>
        <w:rPr>
          <w:rFonts w:ascii="Century Gothic" w:hAnsi="Century Gothic"/>
        </w:rPr>
      </w:pPr>
      <w:r w:rsidRPr="009010DD">
        <w:rPr>
          <w:rFonts w:ascii="Century Gothic" w:hAnsi="Century Gothic"/>
        </w:rPr>
        <w:t xml:space="preserve">Las vigencias futuras aprobadas hasta la fecha para gastos de inversión ascienden a </w:t>
      </w:r>
      <w:r w:rsidR="009010DD" w:rsidRPr="009010DD">
        <w:rPr>
          <w:rFonts w:ascii="Century Gothic" w:hAnsi="Century Gothic"/>
        </w:rPr>
        <w:t>$41.137</w:t>
      </w:r>
      <w:r w:rsidR="001B58B4" w:rsidRPr="009010DD">
        <w:rPr>
          <w:rFonts w:ascii="Century Gothic" w:hAnsi="Century Gothic"/>
        </w:rPr>
        <w:t xml:space="preserve"> </w:t>
      </w:r>
      <w:r w:rsidRPr="009010DD">
        <w:rPr>
          <w:rFonts w:ascii="Century Gothic" w:hAnsi="Century Gothic"/>
        </w:rPr>
        <w:t>millones.</w:t>
      </w:r>
    </w:p>
    <w:p w14:paraId="37F8974B" w14:textId="40514709" w:rsidR="000E64D3" w:rsidRPr="009010DD" w:rsidRDefault="000E64D3" w:rsidP="000E64D3">
      <w:pPr>
        <w:spacing w:after="0"/>
        <w:jc w:val="center"/>
        <w:rPr>
          <w:rFonts w:ascii="Century Gothic" w:hAnsi="Century Gothic"/>
        </w:rPr>
      </w:pPr>
      <w:bookmarkStart w:id="104" w:name="_Toc532570547"/>
      <w:r w:rsidRPr="009010DD">
        <w:rPr>
          <w:rFonts w:ascii="Century Gothic" w:hAnsi="Century Gothic"/>
          <w:lang w:val="es-ES"/>
        </w:rPr>
        <w:lastRenderedPageBreak/>
        <w:t xml:space="preserve">Tabla </w:t>
      </w:r>
      <w:r w:rsidRPr="009010DD">
        <w:rPr>
          <w:rFonts w:ascii="Century Gothic" w:hAnsi="Century Gothic"/>
          <w:lang w:val="es-ES"/>
        </w:rPr>
        <w:fldChar w:fldCharType="begin"/>
      </w:r>
      <w:r w:rsidRPr="009010DD">
        <w:rPr>
          <w:rFonts w:ascii="Century Gothic" w:hAnsi="Century Gothic"/>
          <w:lang w:val="es-ES"/>
        </w:rPr>
        <w:instrText xml:space="preserve"> SEQ Tabla \* ARABIC </w:instrText>
      </w:r>
      <w:r w:rsidRPr="009010DD">
        <w:rPr>
          <w:rFonts w:ascii="Century Gothic" w:hAnsi="Century Gothic"/>
          <w:lang w:val="es-ES"/>
        </w:rPr>
        <w:fldChar w:fldCharType="separate"/>
      </w:r>
      <w:r w:rsidR="00934BA3" w:rsidRPr="009010DD">
        <w:rPr>
          <w:rFonts w:ascii="Century Gothic" w:hAnsi="Century Gothic"/>
          <w:noProof/>
          <w:lang w:val="es-ES"/>
        </w:rPr>
        <w:t>56</w:t>
      </w:r>
      <w:r w:rsidRPr="009010DD">
        <w:rPr>
          <w:rFonts w:ascii="Century Gothic" w:hAnsi="Century Gothic"/>
          <w:lang w:val="es-ES"/>
        </w:rPr>
        <w:fldChar w:fldCharType="end"/>
      </w:r>
      <w:r w:rsidRPr="009010DD">
        <w:rPr>
          <w:rFonts w:ascii="Century Gothic" w:hAnsi="Century Gothic"/>
          <w:lang w:val="es-ES"/>
        </w:rPr>
        <w:t>. Vigencias futuras gastos de inversión</w:t>
      </w:r>
      <w:r w:rsidR="00877C43" w:rsidRPr="009010DD">
        <w:rPr>
          <w:rFonts w:ascii="Century Gothic" w:hAnsi="Century Gothic"/>
          <w:lang w:val="es-ES"/>
        </w:rPr>
        <w:t xml:space="preserve"> (Millones de pesos)</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425"/>
        <w:gridCol w:w="992"/>
        <w:gridCol w:w="3261"/>
        <w:gridCol w:w="992"/>
        <w:gridCol w:w="1984"/>
        <w:gridCol w:w="820"/>
      </w:tblGrid>
      <w:tr w:rsidR="004D4454" w:rsidRPr="009010DD" w14:paraId="0699EF0C" w14:textId="77777777" w:rsidTr="009010DD">
        <w:trPr>
          <w:cantSplit/>
          <w:trHeight w:val="1290"/>
          <w:tblHeader/>
        </w:trPr>
        <w:tc>
          <w:tcPr>
            <w:tcW w:w="354" w:type="dxa"/>
            <w:shd w:val="clear" w:color="auto" w:fill="C2D69B" w:themeFill="accent3" w:themeFillTint="99"/>
            <w:noWrap/>
            <w:textDirection w:val="btLr"/>
            <w:vAlign w:val="center"/>
            <w:hideMark/>
          </w:tcPr>
          <w:p w14:paraId="48DB53C5" w14:textId="0D487967" w:rsidR="001B58B4" w:rsidRPr="009010DD" w:rsidRDefault="003F5945" w:rsidP="00D54630">
            <w:pPr>
              <w:spacing w:after="0" w:line="240" w:lineRule="auto"/>
              <w:ind w:left="113" w:right="113"/>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Ítem</w:t>
            </w:r>
          </w:p>
        </w:tc>
        <w:tc>
          <w:tcPr>
            <w:tcW w:w="425" w:type="dxa"/>
            <w:shd w:val="clear" w:color="auto" w:fill="C2D69B" w:themeFill="accent3" w:themeFillTint="99"/>
            <w:textDirection w:val="btLr"/>
            <w:vAlign w:val="center"/>
            <w:hideMark/>
          </w:tcPr>
          <w:p w14:paraId="212989A1" w14:textId="0F108C59" w:rsidR="001B58B4" w:rsidRPr="009010DD" w:rsidRDefault="001B58B4" w:rsidP="00B7406B">
            <w:pPr>
              <w:spacing w:after="0" w:line="240" w:lineRule="auto"/>
              <w:ind w:left="113" w:right="113"/>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No. Acuerdo</w:t>
            </w:r>
          </w:p>
        </w:tc>
        <w:tc>
          <w:tcPr>
            <w:tcW w:w="992" w:type="dxa"/>
            <w:shd w:val="clear" w:color="auto" w:fill="C2D69B" w:themeFill="accent3" w:themeFillTint="99"/>
            <w:vAlign w:val="center"/>
            <w:hideMark/>
          </w:tcPr>
          <w:p w14:paraId="5191AFE4" w14:textId="52B26C74" w:rsidR="001B58B4" w:rsidRPr="009010DD" w:rsidRDefault="001B58B4" w:rsidP="00B7406B">
            <w:pPr>
              <w:spacing w:after="0" w:line="240" w:lineRule="auto"/>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Fecha acuerdo</w:t>
            </w:r>
          </w:p>
        </w:tc>
        <w:tc>
          <w:tcPr>
            <w:tcW w:w="3261" w:type="dxa"/>
            <w:shd w:val="clear" w:color="auto" w:fill="C2D69B" w:themeFill="accent3" w:themeFillTint="99"/>
            <w:noWrap/>
            <w:vAlign w:val="center"/>
            <w:hideMark/>
          </w:tcPr>
          <w:p w14:paraId="5D15A5D4" w14:textId="2EFEDBA2" w:rsidR="001B58B4" w:rsidRPr="009010DD" w:rsidRDefault="001B58B4" w:rsidP="00B7406B">
            <w:pPr>
              <w:spacing w:after="0" w:line="240" w:lineRule="auto"/>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Proyecto</w:t>
            </w:r>
          </w:p>
        </w:tc>
        <w:tc>
          <w:tcPr>
            <w:tcW w:w="992" w:type="dxa"/>
            <w:shd w:val="clear" w:color="auto" w:fill="C2D69B" w:themeFill="accent3" w:themeFillTint="99"/>
            <w:vAlign w:val="center"/>
            <w:hideMark/>
          </w:tcPr>
          <w:p w14:paraId="2287945A" w14:textId="686A21CE" w:rsidR="001B58B4" w:rsidRPr="009010DD" w:rsidRDefault="001B58B4" w:rsidP="00B7406B">
            <w:pPr>
              <w:spacing w:after="0" w:line="240" w:lineRule="auto"/>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Tipo de vigencia futura</w:t>
            </w:r>
          </w:p>
        </w:tc>
        <w:tc>
          <w:tcPr>
            <w:tcW w:w="1984" w:type="dxa"/>
            <w:shd w:val="clear" w:color="auto" w:fill="C2D69B" w:themeFill="accent3" w:themeFillTint="99"/>
            <w:vAlign w:val="center"/>
            <w:hideMark/>
          </w:tcPr>
          <w:p w14:paraId="46530E79" w14:textId="6F1D3316" w:rsidR="001B58B4" w:rsidRPr="009010DD" w:rsidRDefault="001B58B4" w:rsidP="00B7406B">
            <w:pPr>
              <w:spacing w:after="0" w:line="240" w:lineRule="auto"/>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Fuentes de recursos</w:t>
            </w:r>
          </w:p>
        </w:tc>
        <w:tc>
          <w:tcPr>
            <w:tcW w:w="820" w:type="dxa"/>
            <w:shd w:val="clear" w:color="auto" w:fill="C2D69B" w:themeFill="accent3" w:themeFillTint="99"/>
            <w:textDirection w:val="btLr"/>
            <w:vAlign w:val="center"/>
            <w:hideMark/>
          </w:tcPr>
          <w:p w14:paraId="7B5F0042" w14:textId="30F0C3F9" w:rsidR="001B58B4" w:rsidRPr="009010DD" w:rsidRDefault="001B58B4" w:rsidP="00B7406B">
            <w:pPr>
              <w:spacing w:after="0" w:line="240" w:lineRule="auto"/>
              <w:ind w:left="113" w:right="113"/>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Valor vigencia futura 2019</w:t>
            </w:r>
          </w:p>
        </w:tc>
      </w:tr>
      <w:tr w:rsidR="00B7406B" w:rsidRPr="009010DD" w14:paraId="1FF63E0B" w14:textId="77777777" w:rsidTr="009010DD">
        <w:trPr>
          <w:trHeight w:val="20"/>
        </w:trPr>
        <w:tc>
          <w:tcPr>
            <w:tcW w:w="354" w:type="dxa"/>
            <w:vMerge w:val="restart"/>
            <w:shd w:val="clear" w:color="auto" w:fill="C2D69B" w:themeFill="accent3" w:themeFillTint="99"/>
            <w:vAlign w:val="center"/>
            <w:hideMark/>
          </w:tcPr>
          <w:p w14:paraId="5A7457A1"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w:t>
            </w:r>
          </w:p>
        </w:tc>
        <w:tc>
          <w:tcPr>
            <w:tcW w:w="425" w:type="dxa"/>
            <w:vMerge w:val="restart"/>
            <w:shd w:val="clear" w:color="auto" w:fill="auto"/>
            <w:vAlign w:val="center"/>
            <w:hideMark/>
          </w:tcPr>
          <w:p w14:paraId="3C52A52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w:t>
            </w:r>
          </w:p>
        </w:tc>
        <w:tc>
          <w:tcPr>
            <w:tcW w:w="992" w:type="dxa"/>
            <w:vMerge w:val="restart"/>
            <w:shd w:val="clear" w:color="auto" w:fill="auto"/>
            <w:vAlign w:val="center"/>
            <w:hideMark/>
          </w:tcPr>
          <w:p w14:paraId="49960DE6" w14:textId="1CB690B1"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30/07/18</w:t>
            </w:r>
          </w:p>
        </w:tc>
        <w:tc>
          <w:tcPr>
            <w:tcW w:w="3261" w:type="dxa"/>
            <w:vMerge w:val="restart"/>
            <w:shd w:val="clear" w:color="auto" w:fill="auto"/>
            <w:vAlign w:val="center"/>
            <w:hideMark/>
          </w:tcPr>
          <w:p w14:paraId="1CA016C2" w14:textId="7D811842"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Construcción e interventoría del </w:t>
            </w:r>
            <w:r w:rsidR="00B7406B" w:rsidRPr="009010DD">
              <w:rPr>
                <w:rFonts w:ascii="Century Gothic" w:eastAsia="Times New Roman" w:hAnsi="Century Gothic" w:cs="Calibri"/>
                <w:color w:val="000000"/>
                <w:sz w:val="18"/>
                <w:szCs w:val="18"/>
              </w:rPr>
              <w:t>Parque Oriental Las Brisas</w:t>
            </w:r>
          </w:p>
        </w:tc>
        <w:tc>
          <w:tcPr>
            <w:tcW w:w="992" w:type="dxa"/>
            <w:vMerge w:val="restart"/>
            <w:shd w:val="clear" w:color="auto" w:fill="auto"/>
            <w:vAlign w:val="center"/>
            <w:hideMark/>
          </w:tcPr>
          <w:p w14:paraId="4495E10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44E68722" w14:textId="6E8511AA"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 xml:space="preserve">ecursos </w:t>
            </w:r>
            <w:r w:rsidR="00D54630" w:rsidRPr="009010DD">
              <w:rPr>
                <w:rFonts w:ascii="Century Gothic" w:eastAsia="Times New Roman" w:hAnsi="Century Gothic" w:cs="Calibri"/>
                <w:color w:val="000000"/>
                <w:sz w:val="18"/>
                <w:szCs w:val="18"/>
              </w:rPr>
              <w:t>FONCEP</w:t>
            </w:r>
          </w:p>
        </w:tc>
        <w:tc>
          <w:tcPr>
            <w:tcW w:w="820" w:type="dxa"/>
            <w:shd w:val="clear" w:color="auto" w:fill="auto"/>
            <w:noWrap/>
            <w:vAlign w:val="center"/>
            <w:hideMark/>
          </w:tcPr>
          <w:p w14:paraId="5ADB0907" w14:textId="51CDA8DE"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877C43" w:rsidRPr="009010DD">
              <w:rPr>
                <w:rFonts w:ascii="Century Gothic" w:eastAsia="Times New Roman" w:hAnsi="Century Gothic" w:cs="Calibri"/>
                <w:color w:val="000000"/>
                <w:sz w:val="18"/>
                <w:szCs w:val="18"/>
              </w:rPr>
              <w:t>833</w:t>
            </w:r>
          </w:p>
        </w:tc>
      </w:tr>
      <w:tr w:rsidR="00B7406B" w:rsidRPr="009010DD" w14:paraId="61E440B7" w14:textId="77777777" w:rsidTr="009010DD">
        <w:trPr>
          <w:trHeight w:val="20"/>
        </w:trPr>
        <w:tc>
          <w:tcPr>
            <w:tcW w:w="354" w:type="dxa"/>
            <w:vMerge/>
            <w:shd w:val="clear" w:color="auto" w:fill="C2D69B" w:themeFill="accent3" w:themeFillTint="99"/>
            <w:vAlign w:val="center"/>
            <w:hideMark/>
          </w:tcPr>
          <w:p w14:paraId="44B6E01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36BEF59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56E0A701"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0373A297"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06312A7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2735CB47" w14:textId="5D12AC30"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w:t>
            </w:r>
            <w:r w:rsidR="00D54630" w:rsidRPr="009010DD">
              <w:rPr>
                <w:rFonts w:ascii="Century Gothic" w:eastAsia="Times New Roman" w:hAnsi="Century Gothic" w:cs="Calibri"/>
                <w:color w:val="000000"/>
                <w:sz w:val="18"/>
                <w:szCs w:val="18"/>
              </w:rPr>
              <w:t>FONCEP</w:t>
            </w:r>
          </w:p>
        </w:tc>
        <w:tc>
          <w:tcPr>
            <w:tcW w:w="820" w:type="dxa"/>
            <w:shd w:val="clear" w:color="auto" w:fill="auto"/>
            <w:noWrap/>
            <w:vAlign w:val="center"/>
            <w:hideMark/>
          </w:tcPr>
          <w:p w14:paraId="55C42C4C" w14:textId="59D42D4E"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58</w:t>
            </w:r>
          </w:p>
        </w:tc>
      </w:tr>
      <w:tr w:rsidR="00B7406B" w:rsidRPr="009010DD" w14:paraId="303A0024" w14:textId="77777777" w:rsidTr="009010DD">
        <w:trPr>
          <w:trHeight w:val="373"/>
        </w:trPr>
        <w:tc>
          <w:tcPr>
            <w:tcW w:w="354" w:type="dxa"/>
            <w:vMerge w:val="restart"/>
            <w:shd w:val="clear" w:color="auto" w:fill="C2D69B" w:themeFill="accent3" w:themeFillTint="99"/>
            <w:noWrap/>
            <w:vAlign w:val="center"/>
            <w:hideMark/>
          </w:tcPr>
          <w:p w14:paraId="0C9395E8"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w:t>
            </w:r>
          </w:p>
        </w:tc>
        <w:tc>
          <w:tcPr>
            <w:tcW w:w="425" w:type="dxa"/>
            <w:vMerge w:val="restart"/>
            <w:shd w:val="clear" w:color="auto" w:fill="auto"/>
            <w:vAlign w:val="center"/>
            <w:hideMark/>
          </w:tcPr>
          <w:p w14:paraId="14EAAE9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w:t>
            </w:r>
          </w:p>
        </w:tc>
        <w:tc>
          <w:tcPr>
            <w:tcW w:w="992" w:type="dxa"/>
            <w:vMerge w:val="restart"/>
            <w:shd w:val="clear" w:color="auto" w:fill="auto"/>
            <w:vAlign w:val="center"/>
            <w:hideMark/>
          </w:tcPr>
          <w:p w14:paraId="0A379685" w14:textId="11110BBE"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30/07/18</w:t>
            </w:r>
          </w:p>
        </w:tc>
        <w:tc>
          <w:tcPr>
            <w:tcW w:w="3261" w:type="dxa"/>
            <w:vMerge w:val="restart"/>
            <w:shd w:val="clear" w:color="auto" w:fill="auto"/>
            <w:vAlign w:val="center"/>
            <w:hideMark/>
          </w:tcPr>
          <w:p w14:paraId="11961561" w14:textId="3BDAEF50"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Apoyo a escenarios culturales construidos, mejorados o con mantenimiento</w:t>
            </w:r>
          </w:p>
        </w:tc>
        <w:tc>
          <w:tcPr>
            <w:tcW w:w="992" w:type="dxa"/>
            <w:vMerge w:val="restart"/>
            <w:shd w:val="clear" w:color="auto" w:fill="auto"/>
            <w:vAlign w:val="center"/>
            <w:hideMark/>
          </w:tcPr>
          <w:p w14:paraId="45BEF26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4965E375" w14:textId="1712CB08"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SGP P.G </w:t>
            </w:r>
            <w:r w:rsidR="00B7406B" w:rsidRPr="009010DD">
              <w:rPr>
                <w:rFonts w:ascii="Century Gothic" w:eastAsia="Times New Roman" w:hAnsi="Century Gothic" w:cs="Calibri"/>
                <w:color w:val="000000"/>
                <w:sz w:val="18"/>
                <w:szCs w:val="18"/>
              </w:rPr>
              <w:t>Cultura</w:t>
            </w:r>
          </w:p>
        </w:tc>
        <w:tc>
          <w:tcPr>
            <w:tcW w:w="820" w:type="dxa"/>
            <w:shd w:val="clear" w:color="auto" w:fill="auto"/>
            <w:noWrap/>
            <w:vAlign w:val="center"/>
            <w:hideMark/>
          </w:tcPr>
          <w:p w14:paraId="64D3E661" w14:textId="591BB211"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303</w:t>
            </w:r>
          </w:p>
        </w:tc>
      </w:tr>
      <w:tr w:rsidR="00B7406B" w:rsidRPr="009010DD" w14:paraId="02C8AF5F" w14:textId="77777777" w:rsidTr="009010DD">
        <w:trPr>
          <w:trHeight w:val="20"/>
        </w:trPr>
        <w:tc>
          <w:tcPr>
            <w:tcW w:w="354" w:type="dxa"/>
            <w:vMerge/>
            <w:shd w:val="clear" w:color="auto" w:fill="C2D69B" w:themeFill="accent3" w:themeFillTint="99"/>
            <w:vAlign w:val="center"/>
            <w:hideMark/>
          </w:tcPr>
          <w:p w14:paraId="3C2423F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5183BD9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460D89BF"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106A4533"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57ED5CB7"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vAlign w:val="center"/>
            <w:hideMark/>
          </w:tcPr>
          <w:p w14:paraId="480AB23F" w14:textId="35ACBDE2" w:rsidR="001B58B4" w:rsidRPr="009010DD" w:rsidRDefault="00B7406B"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SGP </w:t>
            </w:r>
            <w:r w:rsidR="001B58B4" w:rsidRPr="009010DD">
              <w:rPr>
                <w:rFonts w:ascii="Century Gothic" w:eastAsia="Times New Roman" w:hAnsi="Century Gothic" w:cs="Calibri"/>
                <w:color w:val="000000"/>
                <w:sz w:val="18"/>
                <w:szCs w:val="18"/>
              </w:rPr>
              <w:t xml:space="preserve">P.G </w:t>
            </w:r>
            <w:r w:rsidRPr="009010DD">
              <w:rPr>
                <w:rFonts w:ascii="Century Gothic" w:eastAsia="Times New Roman" w:hAnsi="Century Gothic" w:cs="Calibri"/>
                <w:color w:val="000000"/>
                <w:sz w:val="18"/>
                <w:szCs w:val="18"/>
              </w:rPr>
              <w:t>Cultura</w:t>
            </w:r>
          </w:p>
        </w:tc>
        <w:tc>
          <w:tcPr>
            <w:tcW w:w="820" w:type="dxa"/>
            <w:shd w:val="clear" w:color="auto" w:fill="auto"/>
            <w:noWrap/>
            <w:vAlign w:val="center"/>
            <w:hideMark/>
          </w:tcPr>
          <w:p w14:paraId="5D64E597" w14:textId="731DC36D" w:rsidR="001B58B4" w:rsidRPr="009010DD" w:rsidRDefault="0024166B" w:rsidP="008C7EED">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2</w:t>
            </w:r>
            <w:r w:rsidR="008C7EED" w:rsidRPr="009010DD">
              <w:rPr>
                <w:rFonts w:ascii="Century Gothic" w:eastAsia="Times New Roman" w:hAnsi="Century Gothic" w:cs="Calibri"/>
                <w:color w:val="000000"/>
                <w:sz w:val="18"/>
                <w:szCs w:val="18"/>
              </w:rPr>
              <w:t>8</w:t>
            </w:r>
          </w:p>
        </w:tc>
      </w:tr>
      <w:tr w:rsidR="00B7406B" w:rsidRPr="009010DD" w14:paraId="3A6927BE" w14:textId="77777777" w:rsidTr="009010DD">
        <w:trPr>
          <w:trHeight w:val="20"/>
        </w:trPr>
        <w:tc>
          <w:tcPr>
            <w:tcW w:w="354" w:type="dxa"/>
            <w:vMerge w:val="restart"/>
            <w:shd w:val="clear" w:color="auto" w:fill="C2D69B" w:themeFill="accent3" w:themeFillTint="99"/>
            <w:noWrap/>
            <w:vAlign w:val="center"/>
            <w:hideMark/>
          </w:tcPr>
          <w:p w14:paraId="67FC76FF"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3</w:t>
            </w:r>
          </w:p>
        </w:tc>
        <w:tc>
          <w:tcPr>
            <w:tcW w:w="425" w:type="dxa"/>
            <w:vMerge w:val="restart"/>
            <w:shd w:val="clear" w:color="auto" w:fill="auto"/>
            <w:vAlign w:val="center"/>
            <w:hideMark/>
          </w:tcPr>
          <w:p w14:paraId="5B6E0A4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w:t>
            </w:r>
          </w:p>
        </w:tc>
        <w:tc>
          <w:tcPr>
            <w:tcW w:w="992" w:type="dxa"/>
            <w:vMerge w:val="restart"/>
            <w:shd w:val="clear" w:color="auto" w:fill="auto"/>
            <w:vAlign w:val="center"/>
            <w:hideMark/>
          </w:tcPr>
          <w:p w14:paraId="278D1704" w14:textId="44743250"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30/07/18</w:t>
            </w:r>
          </w:p>
        </w:tc>
        <w:tc>
          <w:tcPr>
            <w:tcW w:w="3261" w:type="dxa"/>
            <w:vMerge w:val="restart"/>
            <w:shd w:val="clear" w:color="auto" w:fill="auto"/>
            <w:vAlign w:val="center"/>
            <w:hideMark/>
          </w:tcPr>
          <w:p w14:paraId="6AB8CA65" w14:textId="73509453"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Mejoramiento y mantenimiento de la malla vial rural</w:t>
            </w:r>
          </w:p>
        </w:tc>
        <w:tc>
          <w:tcPr>
            <w:tcW w:w="992" w:type="dxa"/>
            <w:vMerge w:val="restart"/>
            <w:shd w:val="clear" w:color="auto" w:fill="auto"/>
            <w:vAlign w:val="center"/>
            <w:hideMark/>
          </w:tcPr>
          <w:p w14:paraId="4E396BA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0BE3627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 crédito</w:t>
            </w:r>
          </w:p>
        </w:tc>
        <w:tc>
          <w:tcPr>
            <w:tcW w:w="820" w:type="dxa"/>
            <w:shd w:val="clear" w:color="auto" w:fill="auto"/>
            <w:noWrap/>
            <w:vAlign w:val="center"/>
            <w:hideMark/>
          </w:tcPr>
          <w:p w14:paraId="2D449086" w14:textId="75572B36"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3</w:t>
            </w: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948</w:t>
            </w:r>
          </w:p>
        </w:tc>
      </w:tr>
      <w:tr w:rsidR="00B7406B" w:rsidRPr="009010DD" w14:paraId="284DAE70" w14:textId="77777777" w:rsidTr="009010DD">
        <w:trPr>
          <w:trHeight w:val="20"/>
        </w:trPr>
        <w:tc>
          <w:tcPr>
            <w:tcW w:w="354" w:type="dxa"/>
            <w:vMerge/>
            <w:shd w:val="clear" w:color="auto" w:fill="C2D69B" w:themeFill="accent3" w:themeFillTint="99"/>
            <w:vAlign w:val="center"/>
            <w:hideMark/>
          </w:tcPr>
          <w:p w14:paraId="6F266D4D"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303C158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0C131EA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548AFBFA"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72F17877"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vAlign w:val="center"/>
            <w:hideMark/>
          </w:tcPr>
          <w:p w14:paraId="34A7547C"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 crédito</w:t>
            </w:r>
          </w:p>
        </w:tc>
        <w:tc>
          <w:tcPr>
            <w:tcW w:w="820" w:type="dxa"/>
            <w:shd w:val="clear" w:color="auto" w:fill="auto"/>
            <w:noWrap/>
            <w:vAlign w:val="center"/>
            <w:hideMark/>
          </w:tcPr>
          <w:p w14:paraId="1260D811" w14:textId="2C21A896"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252</w:t>
            </w:r>
          </w:p>
        </w:tc>
      </w:tr>
      <w:tr w:rsidR="00B7406B" w:rsidRPr="009010DD" w14:paraId="374CC352" w14:textId="77777777" w:rsidTr="009010DD">
        <w:trPr>
          <w:trHeight w:val="20"/>
        </w:trPr>
        <w:tc>
          <w:tcPr>
            <w:tcW w:w="354" w:type="dxa"/>
            <w:vMerge/>
            <w:shd w:val="clear" w:color="auto" w:fill="C2D69B" w:themeFill="accent3" w:themeFillTint="99"/>
            <w:vAlign w:val="center"/>
            <w:hideMark/>
          </w:tcPr>
          <w:p w14:paraId="4729C33F"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2834297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7426C0E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0DC3F4A8"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318D791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vAlign w:val="center"/>
            <w:hideMark/>
          </w:tcPr>
          <w:p w14:paraId="1B6C548F"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 crédito</w:t>
            </w:r>
          </w:p>
        </w:tc>
        <w:tc>
          <w:tcPr>
            <w:tcW w:w="820" w:type="dxa"/>
            <w:shd w:val="clear" w:color="auto" w:fill="auto"/>
            <w:noWrap/>
            <w:vAlign w:val="center"/>
            <w:hideMark/>
          </w:tcPr>
          <w:p w14:paraId="25F4B191" w14:textId="224D409C"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w:t>
            </w:r>
            <w:r w:rsidR="001B58B4" w:rsidRPr="009010DD">
              <w:rPr>
                <w:rFonts w:ascii="Century Gothic" w:eastAsia="Times New Roman" w:hAnsi="Century Gothic" w:cs="Calibri"/>
                <w:color w:val="000000"/>
                <w:sz w:val="18"/>
                <w:szCs w:val="18"/>
              </w:rPr>
              <w:t>981</w:t>
            </w:r>
          </w:p>
        </w:tc>
      </w:tr>
      <w:tr w:rsidR="00B7406B" w:rsidRPr="009010DD" w14:paraId="1C5237EB" w14:textId="77777777" w:rsidTr="009010DD">
        <w:trPr>
          <w:trHeight w:val="20"/>
        </w:trPr>
        <w:tc>
          <w:tcPr>
            <w:tcW w:w="354" w:type="dxa"/>
            <w:vMerge/>
            <w:shd w:val="clear" w:color="auto" w:fill="C2D69B" w:themeFill="accent3" w:themeFillTint="99"/>
            <w:vAlign w:val="center"/>
            <w:hideMark/>
          </w:tcPr>
          <w:p w14:paraId="16EDEABF"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40535F9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5986817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18217DC3"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57E258E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vAlign w:val="center"/>
            <w:hideMark/>
          </w:tcPr>
          <w:p w14:paraId="2179CFE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 crédito</w:t>
            </w:r>
          </w:p>
        </w:tc>
        <w:tc>
          <w:tcPr>
            <w:tcW w:w="820" w:type="dxa"/>
            <w:shd w:val="clear" w:color="auto" w:fill="auto"/>
            <w:noWrap/>
            <w:vAlign w:val="center"/>
            <w:hideMark/>
          </w:tcPr>
          <w:p w14:paraId="59293139" w14:textId="08B46A68"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119</w:t>
            </w:r>
          </w:p>
        </w:tc>
      </w:tr>
      <w:tr w:rsidR="00B7406B" w:rsidRPr="009010DD" w14:paraId="5C0E5A49" w14:textId="77777777" w:rsidTr="009010DD">
        <w:trPr>
          <w:trHeight w:val="251"/>
        </w:trPr>
        <w:tc>
          <w:tcPr>
            <w:tcW w:w="354" w:type="dxa"/>
            <w:vMerge w:val="restart"/>
            <w:shd w:val="clear" w:color="auto" w:fill="C2D69B" w:themeFill="accent3" w:themeFillTint="99"/>
            <w:noWrap/>
            <w:vAlign w:val="center"/>
            <w:hideMark/>
          </w:tcPr>
          <w:p w14:paraId="1937EE8B"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4</w:t>
            </w:r>
          </w:p>
        </w:tc>
        <w:tc>
          <w:tcPr>
            <w:tcW w:w="425" w:type="dxa"/>
            <w:vMerge w:val="restart"/>
            <w:shd w:val="clear" w:color="auto" w:fill="auto"/>
            <w:vAlign w:val="center"/>
            <w:hideMark/>
          </w:tcPr>
          <w:p w14:paraId="11C6F881"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w:t>
            </w:r>
          </w:p>
        </w:tc>
        <w:tc>
          <w:tcPr>
            <w:tcW w:w="992" w:type="dxa"/>
            <w:vMerge w:val="restart"/>
            <w:shd w:val="clear" w:color="auto" w:fill="auto"/>
            <w:vAlign w:val="center"/>
            <w:hideMark/>
          </w:tcPr>
          <w:p w14:paraId="19383493" w14:textId="7877B716"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30/07/18</w:t>
            </w:r>
          </w:p>
        </w:tc>
        <w:tc>
          <w:tcPr>
            <w:tcW w:w="3261" w:type="dxa"/>
            <w:vMerge w:val="restart"/>
            <w:shd w:val="clear" w:color="auto" w:fill="auto"/>
            <w:vAlign w:val="center"/>
            <w:hideMark/>
          </w:tcPr>
          <w:p w14:paraId="1C45985D" w14:textId="3431CD2A"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Implementación de estrategias para la disminución del bajo</w:t>
            </w:r>
            <w:r w:rsidR="00D54630" w:rsidRPr="009010DD">
              <w:rPr>
                <w:rFonts w:ascii="Century Gothic" w:eastAsia="Times New Roman" w:hAnsi="Century Gothic" w:cs="Calibri"/>
                <w:color w:val="000000"/>
                <w:sz w:val="18"/>
                <w:szCs w:val="18"/>
              </w:rPr>
              <w:t xml:space="preserve"> peso al nacer en niños y niñas</w:t>
            </w:r>
            <w:r w:rsidRPr="009010DD">
              <w:rPr>
                <w:rFonts w:ascii="Century Gothic" w:eastAsia="Times New Roman" w:hAnsi="Century Gothic" w:cs="Calibri"/>
                <w:color w:val="000000"/>
                <w:sz w:val="18"/>
                <w:szCs w:val="18"/>
              </w:rPr>
              <w:t xml:space="preserve"> " </w:t>
            </w:r>
            <w:r w:rsidR="00B7406B" w:rsidRPr="009010DD">
              <w:rPr>
                <w:rFonts w:ascii="Century Gothic" w:eastAsia="Times New Roman" w:hAnsi="Century Gothic" w:cs="Calibri"/>
                <w:color w:val="000000"/>
                <w:sz w:val="18"/>
                <w:szCs w:val="18"/>
              </w:rPr>
              <w:t>Bien Nacer</w:t>
            </w:r>
            <w:r w:rsidRPr="009010DD">
              <w:rPr>
                <w:rFonts w:ascii="Century Gothic" w:eastAsia="Times New Roman" w:hAnsi="Century Gothic" w:cs="Calibri"/>
                <w:color w:val="000000"/>
                <w:sz w:val="18"/>
                <w:szCs w:val="18"/>
              </w:rPr>
              <w:t>" vigencia 2018</w:t>
            </w:r>
          </w:p>
        </w:tc>
        <w:tc>
          <w:tcPr>
            <w:tcW w:w="992" w:type="dxa"/>
            <w:vMerge w:val="restart"/>
            <w:shd w:val="clear" w:color="auto" w:fill="auto"/>
            <w:vAlign w:val="center"/>
            <w:hideMark/>
          </w:tcPr>
          <w:p w14:paraId="34F2DAA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vMerge w:val="restart"/>
            <w:shd w:val="clear" w:color="auto" w:fill="auto"/>
            <w:vAlign w:val="center"/>
            <w:hideMark/>
          </w:tcPr>
          <w:p w14:paraId="63BB6C0B" w14:textId="0DF810B0"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ecursos propios</w:t>
            </w:r>
          </w:p>
        </w:tc>
        <w:tc>
          <w:tcPr>
            <w:tcW w:w="820" w:type="dxa"/>
            <w:vMerge w:val="restart"/>
            <w:shd w:val="clear" w:color="auto" w:fill="auto"/>
            <w:noWrap/>
            <w:vAlign w:val="center"/>
            <w:hideMark/>
          </w:tcPr>
          <w:p w14:paraId="282CDC5B" w14:textId="5389E335"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8C7EED" w:rsidRPr="009010DD">
              <w:rPr>
                <w:rFonts w:ascii="Century Gothic" w:eastAsia="Times New Roman" w:hAnsi="Century Gothic" w:cs="Calibri"/>
                <w:color w:val="000000"/>
                <w:sz w:val="18"/>
                <w:szCs w:val="18"/>
              </w:rPr>
              <w:t>12</w:t>
            </w:r>
          </w:p>
        </w:tc>
      </w:tr>
      <w:tr w:rsidR="00B7406B" w:rsidRPr="009010DD" w14:paraId="3353F0BF" w14:textId="77777777" w:rsidTr="009010DD">
        <w:trPr>
          <w:trHeight w:val="251"/>
        </w:trPr>
        <w:tc>
          <w:tcPr>
            <w:tcW w:w="354" w:type="dxa"/>
            <w:vMerge/>
            <w:shd w:val="clear" w:color="auto" w:fill="C2D69B" w:themeFill="accent3" w:themeFillTint="99"/>
            <w:vAlign w:val="center"/>
            <w:hideMark/>
          </w:tcPr>
          <w:p w14:paraId="2DAA8A7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028E0EC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1ED9E08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27886F85"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382B1A2F"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vMerge/>
            <w:vAlign w:val="center"/>
            <w:hideMark/>
          </w:tcPr>
          <w:p w14:paraId="689840E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820" w:type="dxa"/>
            <w:vMerge/>
            <w:vAlign w:val="center"/>
            <w:hideMark/>
          </w:tcPr>
          <w:p w14:paraId="33FE06B4" w14:textId="77777777" w:rsidR="001B58B4" w:rsidRPr="009010DD" w:rsidRDefault="001B58B4" w:rsidP="00B7406B">
            <w:pPr>
              <w:spacing w:after="0" w:line="240" w:lineRule="auto"/>
              <w:jc w:val="right"/>
              <w:rPr>
                <w:rFonts w:ascii="Century Gothic" w:eastAsia="Times New Roman" w:hAnsi="Century Gothic" w:cs="Calibri"/>
                <w:color w:val="000000"/>
                <w:sz w:val="18"/>
                <w:szCs w:val="18"/>
              </w:rPr>
            </w:pPr>
          </w:p>
        </w:tc>
      </w:tr>
      <w:tr w:rsidR="00B7406B" w:rsidRPr="009010DD" w14:paraId="3996D702" w14:textId="77777777" w:rsidTr="009010DD">
        <w:trPr>
          <w:trHeight w:val="251"/>
        </w:trPr>
        <w:tc>
          <w:tcPr>
            <w:tcW w:w="354" w:type="dxa"/>
            <w:vMerge w:val="restart"/>
            <w:shd w:val="clear" w:color="auto" w:fill="C2D69B" w:themeFill="accent3" w:themeFillTint="99"/>
            <w:noWrap/>
            <w:vAlign w:val="center"/>
            <w:hideMark/>
          </w:tcPr>
          <w:p w14:paraId="3647A28F"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5</w:t>
            </w:r>
          </w:p>
        </w:tc>
        <w:tc>
          <w:tcPr>
            <w:tcW w:w="425" w:type="dxa"/>
            <w:vMerge w:val="restart"/>
            <w:shd w:val="clear" w:color="auto" w:fill="auto"/>
            <w:vAlign w:val="center"/>
            <w:hideMark/>
          </w:tcPr>
          <w:p w14:paraId="7534134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w:t>
            </w:r>
          </w:p>
        </w:tc>
        <w:tc>
          <w:tcPr>
            <w:tcW w:w="992" w:type="dxa"/>
            <w:vMerge w:val="restart"/>
            <w:shd w:val="clear" w:color="auto" w:fill="auto"/>
            <w:vAlign w:val="center"/>
            <w:hideMark/>
          </w:tcPr>
          <w:p w14:paraId="69D36D24" w14:textId="5DA38C6D"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30/07/18</w:t>
            </w:r>
          </w:p>
        </w:tc>
        <w:tc>
          <w:tcPr>
            <w:tcW w:w="3261" w:type="dxa"/>
            <w:vMerge w:val="restart"/>
            <w:shd w:val="clear" w:color="auto" w:fill="auto"/>
            <w:vAlign w:val="center"/>
            <w:hideMark/>
          </w:tcPr>
          <w:p w14:paraId="6F0EF7AF" w14:textId="30EE29FF"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Fortalecimient</w:t>
            </w:r>
            <w:r w:rsidR="00B7406B" w:rsidRPr="009010DD">
              <w:rPr>
                <w:rFonts w:ascii="Century Gothic" w:eastAsia="Times New Roman" w:hAnsi="Century Gothic" w:cs="Calibri"/>
                <w:color w:val="000000"/>
                <w:sz w:val="18"/>
                <w:szCs w:val="18"/>
              </w:rPr>
              <w:t>o administrativo de la Secretarí</w:t>
            </w:r>
            <w:r w:rsidRPr="009010DD">
              <w:rPr>
                <w:rFonts w:ascii="Century Gothic" w:eastAsia="Times New Roman" w:hAnsi="Century Gothic" w:cs="Calibri"/>
                <w:color w:val="000000"/>
                <w:sz w:val="18"/>
                <w:szCs w:val="18"/>
              </w:rPr>
              <w:t xml:space="preserve">a </w:t>
            </w:r>
            <w:r w:rsidR="00B7406B" w:rsidRPr="009010DD">
              <w:rPr>
                <w:rFonts w:ascii="Century Gothic" w:eastAsia="Times New Roman" w:hAnsi="Century Gothic" w:cs="Calibri"/>
                <w:color w:val="000000"/>
                <w:sz w:val="18"/>
                <w:szCs w:val="18"/>
              </w:rPr>
              <w:t xml:space="preserve">municipal </w:t>
            </w:r>
            <w:r w:rsidRPr="009010DD">
              <w:rPr>
                <w:rFonts w:ascii="Century Gothic" w:eastAsia="Times New Roman" w:hAnsi="Century Gothic" w:cs="Calibri"/>
                <w:color w:val="000000"/>
                <w:sz w:val="18"/>
                <w:szCs w:val="18"/>
              </w:rPr>
              <w:t>de Salud</w:t>
            </w:r>
          </w:p>
        </w:tc>
        <w:tc>
          <w:tcPr>
            <w:tcW w:w="992" w:type="dxa"/>
            <w:vMerge w:val="restart"/>
            <w:shd w:val="clear" w:color="auto" w:fill="auto"/>
            <w:vAlign w:val="center"/>
            <w:hideMark/>
          </w:tcPr>
          <w:p w14:paraId="2C40ED3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vMerge w:val="restart"/>
            <w:shd w:val="clear" w:color="auto" w:fill="auto"/>
            <w:vAlign w:val="center"/>
            <w:hideMark/>
          </w:tcPr>
          <w:p w14:paraId="51D8F507" w14:textId="4DE4F0DC"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ecursos propios</w:t>
            </w:r>
          </w:p>
        </w:tc>
        <w:tc>
          <w:tcPr>
            <w:tcW w:w="820" w:type="dxa"/>
            <w:vMerge w:val="restart"/>
            <w:shd w:val="clear" w:color="auto" w:fill="auto"/>
            <w:noWrap/>
            <w:vAlign w:val="center"/>
            <w:hideMark/>
          </w:tcPr>
          <w:p w14:paraId="0B3CE12B" w14:textId="21C22851"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116</w:t>
            </w:r>
          </w:p>
        </w:tc>
      </w:tr>
      <w:tr w:rsidR="00B7406B" w:rsidRPr="009010DD" w14:paraId="03FC8446" w14:textId="77777777" w:rsidTr="009010DD">
        <w:trPr>
          <w:trHeight w:val="251"/>
        </w:trPr>
        <w:tc>
          <w:tcPr>
            <w:tcW w:w="354" w:type="dxa"/>
            <w:vMerge/>
            <w:shd w:val="clear" w:color="auto" w:fill="C2D69B" w:themeFill="accent3" w:themeFillTint="99"/>
            <w:vAlign w:val="center"/>
            <w:hideMark/>
          </w:tcPr>
          <w:p w14:paraId="6AC33DE4"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5F2A4FAF"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753FD01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2C1E7180"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26F4F41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vMerge/>
            <w:vAlign w:val="center"/>
            <w:hideMark/>
          </w:tcPr>
          <w:p w14:paraId="1E4435B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820" w:type="dxa"/>
            <w:vMerge/>
            <w:vAlign w:val="center"/>
            <w:hideMark/>
          </w:tcPr>
          <w:p w14:paraId="39CCE1BB" w14:textId="77777777" w:rsidR="001B58B4" w:rsidRPr="009010DD" w:rsidRDefault="001B58B4" w:rsidP="00B7406B">
            <w:pPr>
              <w:spacing w:after="0" w:line="240" w:lineRule="auto"/>
              <w:jc w:val="right"/>
              <w:rPr>
                <w:rFonts w:ascii="Century Gothic" w:eastAsia="Times New Roman" w:hAnsi="Century Gothic" w:cs="Calibri"/>
                <w:color w:val="000000"/>
                <w:sz w:val="18"/>
                <w:szCs w:val="18"/>
              </w:rPr>
            </w:pPr>
          </w:p>
        </w:tc>
      </w:tr>
      <w:tr w:rsidR="00B7406B" w:rsidRPr="009010DD" w14:paraId="77009C4B" w14:textId="77777777" w:rsidTr="009010DD">
        <w:trPr>
          <w:trHeight w:val="251"/>
        </w:trPr>
        <w:tc>
          <w:tcPr>
            <w:tcW w:w="354" w:type="dxa"/>
            <w:vMerge w:val="restart"/>
            <w:shd w:val="clear" w:color="auto" w:fill="C2D69B" w:themeFill="accent3" w:themeFillTint="99"/>
            <w:noWrap/>
            <w:vAlign w:val="center"/>
            <w:hideMark/>
          </w:tcPr>
          <w:p w14:paraId="096B33E5"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6</w:t>
            </w:r>
          </w:p>
        </w:tc>
        <w:tc>
          <w:tcPr>
            <w:tcW w:w="425" w:type="dxa"/>
            <w:vMerge w:val="restart"/>
            <w:shd w:val="clear" w:color="auto" w:fill="auto"/>
            <w:vAlign w:val="center"/>
            <w:hideMark/>
          </w:tcPr>
          <w:p w14:paraId="70B2901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17</w:t>
            </w:r>
          </w:p>
        </w:tc>
        <w:tc>
          <w:tcPr>
            <w:tcW w:w="992" w:type="dxa"/>
            <w:vMerge w:val="restart"/>
            <w:shd w:val="clear" w:color="auto" w:fill="auto"/>
            <w:vAlign w:val="center"/>
            <w:hideMark/>
          </w:tcPr>
          <w:p w14:paraId="0D4E892B" w14:textId="0242B02E"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30/05/18</w:t>
            </w:r>
          </w:p>
        </w:tc>
        <w:tc>
          <w:tcPr>
            <w:tcW w:w="3261" w:type="dxa"/>
            <w:vMerge w:val="restart"/>
            <w:shd w:val="clear" w:color="auto" w:fill="auto"/>
            <w:vAlign w:val="center"/>
            <w:hideMark/>
          </w:tcPr>
          <w:p w14:paraId="18F0DCC3"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Sistema Estratégico de Transporte Público – SETP</w:t>
            </w:r>
          </w:p>
        </w:tc>
        <w:tc>
          <w:tcPr>
            <w:tcW w:w="992" w:type="dxa"/>
            <w:vMerge w:val="restart"/>
            <w:shd w:val="clear" w:color="auto" w:fill="auto"/>
            <w:vAlign w:val="center"/>
            <w:hideMark/>
          </w:tcPr>
          <w:p w14:paraId="6B51E9C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vMerge w:val="restart"/>
            <w:shd w:val="clear" w:color="auto" w:fill="auto"/>
            <w:vAlign w:val="center"/>
            <w:hideMark/>
          </w:tcPr>
          <w:p w14:paraId="40822EF7" w14:textId="4A6A1854"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ecursos propios, sobretasa a la gasolina,</w:t>
            </w:r>
          </w:p>
        </w:tc>
        <w:tc>
          <w:tcPr>
            <w:tcW w:w="820" w:type="dxa"/>
            <w:vMerge w:val="restart"/>
            <w:shd w:val="clear" w:color="auto" w:fill="auto"/>
            <w:noWrap/>
            <w:vAlign w:val="center"/>
            <w:hideMark/>
          </w:tcPr>
          <w:p w14:paraId="5D509212" w14:textId="30916366"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$12.</w:t>
            </w:r>
            <w:r w:rsidR="001B58B4" w:rsidRPr="009010DD">
              <w:rPr>
                <w:rFonts w:ascii="Century Gothic" w:eastAsia="Times New Roman" w:hAnsi="Century Gothic" w:cs="Calibri"/>
                <w:color w:val="000000"/>
                <w:sz w:val="18"/>
                <w:szCs w:val="18"/>
              </w:rPr>
              <w:t>100</w:t>
            </w:r>
          </w:p>
        </w:tc>
      </w:tr>
      <w:tr w:rsidR="00B7406B" w:rsidRPr="009010DD" w14:paraId="132A1C85" w14:textId="77777777" w:rsidTr="009010DD">
        <w:trPr>
          <w:trHeight w:val="251"/>
        </w:trPr>
        <w:tc>
          <w:tcPr>
            <w:tcW w:w="354" w:type="dxa"/>
            <w:vMerge/>
            <w:shd w:val="clear" w:color="auto" w:fill="C2D69B" w:themeFill="accent3" w:themeFillTint="99"/>
            <w:vAlign w:val="center"/>
            <w:hideMark/>
          </w:tcPr>
          <w:p w14:paraId="6D78EEB1"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5369E97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212E937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12DBDACE"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1765C88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vMerge/>
            <w:vAlign w:val="center"/>
            <w:hideMark/>
          </w:tcPr>
          <w:p w14:paraId="36C9FB7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820" w:type="dxa"/>
            <w:vMerge/>
            <w:vAlign w:val="center"/>
            <w:hideMark/>
          </w:tcPr>
          <w:p w14:paraId="7DC1E98F" w14:textId="77777777" w:rsidR="001B58B4" w:rsidRPr="009010DD" w:rsidRDefault="001B58B4" w:rsidP="00B7406B">
            <w:pPr>
              <w:spacing w:after="0" w:line="240" w:lineRule="auto"/>
              <w:jc w:val="right"/>
              <w:rPr>
                <w:rFonts w:ascii="Century Gothic" w:eastAsia="Times New Roman" w:hAnsi="Century Gothic" w:cs="Calibri"/>
                <w:color w:val="000000"/>
                <w:sz w:val="18"/>
                <w:szCs w:val="18"/>
              </w:rPr>
            </w:pPr>
          </w:p>
        </w:tc>
      </w:tr>
      <w:tr w:rsidR="00B7406B" w:rsidRPr="009010DD" w14:paraId="4294ECAE" w14:textId="77777777" w:rsidTr="009010DD">
        <w:trPr>
          <w:trHeight w:val="20"/>
        </w:trPr>
        <w:tc>
          <w:tcPr>
            <w:tcW w:w="354" w:type="dxa"/>
            <w:vMerge w:val="restart"/>
            <w:shd w:val="clear" w:color="auto" w:fill="C2D69B" w:themeFill="accent3" w:themeFillTint="99"/>
            <w:noWrap/>
            <w:vAlign w:val="center"/>
            <w:hideMark/>
          </w:tcPr>
          <w:p w14:paraId="5194E0AC"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7</w:t>
            </w:r>
          </w:p>
        </w:tc>
        <w:tc>
          <w:tcPr>
            <w:tcW w:w="425" w:type="dxa"/>
            <w:vMerge w:val="restart"/>
            <w:shd w:val="clear" w:color="auto" w:fill="auto"/>
            <w:vAlign w:val="center"/>
            <w:hideMark/>
          </w:tcPr>
          <w:p w14:paraId="577C15D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19</w:t>
            </w:r>
          </w:p>
        </w:tc>
        <w:tc>
          <w:tcPr>
            <w:tcW w:w="992" w:type="dxa"/>
            <w:vMerge w:val="restart"/>
            <w:shd w:val="clear" w:color="auto" w:fill="auto"/>
            <w:vAlign w:val="center"/>
            <w:hideMark/>
          </w:tcPr>
          <w:p w14:paraId="4E5E3CB5" w14:textId="2E223330"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15/06/18</w:t>
            </w:r>
          </w:p>
        </w:tc>
        <w:tc>
          <w:tcPr>
            <w:tcW w:w="3261" w:type="dxa"/>
            <w:vMerge w:val="restart"/>
            <w:shd w:val="clear" w:color="auto" w:fill="auto"/>
            <w:vAlign w:val="center"/>
            <w:hideMark/>
          </w:tcPr>
          <w:p w14:paraId="104BCBAA" w14:textId="3985C4E4"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Fortalecimiento</w:t>
            </w:r>
            <w:r w:rsidR="0024166B" w:rsidRPr="009010DD">
              <w:rPr>
                <w:rFonts w:ascii="Century Gothic" w:eastAsia="Times New Roman" w:hAnsi="Century Gothic" w:cs="Calibri"/>
                <w:color w:val="000000"/>
                <w:sz w:val="18"/>
                <w:szCs w:val="18"/>
              </w:rPr>
              <w:t xml:space="preserve"> </w:t>
            </w:r>
            <w:r w:rsidRPr="009010DD">
              <w:rPr>
                <w:rFonts w:ascii="Century Gothic" w:eastAsia="Times New Roman" w:hAnsi="Century Gothic" w:cs="Calibri"/>
                <w:color w:val="000000"/>
                <w:sz w:val="18"/>
                <w:szCs w:val="18"/>
              </w:rPr>
              <w:t>de las TIC, en</w:t>
            </w:r>
            <w:r w:rsidR="0024166B" w:rsidRPr="009010DD">
              <w:rPr>
                <w:rFonts w:ascii="Century Gothic" w:eastAsia="Times New Roman" w:hAnsi="Century Gothic" w:cs="Calibri"/>
                <w:color w:val="000000"/>
                <w:sz w:val="18"/>
                <w:szCs w:val="18"/>
              </w:rPr>
              <w:t xml:space="preserve"> los establecimientos educativos</w:t>
            </w:r>
          </w:p>
        </w:tc>
        <w:tc>
          <w:tcPr>
            <w:tcW w:w="992" w:type="dxa"/>
            <w:vMerge w:val="restart"/>
            <w:shd w:val="clear" w:color="auto" w:fill="auto"/>
            <w:vAlign w:val="center"/>
            <w:hideMark/>
          </w:tcPr>
          <w:p w14:paraId="46D0FF6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5AE36A5C" w14:textId="549F0DD4"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SGP Educación conectividad</w:t>
            </w:r>
          </w:p>
        </w:tc>
        <w:tc>
          <w:tcPr>
            <w:tcW w:w="820" w:type="dxa"/>
            <w:shd w:val="clear" w:color="auto" w:fill="auto"/>
            <w:noWrap/>
            <w:vAlign w:val="center"/>
            <w:hideMark/>
          </w:tcPr>
          <w:p w14:paraId="617437FE" w14:textId="4A27128B" w:rsidR="001B58B4" w:rsidRPr="009010DD" w:rsidRDefault="0024166B" w:rsidP="008C7EED">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4</w:t>
            </w:r>
            <w:r w:rsidR="008C7EED" w:rsidRPr="009010DD">
              <w:rPr>
                <w:rFonts w:ascii="Century Gothic" w:eastAsia="Times New Roman" w:hAnsi="Century Gothic" w:cs="Calibri"/>
                <w:color w:val="000000"/>
                <w:sz w:val="18"/>
                <w:szCs w:val="18"/>
              </w:rPr>
              <w:t>4</w:t>
            </w:r>
          </w:p>
        </w:tc>
      </w:tr>
      <w:tr w:rsidR="00B7406B" w:rsidRPr="009010DD" w14:paraId="2401729A" w14:textId="77777777" w:rsidTr="009010DD">
        <w:trPr>
          <w:trHeight w:val="20"/>
        </w:trPr>
        <w:tc>
          <w:tcPr>
            <w:tcW w:w="354" w:type="dxa"/>
            <w:vMerge/>
            <w:shd w:val="clear" w:color="auto" w:fill="C2D69B" w:themeFill="accent3" w:themeFillTint="99"/>
            <w:vAlign w:val="center"/>
            <w:hideMark/>
          </w:tcPr>
          <w:p w14:paraId="6648AE25"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0D4DA09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761701A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6BA6FEA4"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0083C26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vAlign w:val="center"/>
            <w:hideMark/>
          </w:tcPr>
          <w:p w14:paraId="59C5C7C0" w14:textId="7E1DE3ED"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de desahorro </w:t>
            </w:r>
            <w:r w:rsidR="00D54630" w:rsidRPr="009010DD">
              <w:rPr>
                <w:rFonts w:ascii="Century Gothic" w:eastAsia="Times New Roman" w:hAnsi="Century Gothic" w:cs="Calibri"/>
                <w:color w:val="000000"/>
                <w:sz w:val="18"/>
                <w:szCs w:val="18"/>
              </w:rPr>
              <w:t>FONPET</w:t>
            </w:r>
          </w:p>
        </w:tc>
        <w:tc>
          <w:tcPr>
            <w:tcW w:w="820" w:type="dxa"/>
            <w:shd w:val="clear" w:color="auto" w:fill="auto"/>
            <w:noWrap/>
            <w:vAlign w:val="center"/>
            <w:hideMark/>
          </w:tcPr>
          <w:p w14:paraId="138D04E5" w14:textId="4A44346D"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600</w:t>
            </w:r>
          </w:p>
        </w:tc>
      </w:tr>
      <w:tr w:rsidR="00B7406B" w:rsidRPr="009010DD" w14:paraId="321CA43C" w14:textId="77777777" w:rsidTr="009010DD">
        <w:trPr>
          <w:trHeight w:val="251"/>
        </w:trPr>
        <w:tc>
          <w:tcPr>
            <w:tcW w:w="354" w:type="dxa"/>
            <w:vMerge w:val="restart"/>
            <w:shd w:val="clear" w:color="auto" w:fill="C2D69B" w:themeFill="accent3" w:themeFillTint="99"/>
            <w:noWrap/>
            <w:vAlign w:val="center"/>
            <w:hideMark/>
          </w:tcPr>
          <w:p w14:paraId="66963444"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8</w:t>
            </w:r>
          </w:p>
        </w:tc>
        <w:tc>
          <w:tcPr>
            <w:tcW w:w="425" w:type="dxa"/>
            <w:vMerge w:val="restart"/>
            <w:shd w:val="clear" w:color="auto" w:fill="auto"/>
            <w:vAlign w:val="center"/>
            <w:hideMark/>
          </w:tcPr>
          <w:p w14:paraId="2B6008F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19</w:t>
            </w:r>
          </w:p>
        </w:tc>
        <w:tc>
          <w:tcPr>
            <w:tcW w:w="992" w:type="dxa"/>
            <w:vMerge w:val="restart"/>
            <w:shd w:val="clear" w:color="auto" w:fill="auto"/>
            <w:vAlign w:val="center"/>
            <w:hideMark/>
          </w:tcPr>
          <w:p w14:paraId="1E45CE85" w14:textId="6EDED258"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15/06/18</w:t>
            </w:r>
          </w:p>
        </w:tc>
        <w:tc>
          <w:tcPr>
            <w:tcW w:w="3261" w:type="dxa"/>
            <w:vMerge w:val="restart"/>
            <w:shd w:val="clear" w:color="auto" w:fill="auto"/>
            <w:vAlign w:val="center"/>
            <w:hideMark/>
          </w:tcPr>
          <w:p w14:paraId="77107A69" w14:textId="06135441" w:rsidR="001B58B4" w:rsidRPr="009010DD" w:rsidRDefault="0024166B"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Fortalecimiento </w:t>
            </w:r>
            <w:r w:rsidR="001B58B4" w:rsidRPr="009010DD">
              <w:rPr>
                <w:rFonts w:ascii="Century Gothic" w:eastAsia="Times New Roman" w:hAnsi="Century Gothic" w:cs="Calibri"/>
                <w:color w:val="000000"/>
                <w:sz w:val="18"/>
                <w:szCs w:val="18"/>
              </w:rPr>
              <w:t xml:space="preserve">de las </w:t>
            </w:r>
            <w:r w:rsidRPr="009010DD">
              <w:rPr>
                <w:rFonts w:ascii="Century Gothic" w:eastAsia="Times New Roman" w:hAnsi="Century Gothic" w:cs="Calibri"/>
                <w:color w:val="000000"/>
                <w:sz w:val="18"/>
                <w:szCs w:val="18"/>
              </w:rPr>
              <w:t>TIC</w:t>
            </w:r>
            <w:r w:rsidR="001B58B4" w:rsidRPr="009010DD">
              <w:rPr>
                <w:rFonts w:ascii="Century Gothic" w:eastAsia="Times New Roman" w:hAnsi="Century Gothic" w:cs="Calibri"/>
                <w:color w:val="000000"/>
                <w:sz w:val="18"/>
                <w:szCs w:val="18"/>
              </w:rPr>
              <w:t>, en</w:t>
            </w:r>
            <w:r w:rsidRPr="009010DD">
              <w:rPr>
                <w:rFonts w:ascii="Century Gothic" w:eastAsia="Times New Roman" w:hAnsi="Century Gothic" w:cs="Calibri"/>
                <w:color w:val="000000"/>
                <w:sz w:val="18"/>
                <w:szCs w:val="18"/>
              </w:rPr>
              <w:t xml:space="preserve"> los establecimientos educativos (interventoría)</w:t>
            </w:r>
          </w:p>
        </w:tc>
        <w:tc>
          <w:tcPr>
            <w:tcW w:w="992" w:type="dxa"/>
            <w:vMerge w:val="restart"/>
            <w:shd w:val="clear" w:color="auto" w:fill="auto"/>
            <w:vAlign w:val="center"/>
            <w:hideMark/>
          </w:tcPr>
          <w:p w14:paraId="4E3513E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vMerge w:val="restart"/>
            <w:shd w:val="clear" w:color="auto" w:fill="auto"/>
            <w:noWrap/>
            <w:vAlign w:val="center"/>
            <w:hideMark/>
          </w:tcPr>
          <w:p w14:paraId="6548F482" w14:textId="205C01CC"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 xml:space="preserve">ecursos de desahorro </w:t>
            </w:r>
            <w:r w:rsidR="00D54630" w:rsidRPr="009010DD">
              <w:rPr>
                <w:rFonts w:ascii="Century Gothic" w:eastAsia="Times New Roman" w:hAnsi="Century Gothic" w:cs="Calibri"/>
                <w:color w:val="000000"/>
                <w:sz w:val="18"/>
                <w:szCs w:val="18"/>
              </w:rPr>
              <w:t>FONPET</w:t>
            </w:r>
          </w:p>
        </w:tc>
        <w:tc>
          <w:tcPr>
            <w:tcW w:w="820" w:type="dxa"/>
            <w:vMerge w:val="restart"/>
            <w:shd w:val="clear" w:color="auto" w:fill="auto"/>
            <w:noWrap/>
            <w:vAlign w:val="center"/>
            <w:hideMark/>
          </w:tcPr>
          <w:p w14:paraId="3AD90188" w14:textId="42010612"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40</w:t>
            </w:r>
          </w:p>
        </w:tc>
      </w:tr>
      <w:tr w:rsidR="00B7406B" w:rsidRPr="009010DD" w14:paraId="5B752B91" w14:textId="77777777" w:rsidTr="009010DD">
        <w:trPr>
          <w:trHeight w:val="251"/>
        </w:trPr>
        <w:tc>
          <w:tcPr>
            <w:tcW w:w="354" w:type="dxa"/>
            <w:vMerge/>
            <w:shd w:val="clear" w:color="auto" w:fill="C2D69B" w:themeFill="accent3" w:themeFillTint="99"/>
            <w:vAlign w:val="center"/>
            <w:hideMark/>
          </w:tcPr>
          <w:p w14:paraId="0FD565DF"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08B1C7D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274C8D4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3ED48E2C"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7B5EFC5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vMerge/>
            <w:vAlign w:val="center"/>
            <w:hideMark/>
          </w:tcPr>
          <w:p w14:paraId="06042F1D"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820" w:type="dxa"/>
            <w:vMerge/>
            <w:vAlign w:val="center"/>
            <w:hideMark/>
          </w:tcPr>
          <w:p w14:paraId="69902F58" w14:textId="77777777" w:rsidR="001B58B4" w:rsidRPr="009010DD" w:rsidRDefault="001B58B4" w:rsidP="00B7406B">
            <w:pPr>
              <w:spacing w:after="0" w:line="240" w:lineRule="auto"/>
              <w:jc w:val="right"/>
              <w:rPr>
                <w:rFonts w:ascii="Century Gothic" w:eastAsia="Times New Roman" w:hAnsi="Century Gothic" w:cs="Calibri"/>
                <w:color w:val="000000"/>
                <w:sz w:val="18"/>
                <w:szCs w:val="18"/>
              </w:rPr>
            </w:pPr>
          </w:p>
        </w:tc>
      </w:tr>
      <w:tr w:rsidR="00B7406B" w:rsidRPr="009010DD" w14:paraId="1A9342F6" w14:textId="77777777" w:rsidTr="009010DD">
        <w:trPr>
          <w:cantSplit/>
          <w:trHeight w:val="58"/>
        </w:trPr>
        <w:tc>
          <w:tcPr>
            <w:tcW w:w="354" w:type="dxa"/>
            <w:shd w:val="clear" w:color="auto" w:fill="C2D69B" w:themeFill="accent3" w:themeFillTint="99"/>
            <w:vAlign w:val="center"/>
            <w:hideMark/>
          </w:tcPr>
          <w:p w14:paraId="39154965"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9</w:t>
            </w:r>
          </w:p>
        </w:tc>
        <w:tc>
          <w:tcPr>
            <w:tcW w:w="425" w:type="dxa"/>
            <w:shd w:val="clear" w:color="auto" w:fill="auto"/>
            <w:vAlign w:val="center"/>
            <w:hideMark/>
          </w:tcPr>
          <w:p w14:paraId="00AD7AD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1A4F3B97" w14:textId="360057BC" w:rsidR="001B58B4" w:rsidRPr="009010DD" w:rsidRDefault="003F5945"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w:t>
            </w:r>
            <w:r w:rsidR="001B58B4" w:rsidRPr="009010DD">
              <w:rPr>
                <w:rFonts w:ascii="Century Gothic" w:eastAsia="Times New Roman" w:hAnsi="Century Gothic" w:cs="Calibri"/>
                <w:color w:val="000000"/>
                <w:sz w:val="18"/>
                <w:szCs w:val="18"/>
              </w:rPr>
              <w:t>18</w:t>
            </w:r>
          </w:p>
        </w:tc>
        <w:tc>
          <w:tcPr>
            <w:tcW w:w="3261" w:type="dxa"/>
            <w:shd w:val="clear" w:color="auto" w:fill="auto"/>
            <w:noWrap/>
            <w:vAlign w:val="center"/>
            <w:hideMark/>
          </w:tcPr>
          <w:p w14:paraId="6CADD863" w14:textId="3C52C6BE"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Asistencia y orientación a población víctima de la violencia del conflicto armado</w:t>
            </w:r>
          </w:p>
        </w:tc>
        <w:tc>
          <w:tcPr>
            <w:tcW w:w="992" w:type="dxa"/>
            <w:shd w:val="clear" w:color="auto" w:fill="auto"/>
            <w:noWrap/>
            <w:vAlign w:val="center"/>
            <w:hideMark/>
          </w:tcPr>
          <w:p w14:paraId="64532CB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65E722FF"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vAlign w:val="center"/>
            <w:hideMark/>
          </w:tcPr>
          <w:p w14:paraId="6F368B84" w14:textId="3F140537" w:rsidR="001B58B4" w:rsidRPr="009010DD" w:rsidRDefault="0024166B"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8C7EED" w:rsidRPr="009010DD">
              <w:rPr>
                <w:rFonts w:ascii="Century Gothic" w:eastAsia="Times New Roman" w:hAnsi="Century Gothic" w:cs="Calibri"/>
                <w:color w:val="000000"/>
                <w:sz w:val="18"/>
                <w:szCs w:val="18"/>
              </w:rPr>
              <w:t>606</w:t>
            </w:r>
          </w:p>
        </w:tc>
      </w:tr>
      <w:tr w:rsidR="00B7406B" w:rsidRPr="009010DD" w14:paraId="7459ACD3" w14:textId="77777777" w:rsidTr="009010DD">
        <w:trPr>
          <w:cantSplit/>
          <w:trHeight w:val="58"/>
        </w:trPr>
        <w:tc>
          <w:tcPr>
            <w:tcW w:w="354" w:type="dxa"/>
            <w:shd w:val="clear" w:color="auto" w:fill="C2D69B" w:themeFill="accent3" w:themeFillTint="99"/>
            <w:noWrap/>
            <w:vAlign w:val="center"/>
            <w:hideMark/>
          </w:tcPr>
          <w:p w14:paraId="1E7CA286"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10</w:t>
            </w:r>
          </w:p>
        </w:tc>
        <w:tc>
          <w:tcPr>
            <w:tcW w:w="425" w:type="dxa"/>
            <w:shd w:val="clear" w:color="auto" w:fill="auto"/>
            <w:noWrap/>
            <w:vAlign w:val="center"/>
            <w:hideMark/>
          </w:tcPr>
          <w:p w14:paraId="2E73A94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2631BDEB" w14:textId="201D24B9"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noWrap/>
            <w:vAlign w:val="center"/>
            <w:hideMark/>
          </w:tcPr>
          <w:p w14:paraId="5D4FB1E4" w14:textId="4E9F3792"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Apoyo a la operatividad de la </w:t>
            </w:r>
            <w:r w:rsidR="0024166B" w:rsidRPr="009010DD">
              <w:rPr>
                <w:rFonts w:ascii="Century Gothic" w:eastAsia="Times New Roman" w:hAnsi="Century Gothic" w:cs="Calibri"/>
                <w:color w:val="000000"/>
                <w:sz w:val="18"/>
                <w:szCs w:val="18"/>
              </w:rPr>
              <w:t>Policía Metropolitana</w:t>
            </w:r>
          </w:p>
        </w:tc>
        <w:tc>
          <w:tcPr>
            <w:tcW w:w="992" w:type="dxa"/>
            <w:shd w:val="clear" w:color="auto" w:fill="auto"/>
            <w:noWrap/>
            <w:vAlign w:val="center"/>
            <w:hideMark/>
          </w:tcPr>
          <w:p w14:paraId="556869A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21A9B56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del Fondo de Seguridad</w:t>
            </w:r>
          </w:p>
        </w:tc>
        <w:tc>
          <w:tcPr>
            <w:tcW w:w="820" w:type="dxa"/>
            <w:shd w:val="clear" w:color="auto" w:fill="auto"/>
            <w:vAlign w:val="center"/>
            <w:hideMark/>
          </w:tcPr>
          <w:p w14:paraId="06A14827" w14:textId="4D23BFFE"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$100</w:t>
            </w:r>
          </w:p>
        </w:tc>
      </w:tr>
      <w:tr w:rsidR="00B7406B" w:rsidRPr="009010DD" w14:paraId="0B7407C0" w14:textId="77777777" w:rsidTr="009010DD">
        <w:trPr>
          <w:cantSplit/>
          <w:trHeight w:val="58"/>
        </w:trPr>
        <w:tc>
          <w:tcPr>
            <w:tcW w:w="354" w:type="dxa"/>
            <w:shd w:val="clear" w:color="auto" w:fill="C2D69B" w:themeFill="accent3" w:themeFillTint="99"/>
            <w:vAlign w:val="center"/>
            <w:hideMark/>
          </w:tcPr>
          <w:p w14:paraId="2F47FE6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11</w:t>
            </w:r>
          </w:p>
        </w:tc>
        <w:tc>
          <w:tcPr>
            <w:tcW w:w="425" w:type="dxa"/>
            <w:shd w:val="clear" w:color="auto" w:fill="auto"/>
            <w:vAlign w:val="center"/>
            <w:hideMark/>
          </w:tcPr>
          <w:p w14:paraId="77F6C67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5128033E" w14:textId="13DFB6DF"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noWrap/>
            <w:vAlign w:val="center"/>
            <w:hideMark/>
          </w:tcPr>
          <w:p w14:paraId="071136B9" w14:textId="6F8958F3"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Fortalecimiento de la convivencia en el </w:t>
            </w:r>
            <w:r w:rsidR="0024166B" w:rsidRPr="009010DD">
              <w:rPr>
                <w:rFonts w:ascii="Century Gothic" w:eastAsia="Times New Roman" w:hAnsi="Century Gothic" w:cs="Calibri"/>
                <w:color w:val="000000"/>
                <w:sz w:val="18"/>
                <w:szCs w:val="18"/>
              </w:rPr>
              <w:t xml:space="preserve">municipio </w:t>
            </w:r>
            <w:r w:rsidRPr="009010DD">
              <w:rPr>
                <w:rFonts w:ascii="Century Gothic" w:eastAsia="Times New Roman" w:hAnsi="Century Gothic" w:cs="Calibri"/>
                <w:color w:val="000000"/>
                <w:sz w:val="18"/>
                <w:szCs w:val="18"/>
              </w:rPr>
              <w:t>de Pasto</w:t>
            </w:r>
          </w:p>
        </w:tc>
        <w:tc>
          <w:tcPr>
            <w:tcW w:w="992" w:type="dxa"/>
            <w:shd w:val="clear" w:color="auto" w:fill="auto"/>
            <w:noWrap/>
            <w:vAlign w:val="center"/>
            <w:hideMark/>
          </w:tcPr>
          <w:p w14:paraId="3A6CF87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01852CAD"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vAlign w:val="center"/>
            <w:hideMark/>
          </w:tcPr>
          <w:p w14:paraId="6D0F9FD8" w14:textId="03264EC7"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$268</w:t>
            </w:r>
          </w:p>
        </w:tc>
      </w:tr>
      <w:tr w:rsidR="00B7406B" w:rsidRPr="009010DD" w14:paraId="0A9FE2E8" w14:textId="77777777" w:rsidTr="009010DD">
        <w:trPr>
          <w:cantSplit/>
          <w:trHeight w:val="451"/>
        </w:trPr>
        <w:tc>
          <w:tcPr>
            <w:tcW w:w="354" w:type="dxa"/>
            <w:shd w:val="clear" w:color="auto" w:fill="C2D69B" w:themeFill="accent3" w:themeFillTint="99"/>
            <w:noWrap/>
            <w:vAlign w:val="center"/>
            <w:hideMark/>
          </w:tcPr>
          <w:p w14:paraId="7D5A0D5D"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12</w:t>
            </w:r>
          </w:p>
        </w:tc>
        <w:tc>
          <w:tcPr>
            <w:tcW w:w="425" w:type="dxa"/>
            <w:shd w:val="clear" w:color="auto" w:fill="auto"/>
            <w:noWrap/>
            <w:vAlign w:val="center"/>
            <w:hideMark/>
          </w:tcPr>
          <w:p w14:paraId="02BFA6F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0D752714" w14:textId="641E5923"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noWrap/>
            <w:vAlign w:val="center"/>
            <w:hideMark/>
          </w:tcPr>
          <w:p w14:paraId="6268D979"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Fortalecimiento técnico administrativo del Centro Penitenciario y Carcelario de mediana seguridad</w:t>
            </w:r>
          </w:p>
        </w:tc>
        <w:tc>
          <w:tcPr>
            <w:tcW w:w="992" w:type="dxa"/>
            <w:shd w:val="clear" w:color="auto" w:fill="auto"/>
            <w:noWrap/>
            <w:vAlign w:val="center"/>
            <w:hideMark/>
          </w:tcPr>
          <w:p w14:paraId="6B6BD211"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2266D196" w14:textId="6FA8DC5E"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vAlign w:val="center"/>
            <w:hideMark/>
          </w:tcPr>
          <w:p w14:paraId="5D832143" w14:textId="3C1AE535"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20</w:t>
            </w:r>
          </w:p>
        </w:tc>
      </w:tr>
      <w:tr w:rsidR="00B7406B" w:rsidRPr="009010DD" w14:paraId="0DECD7B5" w14:textId="77777777" w:rsidTr="009010DD">
        <w:trPr>
          <w:cantSplit/>
          <w:trHeight w:val="58"/>
        </w:trPr>
        <w:tc>
          <w:tcPr>
            <w:tcW w:w="354" w:type="dxa"/>
            <w:shd w:val="clear" w:color="auto" w:fill="C2D69B" w:themeFill="accent3" w:themeFillTint="99"/>
            <w:noWrap/>
            <w:vAlign w:val="center"/>
            <w:hideMark/>
          </w:tcPr>
          <w:p w14:paraId="32D09069"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13</w:t>
            </w:r>
          </w:p>
        </w:tc>
        <w:tc>
          <w:tcPr>
            <w:tcW w:w="425" w:type="dxa"/>
            <w:shd w:val="clear" w:color="auto" w:fill="auto"/>
            <w:noWrap/>
            <w:vAlign w:val="center"/>
            <w:hideMark/>
          </w:tcPr>
          <w:p w14:paraId="0640D37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7FFDC629" w14:textId="0D6B7421"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noWrap/>
            <w:vAlign w:val="center"/>
            <w:hideMark/>
          </w:tcPr>
          <w:p w14:paraId="45A800BD" w14:textId="5B5F4981" w:rsidR="001B58B4" w:rsidRPr="009010DD" w:rsidRDefault="00B7406B"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M</w:t>
            </w:r>
            <w:r w:rsidR="001B58B4" w:rsidRPr="009010DD">
              <w:rPr>
                <w:rFonts w:ascii="Century Gothic" w:eastAsia="Times New Roman" w:hAnsi="Century Gothic" w:cs="Calibri"/>
                <w:color w:val="000000"/>
                <w:sz w:val="18"/>
                <w:szCs w:val="18"/>
              </w:rPr>
              <w:t>antenimiento preventivo correctivo y modernización de la infraestructura tecnológica para la vigilancia, seguridad y convivencia</w:t>
            </w:r>
          </w:p>
        </w:tc>
        <w:tc>
          <w:tcPr>
            <w:tcW w:w="992" w:type="dxa"/>
            <w:shd w:val="clear" w:color="auto" w:fill="auto"/>
            <w:noWrap/>
            <w:vAlign w:val="center"/>
            <w:hideMark/>
          </w:tcPr>
          <w:p w14:paraId="5931377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5028A94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vAlign w:val="center"/>
            <w:hideMark/>
          </w:tcPr>
          <w:p w14:paraId="42F36169" w14:textId="124AA2A8"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8C7EED" w:rsidRPr="009010DD">
              <w:rPr>
                <w:rFonts w:ascii="Century Gothic" w:eastAsia="Times New Roman" w:hAnsi="Century Gothic" w:cs="Calibri"/>
                <w:color w:val="000000"/>
                <w:sz w:val="18"/>
                <w:szCs w:val="18"/>
              </w:rPr>
              <w:t>192</w:t>
            </w:r>
          </w:p>
        </w:tc>
      </w:tr>
      <w:tr w:rsidR="00B7406B" w:rsidRPr="009010DD" w14:paraId="5E78A22C" w14:textId="77777777" w:rsidTr="009010DD">
        <w:trPr>
          <w:trHeight w:val="740"/>
        </w:trPr>
        <w:tc>
          <w:tcPr>
            <w:tcW w:w="354" w:type="dxa"/>
            <w:vMerge w:val="restart"/>
            <w:shd w:val="clear" w:color="auto" w:fill="C2D69B" w:themeFill="accent3" w:themeFillTint="99"/>
            <w:noWrap/>
            <w:vAlign w:val="center"/>
            <w:hideMark/>
          </w:tcPr>
          <w:p w14:paraId="521BF71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14</w:t>
            </w:r>
          </w:p>
        </w:tc>
        <w:tc>
          <w:tcPr>
            <w:tcW w:w="425" w:type="dxa"/>
            <w:vMerge w:val="restart"/>
            <w:shd w:val="clear" w:color="auto" w:fill="auto"/>
            <w:noWrap/>
            <w:vAlign w:val="center"/>
            <w:hideMark/>
          </w:tcPr>
          <w:p w14:paraId="15E24FD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vMerge w:val="restart"/>
            <w:shd w:val="clear" w:color="auto" w:fill="auto"/>
            <w:noWrap/>
            <w:vAlign w:val="center"/>
            <w:hideMark/>
          </w:tcPr>
          <w:p w14:paraId="261DF74C" w14:textId="78CE2E7C"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vMerge w:val="restart"/>
            <w:shd w:val="clear" w:color="auto" w:fill="auto"/>
            <w:vAlign w:val="center"/>
            <w:hideMark/>
          </w:tcPr>
          <w:p w14:paraId="66A4F2AD" w14:textId="11ED4B07"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Diseño e interventoría de las obras de generación. adecuación y mantenimiento de espacio público del Fondo de Compensación de Espacio Público</w:t>
            </w:r>
          </w:p>
        </w:tc>
        <w:tc>
          <w:tcPr>
            <w:tcW w:w="992" w:type="dxa"/>
            <w:vMerge w:val="restart"/>
            <w:shd w:val="clear" w:color="auto" w:fill="auto"/>
            <w:noWrap/>
            <w:vAlign w:val="center"/>
            <w:hideMark/>
          </w:tcPr>
          <w:p w14:paraId="60FECF6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2A67AC96" w14:textId="1D36257E"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w:t>
            </w:r>
            <w:r w:rsidR="00D54630" w:rsidRPr="009010DD">
              <w:rPr>
                <w:rFonts w:ascii="Century Gothic" w:eastAsia="Times New Roman" w:hAnsi="Century Gothic" w:cs="Calibri"/>
                <w:color w:val="000000"/>
                <w:sz w:val="18"/>
                <w:szCs w:val="18"/>
              </w:rPr>
              <w:t>FONCEP</w:t>
            </w:r>
          </w:p>
        </w:tc>
        <w:tc>
          <w:tcPr>
            <w:tcW w:w="820" w:type="dxa"/>
            <w:shd w:val="clear" w:color="auto" w:fill="auto"/>
            <w:vAlign w:val="center"/>
            <w:hideMark/>
          </w:tcPr>
          <w:p w14:paraId="6654CE3B" w14:textId="63DD6C6F" w:rsidR="001B58B4" w:rsidRPr="009010DD" w:rsidRDefault="008C7EED"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$82</w:t>
            </w:r>
          </w:p>
        </w:tc>
      </w:tr>
      <w:tr w:rsidR="00B7406B" w:rsidRPr="009010DD" w14:paraId="3C38003D" w14:textId="77777777" w:rsidTr="009010DD">
        <w:trPr>
          <w:trHeight w:val="20"/>
        </w:trPr>
        <w:tc>
          <w:tcPr>
            <w:tcW w:w="354" w:type="dxa"/>
            <w:vMerge/>
            <w:shd w:val="clear" w:color="auto" w:fill="C2D69B" w:themeFill="accent3" w:themeFillTint="99"/>
            <w:vAlign w:val="center"/>
            <w:hideMark/>
          </w:tcPr>
          <w:p w14:paraId="54F24BAC"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6E4DEF9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3EED08C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2675EE64"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15474C1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6B3EFF6C" w14:textId="2E38E09B"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w:t>
            </w:r>
            <w:r w:rsidR="00D54630" w:rsidRPr="009010DD">
              <w:rPr>
                <w:rFonts w:ascii="Century Gothic" w:eastAsia="Times New Roman" w:hAnsi="Century Gothic" w:cs="Calibri"/>
                <w:color w:val="000000"/>
                <w:sz w:val="18"/>
                <w:szCs w:val="18"/>
              </w:rPr>
              <w:t>FONCEP</w:t>
            </w:r>
          </w:p>
        </w:tc>
        <w:tc>
          <w:tcPr>
            <w:tcW w:w="820" w:type="dxa"/>
            <w:shd w:val="clear" w:color="auto" w:fill="auto"/>
            <w:vAlign w:val="center"/>
            <w:hideMark/>
          </w:tcPr>
          <w:p w14:paraId="6AD9AFBE" w14:textId="35E38E3B" w:rsidR="001B58B4" w:rsidRPr="009010DD" w:rsidRDefault="008C7EED"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$29</w:t>
            </w:r>
          </w:p>
        </w:tc>
      </w:tr>
      <w:tr w:rsidR="00B7406B" w:rsidRPr="009010DD" w14:paraId="6EC5722B" w14:textId="77777777" w:rsidTr="009010DD">
        <w:trPr>
          <w:trHeight w:val="1174"/>
        </w:trPr>
        <w:tc>
          <w:tcPr>
            <w:tcW w:w="354" w:type="dxa"/>
            <w:vMerge w:val="restart"/>
            <w:shd w:val="clear" w:color="auto" w:fill="C2D69B" w:themeFill="accent3" w:themeFillTint="99"/>
            <w:noWrap/>
            <w:vAlign w:val="center"/>
            <w:hideMark/>
          </w:tcPr>
          <w:p w14:paraId="4B6DF38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lastRenderedPageBreak/>
              <w:t>15</w:t>
            </w:r>
          </w:p>
        </w:tc>
        <w:tc>
          <w:tcPr>
            <w:tcW w:w="425" w:type="dxa"/>
            <w:vMerge w:val="restart"/>
            <w:shd w:val="clear" w:color="auto" w:fill="auto"/>
            <w:noWrap/>
            <w:vAlign w:val="center"/>
            <w:hideMark/>
          </w:tcPr>
          <w:p w14:paraId="5423A9C7"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vMerge w:val="restart"/>
            <w:shd w:val="clear" w:color="auto" w:fill="auto"/>
            <w:noWrap/>
            <w:vAlign w:val="center"/>
            <w:hideMark/>
          </w:tcPr>
          <w:p w14:paraId="7735122E" w14:textId="0A4EDEF3"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vMerge w:val="restart"/>
            <w:shd w:val="clear" w:color="auto" w:fill="auto"/>
            <w:vAlign w:val="center"/>
            <w:hideMark/>
          </w:tcPr>
          <w:p w14:paraId="4A075536" w14:textId="407F4993"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Construcción y adecuación de espacios públicos de parques para los barrios  Lorenzo, </w:t>
            </w:r>
            <w:r w:rsidR="00B7406B" w:rsidRPr="009010DD">
              <w:rPr>
                <w:rFonts w:ascii="Century Gothic" w:eastAsia="Times New Roman" w:hAnsi="Century Gothic" w:cs="Calibri"/>
                <w:color w:val="000000"/>
                <w:sz w:val="18"/>
                <w:szCs w:val="18"/>
              </w:rPr>
              <w:t xml:space="preserve">La </w:t>
            </w:r>
            <w:r w:rsidRPr="009010DD">
              <w:rPr>
                <w:rFonts w:ascii="Century Gothic" w:eastAsia="Times New Roman" w:hAnsi="Century Gothic" w:cs="Calibri"/>
                <w:color w:val="000000"/>
                <w:sz w:val="18"/>
                <w:szCs w:val="18"/>
              </w:rPr>
              <w:t xml:space="preserve">Paz, Carlos Pizarro, Nueva Aranda, Aranda viejo, </w:t>
            </w:r>
            <w:proofErr w:type="spellStart"/>
            <w:r w:rsidRPr="009010DD">
              <w:rPr>
                <w:rFonts w:ascii="Century Gothic" w:eastAsia="Times New Roman" w:hAnsi="Century Gothic" w:cs="Calibri"/>
                <w:color w:val="000000"/>
                <w:sz w:val="18"/>
                <w:szCs w:val="18"/>
              </w:rPr>
              <w:t>Pandiac</w:t>
            </w:r>
            <w:r w:rsidR="0024166B" w:rsidRPr="009010DD">
              <w:rPr>
                <w:rFonts w:ascii="Century Gothic" w:eastAsia="Times New Roman" w:hAnsi="Century Gothic" w:cs="Calibri"/>
                <w:color w:val="000000"/>
                <w:sz w:val="18"/>
                <w:szCs w:val="18"/>
              </w:rPr>
              <w:t>o</w:t>
            </w:r>
            <w:proofErr w:type="spellEnd"/>
            <w:r w:rsidRPr="009010DD">
              <w:rPr>
                <w:rFonts w:ascii="Century Gothic" w:eastAsia="Times New Roman" w:hAnsi="Century Gothic" w:cs="Calibri"/>
                <w:color w:val="000000"/>
                <w:sz w:val="18"/>
                <w:szCs w:val="18"/>
              </w:rPr>
              <w:t>, Villa Doce</w:t>
            </w:r>
            <w:r w:rsidR="009010DD">
              <w:rPr>
                <w:rFonts w:ascii="Century Gothic" w:eastAsia="Times New Roman" w:hAnsi="Century Gothic" w:cs="Calibri"/>
                <w:color w:val="000000"/>
                <w:sz w:val="18"/>
                <w:szCs w:val="18"/>
              </w:rPr>
              <w:t xml:space="preserve">nte, Villa Flor II, </w:t>
            </w:r>
            <w:proofErr w:type="spellStart"/>
            <w:r w:rsidR="009010DD">
              <w:rPr>
                <w:rFonts w:ascii="Century Gothic" w:eastAsia="Times New Roman" w:hAnsi="Century Gothic" w:cs="Calibri"/>
                <w:color w:val="000000"/>
                <w:sz w:val="18"/>
                <w:szCs w:val="18"/>
              </w:rPr>
              <w:t>Chambú</w:t>
            </w:r>
            <w:proofErr w:type="spellEnd"/>
            <w:r w:rsidRPr="009010DD">
              <w:rPr>
                <w:rFonts w:ascii="Century Gothic" w:eastAsia="Times New Roman" w:hAnsi="Century Gothic" w:cs="Calibri"/>
                <w:color w:val="000000"/>
                <w:sz w:val="18"/>
                <w:szCs w:val="18"/>
              </w:rPr>
              <w:t>, Villas de San Rafael y Mercedario</w:t>
            </w:r>
          </w:p>
        </w:tc>
        <w:tc>
          <w:tcPr>
            <w:tcW w:w="992" w:type="dxa"/>
            <w:vMerge w:val="restart"/>
            <w:shd w:val="clear" w:color="auto" w:fill="auto"/>
            <w:vAlign w:val="center"/>
            <w:hideMark/>
          </w:tcPr>
          <w:p w14:paraId="165CE50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04CB841B" w14:textId="396FF003"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w:t>
            </w:r>
            <w:r w:rsidR="00D54630" w:rsidRPr="009010DD">
              <w:rPr>
                <w:rFonts w:ascii="Century Gothic" w:eastAsia="Times New Roman" w:hAnsi="Century Gothic" w:cs="Calibri"/>
                <w:color w:val="000000"/>
                <w:sz w:val="18"/>
                <w:szCs w:val="18"/>
              </w:rPr>
              <w:t>FONCEP</w:t>
            </w:r>
          </w:p>
        </w:tc>
        <w:tc>
          <w:tcPr>
            <w:tcW w:w="820" w:type="dxa"/>
            <w:shd w:val="clear" w:color="auto" w:fill="auto"/>
            <w:vAlign w:val="center"/>
            <w:hideMark/>
          </w:tcPr>
          <w:p w14:paraId="0E97C0A0" w14:textId="54E94BBA" w:rsidR="001B58B4" w:rsidRPr="009010DD" w:rsidRDefault="008C7EED"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$726</w:t>
            </w:r>
          </w:p>
        </w:tc>
      </w:tr>
      <w:tr w:rsidR="00B7406B" w:rsidRPr="009010DD" w14:paraId="36702419" w14:textId="77777777" w:rsidTr="009010DD">
        <w:trPr>
          <w:trHeight w:val="20"/>
        </w:trPr>
        <w:tc>
          <w:tcPr>
            <w:tcW w:w="354" w:type="dxa"/>
            <w:vMerge/>
            <w:shd w:val="clear" w:color="auto" w:fill="C2D69B" w:themeFill="accent3" w:themeFillTint="99"/>
            <w:vAlign w:val="center"/>
            <w:hideMark/>
          </w:tcPr>
          <w:p w14:paraId="27B9D6BB"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1F6F883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14C8ABD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71757AD2"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42F5C61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69BC7D13" w14:textId="35D382F6"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w:t>
            </w:r>
            <w:r w:rsidR="00D54630" w:rsidRPr="009010DD">
              <w:rPr>
                <w:rFonts w:ascii="Century Gothic" w:eastAsia="Times New Roman" w:hAnsi="Century Gothic" w:cs="Calibri"/>
                <w:color w:val="000000"/>
                <w:sz w:val="18"/>
                <w:szCs w:val="18"/>
              </w:rPr>
              <w:t>FONCEP</w:t>
            </w:r>
          </w:p>
        </w:tc>
        <w:tc>
          <w:tcPr>
            <w:tcW w:w="820" w:type="dxa"/>
            <w:shd w:val="clear" w:color="auto" w:fill="auto"/>
            <w:vAlign w:val="center"/>
            <w:hideMark/>
          </w:tcPr>
          <w:p w14:paraId="7F172840" w14:textId="5F6C5540" w:rsidR="001B58B4" w:rsidRPr="009010DD" w:rsidRDefault="008C7EED"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$107</w:t>
            </w:r>
          </w:p>
        </w:tc>
      </w:tr>
      <w:tr w:rsidR="00B7406B" w:rsidRPr="009010DD" w14:paraId="71FBC0D7" w14:textId="77777777" w:rsidTr="009010DD">
        <w:trPr>
          <w:trHeight w:val="20"/>
        </w:trPr>
        <w:tc>
          <w:tcPr>
            <w:tcW w:w="354" w:type="dxa"/>
            <w:vMerge w:val="restart"/>
            <w:shd w:val="clear" w:color="auto" w:fill="C2D69B" w:themeFill="accent3" w:themeFillTint="99"/>
            <w:noWrap/>
            <w:vAlign w:val="center"/>
            <w:hideMark/>
          </w:tcPr>
          <w:p w14:paraId="0725AEDF"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16</w:t>
            </w:r>
          </w:p>
        </w:tc>
        <w:tc>
          <w:tcPr>
            <w:tcW w:w="425" w:type="dxa"/>
            <w:shd w:val="clear" w:color="auto" w:fill="auto"/>
            <w:noWrap/>
            <w:vAlign w:val="center"/>
            <w:hideMark/>
          </w:tcPr>
          <w:p w14:paraId="4BB2680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164E4F55" w14:textId="381F0BEF"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vAlign w:val="center"/>
            <w:hideMark/>
          </w:tcPr>
          <w:p w14:paraId="5546217B" w14:textId="628526BA"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Construcción optimización y mejoramiento de sistemas de acueducto y alcantarillado de los sectores rural y suburbano</w:t>
            </w:r>
          </w:p>
        </w:tc>
        <w:tc>
          <w:tcPr>
            <w:tcW w:w="992" w:type="dxa"/>
            <w:shd w:val="clear" w:color="auto" w:fill="auto"/>
            <w:vAlign w:val="center"/>
            <w:hideMark/>
          </w:tcPr>
          <w:p w14:paraId="7E7F4EF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vAlign w:val="center"/>
            <w:hideMark/>
          </w:tcPr>
          <w:p w14:paraId="7505270E" w14:textId="09A6DEF5"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SGP </w:t>
            </w:r>
            <w:r w:rsidR="00B7406B" w:rsidRPr="009010DD">
              <w:rPr>
                <w:rFonts w:ascii="Century Gothic" w:eastAsia="Times New Roman" w:hAnsi="Century Gothic" w:cs="Calibri"/>
                <w:color w:val="000000"/>
                <w:sz w:val="18"/>
                <w:szCs w:val="18"/>
              </w:rPr>
              <w:t>agua potable y saneamiento básico</w:t>
            </w:r>
          </w:p>
        </w:tc>
        <w:tc>
          <w:tcPr>
            <w:tcW w:w="820" w:type="dxa"/>
            <w:shd w:val="clear" w:color="auto" w:fill="auto"/>
            <w:noWrap/>
            <w:vAlign w:val="center"/>
            <w:hideMark/>
          </w:tcPr>
          <w:p w14:paraId="61B82F4E" w14:textId="292B99FE"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50</w:t>
            </w:r>
          </w:p>
        </w:tc>
      </w:tr>
      <w:tr w:rsidR="00B7406B" w:rsidRPr="009010DD" w14:paraId="51932DB2" w14:textId="77777777" w:rsidTr="009010DD">
        <w:trPr>
          <w:trHeight w:val="467"/>
        </w:trPr>
        <w:tc>
          <w:tcPr>
            <w:tcW w:w="354" w:type="dxa"/>
            <w:vMerge/>
            <w:shd w:val="clear" w:color="auto" w:fill="C2D69B" w:themeFill="accent3" w:themeFillTint="99"/>
            <w:vAlign w:val="center"/>
            <w:hideMark/>
          </w:tcPr>
          <w:p w14:paraId="6221DB75"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shd w:val="clear" w:color="auto" w:fill="auto"/>
            <w:noWrap/>
            <w:vAlign w:val="center"/>
            <w:hideMark/>
          </w:tcPr>
          <w:p w14:paraId="47ED122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6CDE95FE" w14:textId="66CDC213"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vMerge w:val="restart"/>
            <w:shd w:val="clear" w:color="auto" w:fill="auto"/>
            <w:vAlign w:val="center"/>
            <w:hideMark/>
          </w:tcPr>
          <w:p w14:paraId="322D2F14" w14:textId="08BF78BF"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Construcción optimización y mejoramiento de sistemas de acueducto y alcantarillado de los sectores rural y suburbano</w:t>
            </w:r>
          </w:p>
        </w:tc>
        <w:tc>
          <w:tcPr>
            <w:tcW w:w="992" w:type="dxa"/>
            <w:vMerge w:val="restart"/>
            <w:shd w:val="clear" w:color="auto" w:fill="auto"/>
            <w:vAlign w:val="center"/>
            <w:hideMark/>
          </w:tcPr>
          <w:p w14:paraId="0A73EB3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1C131B0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2400E663" w14:textId="3487F833"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$328</w:t>
            </w:r>
          </w:p>
        </w:tc>
      </w:tr>
      <w:tr w:rsidR="00B7406B" w:rsidRPr="009010DD" w14:paraId="70637471" w14:textId="77777777" w:rsidTr="009010DD">
        <w:trPr>
          <w:trHeight w:val="20"/>
        </w:trPr>
        <w:tc>
          <w:tcPr>
            <w:tcW w:w="354" w:type="dxa"/>
            <w:vMerge/>
            <w:shd w:val="clear" w:color="auto" w:fill="C2D69B" w:themeFill="accent3" w:themeFillTint="99"/>
            <w:vAlign w:val="center"/>
            <w:hideMark/>
          </w:tcPr>
          <w:p w14:paraId="164CD551"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shd w:val="clear" w:color="auto" w:fill="auto"/>
            <w:noWrap/>
            <w:vAlign w:val="center"/>
            <w:hideMark/>
          </w:tcPr>
          <w:p w14:paraId="1CA03B2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4A090507" w14:textId="226F226E"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vMerge/>
            <w:vAlign w:val="center"/>
            <w:hideMark/>
          </w:tcPr>
          <w:p w14:paraId="5712C58B"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063143D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2B041028" w14:textId="49FED4BD"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ecursos propios</w:t>
            </w:r>
          </w:p>
        </w:tc>
        <w:tc>
          <w:tcPr>
            <w:tcW w:w="820" w:type="dxa"/>
            <w:shd w:val="clear" w:color="auto" w:fill="auto"/>
            <w:noWrap/>
            <w:vAlign w:val="center"/>
            <w:hideMark/>
          </w:tcPr>
          <w:p w14:paraId="55EC96D6" w14:textId="5F499AEF"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42</w:t>
            </w:r>
          </w:p>
        </w:tc>
      </w:tr>
      <w:tr w:rsidR="00B7406B" w:rsidRPr="009010DD" w14:paraId="0525CBFA" w14:textId="77777777" w:rsidTr="009010DD">
        <w:trPr>
          <w:cantSplit/>
          <w:trHeight w:val="58"/>
        </w:trPr>
        <w:tc>
          <w:tcPr>
            <w:tcW w:w="354" w:type="dxa"/>
            <w:shd w:val="clear" w:color="auto" w:fill="C2D69B" w:themeFill="accent3" w:themeFillTint="99"/>
            <w:noWrap/>
            <w:vAlign w:val="center"/>
            <w:hideMark/>
          </w:tcPr>
          <w:p w14:paraId="3277180D"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17</w:t>
            </w:r>
          </w:p>
        </w:tc>
        <w:tc>
          <w:tcPr>
            <w:tcW w:w="425" w:type="dxa"/>
            <w:shd w:val="clear" w:color="auto" w:fill="auto"/>
            <w:noWrap/>
            <w:vAlign w:val="center"/>
            <w:hideMark/>
          </w:tcPr>
          <w:p w14:paraId="1DE26E1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12A600C9" w14:textId="3F9CC1E0"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vAlign w:val="center"/>
            <w:hideMark/>
          </w:tcPr>
          <w:p w14:paraId="0578DABE" w14:textId="25C9BDEF"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Mejoramiento y mantenimiento de la malla vial rural</w:t>
            </w:r>
          </w:p>
        </w:tc>
        <w:tc>
          <w:tcPr>
            <w:tcW w:w="992" w:type="dxa"/>
            <w:shd w:val="clear" w:color="auto" w:fill="auto"/>
            <w:vAlign w:val="center"/>
            <w:hideMark/>
          </w:tcPr>
          <w:p w14:paraId="086C559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3F1C159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33740663" w14:textId="23F933E8"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9010DD" w:rsidRPr="009010DD">
              <w:rPr>
                <w:rFonts w:ascii="Century Gothic" w:eastAsia="Times New Roman" w:hAnsi="Century Gothic" w:cs="Calibri"/>
                <w:color w:val="000000"/>
                <w:sz w:val="18"/>
                <w:szCs w:val="18"/>
              </w:rPr>
              <w:t>80</w:t>
            </w:r>
          </w:p>
        </w:tc>
      </w:tr>
      <w:tr w:rsidR="00B7406B" w:rsidRPr="009010DD" w14:paraId="098DBF4D" w14:textId="77777777" w:rsidTr="009010DD">
        <w:trPr>
          <w:cantSplit/>
          <w:trHeight w:val="58"/>
        </w:trPr>
        <w:tc>
          <w:tcPr>
            <w:tcW w:w="354" w:type="dxa"/>
            <w:shd w:val="clear" w:color="auto" w:fill="C2D69B" w:themeFill="accent3" w:themeFillTint="99"/>
            <w:noWrap/>
            <w:vAlign w:val="center"/>
            <w:hideMark/>
          </w:tcPr>
          <w:p w14:paraId="160ED84A"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18</w:t>
            </w:r>
          </w:p>
        </w:tc>
        <w:tc>
          <w:tcPr>
            <w:tcW w:w="425" w:type="dxa"/>
            <w:shd w:val="clear" w:color="auto" w:fill="auto"/>
            <w:noWrap/>
            <w:vAlign w:val="center"/>
            <w:hideMark/>
          </w:tcPr>
          <w:p w14:paraId="528C57A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6D0AF05D" w14:textId="077ED906"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shd w:val="clear" w:color="auto" w:fill="auto"/>
            <w:vAlign w:val="center"/>
            <w:hideMark/>
          </w:tcPr>
          <w:p w14:paraId="57B40C0E" w14:textId="5FD06049"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Administración de </w:t>
            </w:r>
            <w:r w:rsidR="00B7406B" w:rsidRPr="009010DD">
              <w:rPr>
                <w:rFonts w:ascii="Century Gothic" w:eastAsia="Times New Roman" w:hAnsi="Century Gothic" w:cs="Calibri"/>
                <w:color w:val="000000"/>
                <w:sz w:val="18"/>
                <w:szCs w:val="18"/>
              </w:rPr>
              <w:t xml:space="preserve">valorización </w:t>
            </w:r>
            <w:r w:rsidRPr="009010DD">
              <w:rPr>
                <w:rFonts w:ascii="Century Gothic" w:eastAsia="Times New Roman" w:hAnsi="Century Gothic" w:cs="Calibri"/>
                <w:color w:val="000000"/>
                <w:sz w:val="18"/>
                <w:szCs w:val="18"/>
              </w:rPr>
              <w:t>para construcción de vías urbanas</w:t>
            </w:r>
          </w:p>
        </w:tc>
        <w:tc>
          <w:tcPr>
            <w:tcW w:w="992" w:type="dxa"/>
            <w:shd w:val="clear" w:color="auto" w:fill="auto"/>
            <w:vAlign w:val="center"/>
            <w:hideMark/>
          </w:tcPr>
          <w:p w14:paraId="313F610F"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677B4C78" w14:textId="19459F4B"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w:t>
            </w:r>
            <w:r w:rsidR="00D54630" w:rsidRPr="009010DD">
              <w:rPr>
                <w:rFonts w:ascii="Century Gothic" w:eastAsia="Times New Roman" w:hAnsi="Century Gothic" w:cs="Calibri"/>
                <w:color w:val="000000"/>
                <w:sz w:val="18"/>
                <w:szCs w:val="18"/>
              </w:rPr>
              <w:t>propios Fondo</w:t>
            </w:r>
            <w:r w:rsidRPr="009010DD">
              <w:rPr>
                <w:rFonts w:ascii="Century Gothic" w:eastAsia="Times New Roman" w:hAnsi="Century Gothic" w:cs="Calibri"/>
                <w:color w:val="000000"/>
                <w:sz w:val="18"/>
                <w:szCs w:val="18"/>
              </w:rPr>
              <w:t xml:space="preserve"> Valorización</w:t>
            </w:r>
          </w:p>
        </w:tc>
        <w:tc>
          <w:tcPr>
            <w:tcW w:w="820" w:type="dxa"/>
            <w:shd w:val="clear" w:color="auto" w:fill="auto"/>
            <w:noWrap/>
            <w:vAlign w:val="center"/>
            <w:hideMark/>
          </w:tcPr>
          <w:p w14:paraId="00319780" w14:textId="65FB34F2"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$263</w:t>
            </w:r>
          </w:p>
        </w:tc>
      </w:tr>
      <w:tr w:rsidR="00B7406B" w:rsidRPr="009010DD" w14:paraId="20561B12" w14:textId="77777777" w:rsidTr="009010DD">
        <w:trPr>
          <w:trHeight w:val="20"/>
        </w:trPr>
        <w:tc>
          <w:tcPr>
            <w:tcW w:w="354" w:type="dxa"/>
            <w:vMerge w:val="restart"/>
            <w:shd w:val="clear" w:color="auto" w:fill="C2D69B" w:themeFill="accent3" w:themeFillTint="99"/>
            <w:noWrap/>
            <w:vAlign w:val="center"/>
            <w:hideMark/>
          </w:tcPr>
          <w:p w14:paraId="1DF0B07D"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19</w:t>
            </w:r>
          </w:p>
        </w:tc>
        <w:tc>
          <w:tcPr>
            <w:tcW w:w="425" w:type="dxa"/>
            <w:vMerge w:val="restart"/>
            <w:shd w:val="clear" w:color="auto" w:fill="auto"/>
            <w:noWrap/>
            <w:vAlign w:val="center"/>
            <w:hideMark/>
          </w:tcPr>
          <w:p w14:paraId="35AF6027"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vMerge w:val="restart"/>
            <w:shd w:val="clear" w:color="auto" w:fill="auto"/>
            <w:noWrap/>
            <w:vAlign w:val="center"/>
            <w:hideMark/>
          </w:tcPr>
          <w:p w14:paraId="24087DF7" w14:textId="61E5085C"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vMerge w:val="restart"/>
            <w:shd w:val="clear" w:color="auto" w:fill="auto"/>
            <w:vAlign w:val="center"/>
            <w:hideMark/>
          </w:tcPr>
          <w:p w14:paraId="74D53B07" w14:textId="3B79D84F"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Estudios y diseños para la construcción </w:t>
            </w:r>
            <w:r w:rsidR="00B7406B" w:rsidRPr="009010DD">
              <w:rPr>
                <w:rFonts w:ascii="Century Gothic" w:eastAsia="Times New Roman" w:hAnsi="Century Gothic" w:cs="Calibri"/>
                <w:color w:val="000000"/>
                <w:sz w:val="18"/>
                <w:szCs w:val="18"/>
              </w:rPr>
              <w:t xml:space="preserve">de la </w:t>
            </w:r>
            <w:r w:rsidRPr="009010DD">
              <w:rPr>
                <w:rFonts w:ascii="Century Gothic" w:eastAsia="Times New Roman" w:hAnsi="Century Gothic" w:cs="Calibri"/>
                <w:color w:val="000000"/>
                <w:sz w:val="18"/>
                <w:szCs w:val="18"/>
              </w:rPr>
              <w:t>sede adminis</w:t>
            </w:r>
            <w:r w:rsidR="00B7406B" w:rsidRPr="009010DD">
              <w:rPr>
                <w:rFonts w:ascii="Century Gothic" w:eastAsia="Times New Roman" w:hAnsi="Century Gothic" w:cs="Calibri"/>
                <w:color w:val="000000"/>
                <w:sz w:val="18"/>
                <w:szCs w:val="18"/>
              </w:rPr>
              <w:t>trativa de la Secretaría de Tránsito y Transporte</w:t>
            </w:r>
          </w:p>
        </w:tc>
        <w:tc>
          <w:tcPr>
            <w:tcW w:w="992" w:type="dxa"/>
            <w:vMerge w:val="restart"/>
            <w:shd w:val="clear" w:color="auto" w:fill="auto"/>
            <w:vAlign w:val="center"/>
            <w:hideMark/>
          </w:tcPr>
          <w:p w14:paraId="334674A1"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30F50C59" w14:textId="483D47C5"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fondo cuenta </w:t>
            </w:r>
            <w:r w:rsidR="00B7406B" w:rsidRPr="009010DD">
              <w:rPr>
                <w:rFonts w:ascii="Century Gothic" w:eastAsia="Times New Roman" w:hAnsi="Century Gothic" w:cs="Calibri"/>
                <w:color w:val="000000"/>
                <w:sz w:val="18"/>
                <w:szCs w:val="18"/>
              </w:rPr>
              <w:t>Tránsito</w:t>
            </w:r>
          </w:p>
        </w:tc>
        <w:tc>
          <w:tcPr>
            <w:tcW w:w="820" w:type="dxa"/>
            <w:shd w:val="clear" w:color="auto" w:fill="auto"/>
            <w:noWrap/>
            <w:vAlign w:val="center"/>
            <w:hideMark/>
          </w:tcPr>
          <w:p w14:paraId="43E76D3A" w14:textId="1EF6E0D9"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211</w:t>
            </w:r>
          </w:p>
        </w:tc>
      </w:tr>
      <w:tr w:rsidR="00B7406B" w:rsidRPr="009010DD" w14:paraId="6AB305D0" w14:textId="77777777" w:rsidTr="009010DD">
        <w:trPr>
          <w:trHeight w:val="20"/>
        </w:trPr>
        <w:tc>
          <w:tcPr>
            <w:tcW w:w="354" w:type="dxa"/>
            <w:vMerge/>
            <w:shd w:val="clear" w:color="auto" w:fill="C2D69B" w:themeFill="accent3" w:themeFillTint="99"/>
            <w:vAlign w:val="center"/>
            <w:hideMark/>
          </w:tcPr>
          <w:p w14:paraId="22594294"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555BF4B7"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43C7FF3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6A971960"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41B578C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69E647C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fondo cuenta Tránsito</w:t>
            </w:r>
          </w:p>
        </w:tc>
        <w:tc>
          <w:tcPr>
            <w:tcW w:w="820" w:type="dxa"/>
            <w:shd w:val="clear" w:color="auto" w:fill="auto"/>
            <w:noWrap/>
            <w:vAlign w:val="center"/>
            <w:hideMark/>
          </w:tcPr>
          <w:p w14:paraId="425C5198" w14:textId="528BF03D"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9010DD" w:rsidRPr="009010DD">
              <w:rPr>
                <w:rFonts w:ascii="Century Gothic" w:eastAsia="Times New Roman" w:hAnsi="Century Gothic" w:cs="Calibri"/>
                <w:color w:val="000000"/>
                <w:sz w:val="18"/>
                <w:szCs w:val="18"/>
              </w:rPr>
              <w:t>15</w:t>
            </w:r>
          </w:p>
        </w:tc>
      </w:tr>
      <w:tr w:rsidR="00B7406B" w:rsidRPr="009010DD" w14:paraId="2135C915" w14:textId="77777777" w:rsidTr="009010DD">
        <w:trPr>
          <w:trHeight w:val="565"/>
        </w:trPr>
        <w:tc>
          <w:tcPr>
            <w:tcW w:w="354" w:type="dxa"/>
            <w:vMerge w:val="restart"/>
            <w:shd w:val="clear" w:color="auto" w:fill="C2D69B" w:themeFill="accent3" w:themeFillTint="99"/>
            <w:noWrap/>
            <w:vAlign w:val="center"/>
            <w:hideMark/>
          </w:tcPr>
          <w:p w14:paraId="70F2F558"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20</w:t>
            </w:r>
          </w:p>
        </w:tc>
        <w:tc>
          <w:tcPr>
            <w:tcW w:w="425" w:type="dxa"/>
            <w:vMerge w:val="restart"/>
            <w:shd w:val="clear" w:color="auto" w:fill="auto"/>
            <w:noWrap/>
            <w:vAlign w:val="center"/>
            <w:hideMark/>
          </w:tcPr>
          <w:p w14:paraId="33BB29A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vMerge w:val="restart"/>
            <w:shd w:val="clear" w:color="auto" w:fill="auto"/>
            <w:noWrap/>
            <w:vAlign w:val="center"/>
            <w:hideMark/>
          </w:tcPr>
          <w:p w14:paraId="2E3AC3AA" w14:textId="5583060F"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18/10/18</w:t>
            </w:r>
          </w:p>
        </w:tc>
        <w:tc>
          <w:tcPr>
            <w:tcW w:w="3261" w:type="dxa"/>
            <w:vMerge w:val="restart"/>
            <w:shd w:val="clear" w:color="auto" w:fill="auto"/>
            <w:vAlign w:val="center"/>
            <w:hideMark/>
          </w:tcPr>
          <w:p w14:paraId="71F73AAA" w14:textId="3DFC973B" w:rsidR="00B7406B"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Fortalecimiento de la red de prestación de servicios de salud de la subregión cen</w:t>
            </w:r>
            <w:r w:rsidR="00B7406B" w:rsidRPr="009010DD">
              <w:rPr>
                <w:rFonts w:ascii="Century Gothic" w:eastAsia="Times New Roman" w:hAnsi="Century Gothic" w:cs="Calibri"/>
                <w:color w:val="000000"/>
                <w:sz w:val="18"/>
                <w:szCs w:val="18"/>
              </w:rPr>
              <w:t>tro del departamento de Nariño</w:t>
            </w:r>
          </w:p>
          <w:p w14:paraId="1F71273A" w14:textId="56D08573" w:rsidR="001B58B4" w:rsidRPr="009010DD" w:rsidRDefault="00B7406B" w:rsidP="00D54630">
            <w:pPr>
              <w:spacing w:after="0" w:line="240" w:lineRule="auto"/>
              <w:jc w:val="both"/>
              <w:rPr>
                <w:rFonts w:ascii="Century Gothic" w:eastAsia="Times New Roman" w:hAnsi="Century Gothic" w:cs="Calibri"/>
                <w:color w:val="000000"/>
                <w:sz w:val="18"/>
                <w:szCs w:val="18"/>
              </w:rPr>
            </w:pPr>
            <w:proofErr w:type="spellStart"/>
            <w:r w:rsidRPr="009010DD">
              <w:rPr>
                <w:rFonts w:ascii="Century Gothic" w:eastAsia="Times New Roman" w:hAnsi="Century Gothic" w:cs="Calibri"/>
                <w:color w:val="000000"/>
                <w:sz w:val="18"/>
                <w:szCs w:val="18"/>
              </w:rPr>
              <w:t>S</w:t>
            </w:r>
            <w:r w:rsidR="001B58B4" w:rsidRPr="009010DD">
              <w:rPr>
                <w:rFonts w:ascii="Century Gothic" w:eastAsia="Times New Roman" w:hAnsi="Century Gothic" w:cs="Calibri"/>
                <w:color w:val="000000"/>
                <w:sz w:val="18"/>
                <w:szCs w:val="18"/>
              </w:rPr>
              <w:t>ubproyecto</w:t>
            </w:r>
            <w:proofErr w:type="spellEnd"/>
            <w:r w:rsidR="001B58B4" w:rsidRPr="009010DD">
              <w:rPr>
                <w:rFonts w:ascii="Century Gothic" w:eastAsia="Times New Roman" w:hAnsi="Century Gothic" w:cs="Calibri"/>
                <w:color w:val="000000"/>
                <w:sz w:val="18"/>
                <w:szCs w:val="18"/>
              </w:rPr>
              <w:t>: construcción y dotación del Hospital 1B de baja complejidad</w:t>
            </w:r>
            <w:r w:rsidR="00D54630"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 xml:space="preserve"> </w:t>
            </w:r>
            <w:r w:rsidRPr="009010DD">
              <w:rPr>
                <w:rFonts w:ascii="Century Gothic" w:eastAsia="Times New Roman" w:hAnsi="Century Gothic" w:cs="Calibri"/>
                <w:color w:val="000000"/>
                <w:sz w:val="18"/>
                <w:szCs w:val="18"/>
              </w:rPr>
              <w:t xml:space="preserve">municipio </w:t>
            </w:r>
            <w:r w:rsidR="001B58B4" w:rsidRPr="009010DD">
              <w:rPr>
                <w:rFonts w:ascii="Century Gothic" w:eastAsia="Times New Roman" w:hAnsi="Century Gothic" w:cs="Calibri"/>
                <w:color w:val="000000"/>
                <w:sz w:val="18"/>
                <w:szCs w:val="18"/>
              </w:rPr>
              <w:t>de Pasto</w:t>
            </w:r>
          </w:p>
        </w:tc>
        <w:tc>
          <w:tcPr>
            <w:tcW w:w="992" w:type="dxa"/>
            <w:vMerge w:val="restart"/>
            <w:shd w:val="clear" w:color="auto" w:fill="auto"/>
            <w:vAlign w:val="center"/>
            <w:hideMark/>
          </w:tcPr>
          <w:p w14:paraId="52FAA71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74E856EC"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105B7F78" w14:textId="1DF22028" w:rsidR="001B58B4" w:rsidRPr="009010DD" w:rsidRDefault="001B58B4" w:rsidP="009010DD">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D01197" w:rsidRPr="009010DD">
              <w:rPr>
                <w:rFonts w:ascii="Century Gothic" w:eastAsia="Times New Roman" w:hAnsi="Century Gothic" w:cs="Calibri"/>
                <w:color w:val="000000"/>
                <w:sz w:val="18"/>
                <w:szCs w:val="18"/>
              </w:rPr>
              <w:t>1.</w:t>
            </w:r>
            <w:r w:rsidRPr="009010DD">
              <w:rPr>
                <w:rFonts w:ascii="Century Gothic" w:eastAsia="Times New Roman" w:hAnsi="Century Gothic" w:cs="Calibri"/>
                <w:color w:val="000000"/>
                <w:sz w:val="18"/>
                <w:szCs w:val="18"/>
              </w:rPr>
              <w:t>99</w:t>
            </w:r>
            <w:r w:rsidR="009010DD" w:rsidRPr="009010DD">
              <w:rPr>
                <w:rFonts w:ascii="Century Gothic" w:eastAsia="Times New Roman" w:hAnsi="Century Gothic" w:cs="Calibri"/>
                <w:color w:val="000000"/>
                <w:sz w:val="18"/>
                <w:szCs w:val="18"/>
              </w:rPr>
              <w:t>8</w:t>
            </w:r>
          </w:p>
        </w:tc>
      </w:tr>
      <w:tr w:rsidR="00B7406B" w:rsidRPr="009010DD" w14:paraId="0825AA49" w14:textId="77777777" w:rsidTr="009010DD">
        <w:trPr>
          <w:trHeight w:val="476"/>
        </w:trPr>
        <w:tc>
          <w:tcPr>
            <w:tcW w:w="354" w:type="dxa"/>
            <w:vMerge/>
            <w:shd w:val="clear" w:color="auto" w:fill="C2D69B" w:themeFill="accent3" w:themeFillTint="99"/>
            <w:vAlign w:val="center"/>
            <w:hideMark/>
          </w:tcPr>
          <w:p w14:paraId="276FDDBB"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099A2421"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7968CD9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44A5191D"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0CC14AF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6E65F95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591B5200" w14:textId="1C3E4994"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157</w:t>
            </w:r>
          </w:p>
        </w:tc>
      </w:tr>
      <w:tr w:rsidR="00B7406B" w:rsidRPr="009010DD" w14:paraId="382BF050" w14:textId="77777777" w:rsidTr="009010DD">
        <w:trPr>
          <w:trHeight w:val="20"/>
        </w:trPr>
        <w:tc>
          <w:tcPr>
            <w:tcW w:w="354" w:type="dxa"/>
            <w:vMerge/>
            <w:shd w:val="clear" w:color="auto" w:fill="C2D69B" w:themeFill="accent3" w:themeFillTint="99"/>
            <w:vAlign w:val="center"/>
            <w:hideMark/>
          </w:tcPr>
          <w:p w14:paraId="280275A8"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01687E49"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20C1583D"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3462EBF6"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52030C81"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5A0381AC"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53928CAF" w14:textId="1C997528" w:rsidR="001B58B4" w:rsidRPr="009010DD" w:rsidRDefault="001B58B4"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$170</w:t>
            </w:r>
          </w:p>
        </w:tc>
      </w:tr>
      <w:tr w:rsidR="00B7406B" w:rsidRPr="009010DD" w14:paraId="09E28BAA" w14:textId="77777777" w:rsidTr="009010DD">
        <w:trPr>
          <w:trHeight w:val="20"/>
        </w:trPr>
        <w:tc>
          <w:tcPr>
            <w:tcW w:w="354" w:type="dxa"/>
            <w:vMerge w:val="restart"/>
            <w:shd w:val="clear" w:color="auto" w:fill="C2D69B" w:themeFill="accent3" w:themeFillTint="99"/>
            <w:vAlign w:val="center"/>
            <w:hideMark/>
          </w:tcPr>
          <w:p w14:paraId="08AF05A2"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21</w:t>
            </w:r>
          </w:p>
        </w:tc>
        <w:tc>
          <w:tcPr>
            <w:tcW w:w="425" w:type="dxa"/>
            <w:vMerge w:val="restart"/>
            <w:shd w:val="clear" w:color="auto" w:fill="auto"/>
            <w:noWrap/>
            <w:vAlign w:val="center"/>
            <w:hideMark/>
          </w:tcPr>
          <w:p w14:paraId="3D77BFC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vMerge w:val="restart"/>
            <w:shd w:val="clear" w:color="auto" w:fill="auto"/>
            <w:noWrap/>
            <w:vAlign w:val="center"/>
            <w:hideMark/>
          </w:tcPr>
          <w:p w14:paraId="36057B1B" w14:textId="1E086CE1" w:rsidR="001B58B4" w:rsidRPr="009010DD" w:rsidRDefault="003F5945"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18/10/1</w:t>
            </w:r>
            <w:r w:rsidR="001B58B4" w:rsidRPr="009010DD">
              <w:rPr>
                <w:rFonts w:ascii="Century Gothic" w:eastAsia="Times New Roman" w:hAnsi="Century Gothic" w:cs="Calibri"/>
                <w:color w:val="000000"/>
                <w:sz w:val="18"/>
                <w:szCs w:val="18"/>
              </w:rPr>
              <w:t>8</w:t>
            </w:r>
          </w:p>
        </w:tc>
        <w:tc>
          <w:tcPr>
            <w:tcW w:w="3261" w:type="dxa"/>
            <w:vMerge w:val="restart"/>
            <w:shd w:val="clear" w:color="auto" w:fill="auto"/>
            <w:vAlign w:val="center"/>
            <w:hideMark/>
          </w:tcPr>
          <w:p w14:paraId="0B5082AB"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Servicio de vigilancia</w:t>
            </w:r>
          </w:p>
        </w:tc>
        <w:tc>
          <w:tcPr>
            <w:tcW w:w="992" w:type="dxa"/>
            <w:vMerge w:val="restart"/>
            <w:shd w:val="clear" w:color="auto" w:fill="auto"/>
            <w:vAlign w:val="center"/>
            <w:hideMark/>
          </w:tcPr>
          <w:p w14:paraId="2AB1950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79AE8B7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3828A22E" w14:textId="46303076"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752</w:t>
            </w:r>
          </w:p>
        </w:tc>
      </w:tr>
      <w:tr w:rsidR="00B7406B" w:rsidRPr="009010DD" w14:paraId="13DE47E0" w14:textId="77777777" w:rsidTr="009010DD">
        <w:trPr>
          <w:trHeight w:val="20"/>
        </w:trPr>
        <w:tc>
          <w:tcPr>
            <w:tcW w:w="354" w:type="dxa"/>
            <w:vMerge/>
            <w:shd w:val="clear" w:color="auto" w:fill="C2D69B" w:themeFill="accent3" w:themeFillTint="99"/>
            <w:vAlign w:val="center"/>
            <w:hideMark/>
          </w:tcPr>
          <w:p w14:paraId="5314C123"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5E42476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2FB97B7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79C2E157"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444BC7A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2A36637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plazas de mercado</w:t>
            </w:r>
          </w:p>
        </w:tc>
        <w:tc>
          <w:tcPr>
            <w:tcW w:w="820" w:type="dxa"/>
            <w:shd w:val="clear" w:color="auto" w:fill="auto"/>
            <w:noWrap/>
            <w:vAlign w:val="center"/>
            <w:hideMark/>
          </w:tcPr>
          <w:p w14:paraId="03920534" w14:textId="41BFE9CC"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$131</w:t>
            </w:r>
          </w:p>
        </w:tc>
      </w:tr>
      <w:tr w:rsidR="00B7406B" w:rsidRPr="009010DD" w14:paraId="78828AF5" w14:textId="77777777" w:rsidTr="009010DD">
        <w:trPr>
          <w:trHeight w:val="20"/>
        </w:trPr>
        <w:tc>
          <w:tcPr>
            <w:tcW w:w="354" w:type="dxa"/>
            <w:vMerge/>
            <w:shd w:val="clear" w:color="auto" w:fill="C2D69B" w:themeFill="accent3" w:themeFillTint="99"/>
            <w:vAlign w:val="center"/>
            <w:hideMark/>
          </w:tcPr>
          <w:p w14:paraId="517827C1"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0999E69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7030E428"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1EADCB8B"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0C66547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vAlign w:val="center"/>
            <w:hideMark/>
          </w:tcPr>
          <w:p w14:paraId="4CC2F8DA" w14:textId="7F664B5B" w:rsidR="001B58B4" w:rsidRPr="009010DD" w:rsidRDefault="0024166B"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 la Secretarí</w:t>
            </w:r>
            <w:r w:rsidR="001B58B4" w:rsidRPr="009010DD">
              <w:rPr>
                <w:rFonts w:ascii="Century Gothic" w:eastAsia="Times New Roman" w:hAnsi="Century Gothic" w:cs="Calibri"/>
                <w:color w:val="000000"/>
                <w:sz w:val="18"/>
                <w:szCs w:val="18"/>
              </w:rPr>
              <w:t>a de Tránsito y Transporte</w:t>
            </w:r>
          </w:p>
        </w:tc>
        <w:tc>
          <w:tcPr>
            <w:tcW w:w="820" w:type="dxa"/>
            <w:shd w:val="clear" w:color="auto" w:fill="auto"/>
            <w:noWrap/>
            <w:vAlign w:val="center"/>
            <w:hideMark/>
          </w:tcPr>
          <w:p w14:paraId="6ED18FB2" w14:textId="59BB8333" w:rsidR="001B58B4" w:rsidRPr="009010DD" w:rsidRDefault="001B58B4" w:rsidP="009010DD">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D01197" w:rsidRPr="009010DD">
              <w:rPr>
                <w:rFonts w:ascii="Century Gothic" w:eastAsia="Times New Roman" w:hAnsi="Century Gothic" w:cs="Calibri"/>
                <w:color w:val="000000"/>
                <w:sz w:val="18"/>
                <w:szCs w:val="18"/>
              </w:rPr>
              <w:t>10</w:t>
            </w:r>
            <w:r w:rsidR="009010DD" w:rsidRPr="009010DD">
              <w:rPr>
                <w:rFonts w:ascii="Century Gothic" w:eastAsia="Times New Roman" w:hAnsi="Century Gothic" w:cs="Calibri"/>
                <w:color w:val="000000"/>
                <w:sz w:val="18"/>
                <w:szCs w:val="18"/>
              </w:rPr>
              <w:t>2</w:t>
            </w:r>
          </w:p>
        </w:tc>
      </w:tr>
      <w:tr w:rsidR="00B7406B" w:rsidRPr="009010DD" w14:paraId="54D0B9E4" w14:textId="77777777" w:rsidTr="009010DD">
        <w:trPr>
          <w:trHeight w:val="96"/>
        </w:trPr>
        <w:tc>
          <w:tcPr>
            <w:tcW w:w="354" w:type="dxa"/>
            <w:vMerge/>
            <w:shd w:val="clear" w:color="auto" w:fill="C2D69B" w:themeFill="accent3" w:themeFillTint="99"/>
            <w:vAlign w:val="center"/>
            <w:hideMark/>
          </w:tcPr>
          <w:p w14:paraId="4319DD67"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524F90C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5171423C"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0106D6E3"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7E6E62D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6BD27133" w14:textId="1B50F4C4" w:rsidR="001B58B4" w:rsidRPr="009010DD" w:rsidRDefault="00D01197"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w:t>
            </w:r>
            <w:r w:rsidR="001B58B4" w:rsidRPr="009010DD">
              <w:rPr>
                <w:rFonts w:ascii="Century Gothic" w:eastAsia="Times New Roman" w:hAnsi="Century Gothic" w:cs="Calibri"/>
                <w:color w:val="000000"/>
                <w:sz w:val="18"/>
                <w:szCs w:val="18"/>
              </w:rPr>
              <w:t xml:space="preserve">ecursos de la </w:t>
            </w:r>
            <w:r w:rsidR="0024166B" w:rsidRPr="009010DD">
              <w:rPr>
                <w:rFonts w:ascii="Century Gothic" w:eastAsia="Times New Roman" w:hAnsi="Century Gothic" w:cs="Calibri"/>
                <w:color w:val="000000"/>
                <w:sz w:val="18"/>
                <w:szCs w:val="18"/>
              </w:rPr>
              <w:t xml:space="preserve">Secretaría </w:t>
            </w:r>
            <w:r w:rsidR="001B58B4" w:rsidRPr="009010DD">
              <w:rPr>
                <w:rFonts w:ascii="Century Gothic" w:eastAsia="Times New Roman" w:hAnsi="Century Gothic" w:cs="Calibri"/>
                <w:color w:val="000000"/>
                <w:sz w:val="18"/>
                <w:szCs w:val="18"/>
              </w:rPr>
              <w:t xml:space="preserve">de </w:t>
            </w:r>
            <w:r w:rsidR="0024166B" w:rsidRPr="009010DD">
              <w:rPr>
                <w:rFonts w:ascii="Century Gothic" w:eastAsia="Times New Roman" w:hAnsi="Century Gothic" w:cs="Calibri"/>
                <w:color w:val="000000"/>
                <w:sz w:val="18"/>
                <w:szCs w:val="18"/>
              </w:rPr>
              <w:t>Salud</w:t>
            </w:r>
          </w:p>
        </w:tc>
        <w:tc>
          <w:tcPr>
            <w:tcW w:w="820" w:type="dxa"/>
            <w:shd w:val="clear" w:color="auto" w:fill="auto"/>
            <w:noWrap/>
            <w:vAlign w:val="center"/>
            <w:hideMark/>
          </w:tcPr>
          <w:p w14:paraId="034DA572" w14:textId="3692A4C4" w:rsidR="001B58B4" w:rsidRPr="009010DD" w:rsidRDefault="00D54630" w:rsidP="00095918">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095918" w:rsidRPr="009010DD">
              <w:rPr>
                <w:rFonts w:ascii="Century Gothic" w:eastAsia="Times New Roman" w:hAnsi="Century Gothic" w:cs="Calibri"/>
                <w:color w:val="000000"/>
                <w:sz w:val="18"/>
                <w:szCs w:val="18"/>
              </w:rPr>
              <w:t>1</w:t>
            </w:r>
          </w:p>
        </w:tc>
      </w:tr>
      <w:tr w:rsidR="00B7406B" w:rsidRPr="009010DD" w14:paraId="384E7C3C" w14:textId="77777777" w:rsidTr="009010DD">
        <w:trPr>
          <w:cantSplit/>
          <w:trHeight w:val="1134"/>
        </w:trPr>
        <w:tc>
          <w:tcPr>
            <w:tcW w:w="354" w:type="dxa"/>
            <w:shd w:val="clear" w:color="auto" w:fill="C2D69B" w:themeFill="accent3" w:themeFillTint="99"/>
            <w:noWrap/>
            <w:vAlign w:val="center"/>
            <w:hideMark/>
          </w:tcPr>
          <w:p w14:paraId="66783180"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22</w:t>
            </w:r>
          </w:p>
        </w:tc>
        <w:tc>
          <w:tcPr>
            <w:tcW w:w="425" w:type="dxa"/>
            <w:shd w:val="clear" w:color="auto" w:fill="auto"/>
            <w:noWrap/>
            <w:vAlign w:val="center"/>
            <w:hideMark/>
          </w:tcPr>
          <w:p w14:paraId="2C0FEBE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35</w:t>
            </w:r>
          </w:p>
        </w:tc>
        <w:tc>
          <w:tcPr>
            <w:tcW w:w="992" w:type="dxa"/>
            <w:shd w:val="clear" w:color="auto" w:fill="auto"/>
            <w:noWrap/>
            <w:vAlign w:val="center"/>
            <w:hideMark/>
          </w:tcPr>
          <w:p w14:paraId="79D97559" w14:textId="5F354CCF" w:rsidR="001B58B4" w:rsidRPr="009010DD" w:rsidRDefault="003F5945"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18/10/</w:t>
            </w:r>
            <w:r w:rsidR="001B58B4" w:rsidRPr="009010DD">
              <w:rPr>
                <w:rFonts w:ascii="Century Gothic" w:eastAsia="Times New Roman" w:hAnsi="Century Gothic" w:cs="Calibri"/>
                <w:color w:val="000000"/>
                <w:sz w:val="18"/>
                <w:szCs w:val="18"/>
              </w:rPr>
              <w:t>18</w:t>
            </w:r>
          </w:p>
        </w:tc>
        <w:tc>
          <w:tcPr>
            <w:tcW w:w="3261" w:type="dxa"/>
            <w:shd w:val="clear" w:color="auto" w:fill="auto"/>
            <w:vAlign w:val="center"/>
            <w:hideMark/>
          </w:tcPr>
          <w:p w14:paraId="2677CA46" w14:textId="5F0608BF" w:rsidR="001B58B4" w:rsidRPr="009010DD" w:rsidRDefault="001B58B4" w:rsidP="00D54630">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Servicio de conectividad a internet de las sedes de la Alcaldía de Pasto, zonas </w:t>
            </w:r>
            <w:r w:rsidR="0024166B" w:rsidRPr="009010DD">
              <w:rPr>
                <w:rFonts w:ascii="Century Gothic" w:eastAsia="Times New Roman" w:hAnsi="Century Gothic" w:cs="Calibri"/>
                <w:color w:val="000000"/>
                <w:sz w:val="18"/>
                <w:szCs w:val="18"/>
              </w:rPr>
              <w:t xml:space="preserve">WIFI </w:t>
            </w:r>
            <w:r w:rsidRPr="009010DD">
              <w:rPr>
                <w:rFonts w:ascii="Century Gothic" w:eastAsia="Times New Roman" w:hAnsi="Century Gothic" w:cs="Calibri"/>
                <w:color w:val="000000"/>
                <w:sz w:val="18"/>
                <w:szCs w:val="18"/>
              </w:rPr>
              <w:t>de parque</w:t>
            </w:r>
            <w:r w:rsidR="00D54630" w:rsidRPr="009010DD">
              <w:rPr>
                <w:rFonts w:ascii="Century Gothic" w:eastAsia="Times New Roman" w:hAnsi="Century Gothic" w:cs="Calibri"/>
                <w:color w:val="000000"/>
                <w:sz w:val="18"/>
                <w:szCs w:val="18"/>
              </w:rPr>
              <w:t>s</w:t>
            </w:r>
            <w:r w:rsidRPr="009010DD">
              <w:rPr>
                <w:rFonts w:ascii="Century Gothic" w:eastAsia="Times New Roman" w:hAnsi="Century Gothic" w:cs="Calibri"/>
                <w:color w:val="000000"/>
                <w:sz w:val="18"/>
                <w:szCs w:val="18"/>
              </w:rPr>
              <w:t xml:space="preserve"> del municipio y canales de datos para internet, telefonía y CCTV del sector rural</w:t>
            </w:r>
          </w:p>
        </w:tc>
        <w:tc>
          <w:tcPr>
            <w:tcW w:w="992" w:type="dxa"/>
            <w:shd w:val="clear" w:color="auto" w:fill="auto"/>
            <w:vAlign w:val="center"/>
            <w:hideMark/>
          </w:tcPr>
          <w:p w14:paraId="5C97AB5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4194B5CB"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propios</w:t>
            </w:r>
          </w:p>
        </w:tc>
        <w:tc>
          <w:tcPr>
            <w:tcW w:w="820" w:type="dxa"/>
            <w:shd w:val="clear" w:color="auto" w:fill="auto"/>
            <w:noWrap/>
            <w:vAlign w:val="center"/>
            <w:hideMark/>
          </w:tcPr>
          <w:p w14:paraId="010F0564" w14:textId="73019DC3" w:rsidR="001B58B4" w:rsidRPr="009010DD" w:rsidRDefault="00D01197" w:rsidP="009010DD">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27</w:t>
            </w:r>
            <w:r w:rsidR="009010DD" w:rsidRPr="009010DD">
              <w:rPr>
                <w:rFonts w:ascii="Century Gothic" w:eastAsia="Times New Roman" w:hAnsi="Century Gothic" w:cs="Calibri"/>
                <w:color w:val="000000"/>
                <w:sz w:val="18"/>
                <w:szCs w:val="18"/>
              </w:rPr>
              <w:t>3</w:t>
            </w:r>
          </w:p>
        </w:tc>
      </w:tr>
      <w:tr w:rsidR="00B7406B" w:rsidRPr="009010DD" w14:paraId="0EF9ABF2" w14:textId="77777777" w:rsidTr="009010DD">
        <w:trPr>
          <w:trHeight w:val="20"/>
        </w:trPr>
        <w:tc>
          <w:tcPr>
            <w:tcW w:w="354" w:type="dxa"/>
            <w:vMerge w:val="restart"/>
            <w:shd w:val="clear" w:color="auto" w:fill="C2D69B" w:themeFill="accent3" w:themeFillTint="99"/>
            <w:noWrap/>
            <w:vAlign w:val="center"/>
            <w:hideMark/>
          </w:tcPr>
          <w:p w14:paraId="3600D866"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23</w:t>
            </w:r>
          </w:p>
        </w:tc>
        <w:tc>
          <w:tcPr>
            <w:tcW w:w="425" w:type="dxa"/>
            <w:vMerge w:val="restart"/>
            <w:shd w:val="clear" w:color="auto" w:fill="auto"/>
            <w:noWrap/>
            <w:vAlign w:val="center"/>
            <w:hideMark/>
          </w:tcPr>
          <w:p w14:paraId="597A94C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49</w:t>
            </w:r>
          </w:p>
        </w:tc>
        <w:tc>
          <w:tcPr>
            <w:tcW w:w="992" w:type="dxa"/>
            <w:vMerge w:val="restart"/>
            <w:shd w:val="clear" w:color="auto" w:fill="auto"/>
            <w:noWrap/>
            <w:vAlign w:val="center"/>
            <w:hideMark/>
          </w:tcPr>
          <w:p w14:paraId="4EA95F78" w14:textId="71233ECA"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29/11/</w:t>
            </w:r>
            <w:r w:rsidR="003F5945" w:rsidRPr="009010DD">
              <w:rPr>
                <w:rFonts w:ascii="Century Gothic" w:eastAsia="Times New Roman" w:hAnsi="Century Gothic" w:cs="Calibri"/>
                <w:color w:val="000000"/>
                <w:sz w:val="18"/>
                <w:szCs w:val="18"/>
              </w:rPr>
              <w:t>1</w:t>
            </w:r>
            <w:r w:rsidRPr="009010DD">
              <w:rPr>
                <w:rFonts w:ascii="Century Gothic" w:eastAsia="Times New Roman" w:hAnsi="Century Gothic" w:cs="Calibri"/>
                <w:color w:val="000000"/>
                <w:sz w:val="18"/>
                <w:szCs w:val="18"/>
              </w:rPr>
              <w:t>8</w:t>
            </w:r>
          </w:p>
        </w:tc>
        <w:tc>
          <w:tcPr>
            <w:tcW w:w="3261" w:type="dxa"/>
            <w:vMerge w:val="restart"/>
            <w:shd w:val="clear" w:color="auto" w:fill="auto"/>
            <w:vAlign w:val="center"/>
            <w:hideMark/>
          </w:tcPr>
          <w:p w14:paraId="52C050A4" w14:textId="6B4B2D63" w:rsidR="001B58B4" w:rsidRPr="009010DD" w:rsidRDefault="001B58B4" w:rsidP="00B7406B">
            <w:pPr>
              <w:spacing w:after="0" w:line="240" w:lineRule="auto"/>
              <w:jc w:val="both"/>
              <w:rPr>
                <w:rFonts w:ascii="Century Gothic" w:eastAsia="Times New Roman" w:hAnsi="Century Gothic" w:cs="Calibri"/>
                <w:iCs/>
                <w:color w:val="000000"/>
                <w:sz w:val="18"/>
                <w:szCs w:val="18"/>
              </w:rPr>
            </w:pPr>
            <w:r w:rsidRPr="009010DD">
              <w:rPr>
                <w:rFonts w:ascii="Century Gothic" w:eastAsia="Times New Roman" w:hAnsi="Century Gothic" w:cs="Calibri"/>
                <w:iCs/>
                <w:color w:val="000000"/>
                <w:sz w:val="18"/>
                <w:szCs w:val="18"/>
              </w:rPr>
              <w:t>Apoyo implementación del progra</w:t>
            </w:r>
            <w:r w:rsidR="00B7406B" w:rsidRPr="009010DD">
              <w:rPr>
                <w:rFonts w:ascii="Century Gothic" w:eastAsia="Times New Roman" w:hAnsi="Century Gothic" w:cs="Calibri"/>
                <w:iCs/>
                <w:color w:val="000000"/>
                <w:sz w:val="18"/>
                <w:szCs w:val="18"/>
              </w:rPr>
              <w:t>ma de alimentación escolar – PAE</w:t>
            </w:r>
          </w:p>
        </w:tc>
        <w:tc>
          <w:tcPr>
            <w:tcW w:w="992" w:type="dxa"/>
            <w:vMerge w:val="restart"/>
            <w:shd w:val="clear" w:color="auto" w:fill="auto"/>
            <w:vAlign w:val="center"/>
            <w:hideMark/>
          </w:tcPr>
          <w:p w14:paraId="36E27972" w14:textId="77777777" w:rsidR="001B58B4" w:rsidRPr="009010DD" w:rsidRDefault="001B58B4" w:rsidP="00B7406B">
            <w:pPr>
              <w:spacing w:after="0" w:line="240" w:lineRule="auto"/>
              <w:jc w:val="center"/>
              <w:rPr>
                <w:rFonts w:ascii="Century Gothic" w:eastAsia="Times New Roman" w:hAnsi="Century Gothic" w:cs="Calibri"/>
                <w:i/>
                <w:iCs/>
                <w:color w:val="000000"/>
                <w:sz w:val="18"/>
                <w:szCs w:val="18"/>
              </w:rPr>
            </w:pPr>
            <w:r w:rsidRPr="009010DD">
              <w:rPr>
                <w:rFonts w:ascii="Century Gothic" w:eastAsia="Times New Roman" w:hAnsi="Century Gothic" w:cs="Calibri"/>
                <w:iCs/>
                <w:color w:val="000000"/>
                <w:sz w:val="18"/>
                <w:szCs w:val="18"/>
              </w:rPr>
              <w:t>Excepcional</w:t>
            </w:r>
          </w:p>
        </w:tc>
        <w:tc>
          <w:tcPr>
            <w:tcW w:w="1984" w:type="dxa"/>
            <w:shd w:val="clear" w:color="auto" w:fill="auto"/>
            <w:vAlign w:val="center"/>
            <w:hideMark/>
          </w:tcPr>
          <w:p w14:paraId="2959EA66" w14:textId="63DE7F07" w:rsidR="001B58B4" w:rsidRPr="009010DD" w:rsidRDefault="00D54630" w:rsidP="00D54630">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Recursos de Inversión</w:t>
            </w:r>
            <w:r w:rsidR="0024166B" w:rsidRPr="009010DD">
              <w:rPr>
                <w:rFonts w:ascii="Century Gothic" w:eastAsia="Times New Roman" w:hAnsi="Century Gothic" w:cs="Calibri"/>
                <w:color w:val="000000"/>
                <w:sz w:val="18"/>
                <w:szCs w:val="18"/>
              </w:rPr>
              <w:t xml:space="preserve"> </w:t>
            </w:r>
            <w:r w:rsidRPr="009010DD">
              <w:rPr>
                <w:rFonts w:ascii="Century Gothic" w:eastAsia="Times New Roman" w:hAnsi="Century Gothic" w:cs="Calibri"/>
                <w:color w:val="000000"/>
                <w:sz w:val="18"/>
                <w:szCs w:val="18"/>
              </w:rPr>
              <w:t>–</w:t>
            </w:r>
            <w:r w:rsidR="0024166B" w:rsidRPr="009010DD">
              <w:rPr>
                <w:rFonts w:ascii="Century Gothic" w:eastAsia="Times New Roman" w:hAnsi="Century Gothic" w:cs="Calibri"/>
                <w:color w:val="000000"/>
                <w:sz w:val="18"/>
                <w:szCs w:val="18"/>
              </w:rPr>
              <w:t xml:space="preserve"> M</w:t>
            </w:r>
            <w:r w:rsidRPr="009010DD">
              <w:rPr>
                <w:rFonts w:ascii="Century Gothic" w:eastAsia="Times New Roman" w:hAnsi="Century Gothic" w:cs="Calibri"/>
                <w:color w:val="000000"/>
                <w:sz w:val="18"/>
                <w:szCs w:val="18"/>
              </w:rPr>
              <w:t>EN-</w:t>
            </w:r>
            <w:r w:rsidR="0024166B" w:rsidRPr="009010DD">
              <w:rPr>
                <w:rFonts w:ascii="Century Gothic" w:eastAsia="Times New Roman" w:hAnsi="Century Gothic" w:cs="Calibri"/>
                <w:color w:val="000000"/>
                <w:sz w:val="18"/>
                <w:szCs w:val="18"/>
              </w:rPr>
              <w:t xml:space="preserve"> </w:t>
            </w:r>
            <w:r w:rsidR="001B58B4" w:rsidRPr="009010DD">
              <w:rPr>
                <w:rFonts w:ascii="Century Gothic" w:eastAsia="Times New Roman" w:hAnsi="Century Gothic" w:cs="Calibri"/>
                <w:color w:val="000000"/>
                <w:sz w:val="18"/>
                <w:szCs w:val="18"/>
              </w:rPr>
              <w:t>cofinanciación PAE 2019</w:t>
            </w:r>
          </w:p>
        </w:tc>
        <w:tc>
          <w:tcPr>
            <w:tcW w:w="820" w:type="dxa"/>
            <w:shd w:val="clear" w:color="auto" w:fill="auto"/>
            <w:noWrap/>
            <w:vAlign w:val="center"/>
            <w:hideMark/>
          </w:tcPr>
          <w:p w14:paraId="798218AD" w14:textId="4D37C309"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$5.</w:t>
            </w:r>
            <w:r w:rsidR="001B58B4" w:rsidRPr="009010DD">
              <w:rPr>
                <w:rFonts w:ascii="Century Gothic" w:eastAsia="Times New Roman" w:hAnsi="Century Gothic" w:cs="Calibri"/>
                <w:color w:val="000000"/>
                <w:sz w:val="18"/>
                <w:szCs w:val="18"/>
              </w:rPr>
              <w:t>726</w:t>
            </w:r>
          </w:p>
        </w:tc>
      </w:tr>
      <w:tr w:rsidR="00B7406B" w:rsidRPr="009010DD" w14:paraId="0732F380" w14:textId="77777777" w:rsidTr="009010DD">
        <w:trPr>
          <w:trHeight w:val="20"/>
        </w:trPr>
        <w:tc>
          <w:tcPr>
            <w:tcW w:w="354" w:type="dxa"/>
            <w:vMerge/>
            <w:shd w:val="clear" w:color="auto" w:fill="C2D69B" w:themeFill="accent3" w:themeFillTint="99"/>
            <w:vAlign w:val="center"/>
            <w:hideMark/>
          </w:tcPr>
          <w:p w14:paraId="1B462993"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6DB5AAE4"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6D69D96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10C5FF8A" w14:textId="77777777" w:rsidR="001B58B4" w:rsidRPr="009010DD" w:rsidRDefault="001B58B4" w:rsidP="00B7406B">
            <w:pPr>
              <w:spacing w:after="0" w:line="240" w:lineRule="auto"/>
              <w:jc w:val="both"/>
              <w:rPr>
                <w:rFonts w:ascii="Century Gothic" w:eastAsia="Times New Roman" w:hAnsi="Century Gothic" w:cs="Calibri"/>
                <w:i/>
                <w:iCs/>
                <w:color w:val="000000"/>
                <w:sz w:val="18"/>
                <w:szCs w:val="18"/>
              </w:rPr>
            </w:pPr>
          </w:p>
        </w:tc>
        <w:tc>
          <w:tcPr>
            <w:tcW w:w="992" w:type="dxa"/>
            <w:vMerge/>
            <w:vAlign w:val="center"/>
            <w:hideMark/>
          </w:tcPr>
          <w:p w14:paraId="16E910C0" w14:textId="77777777" w:rsidR="001B58B4" w:rsidRPr="009010DD" w:rsidRDefault="001B58B4" w:rsidP="00B7406B">
            <w:pPr>
              <w:spacing w:after="0" w:line="240" w:lineRule="auto"/>
              <w:jc w:val="center"/>
              <w:rPr>
                <w:rFonts w:ascii="Century Gothic" w:eastAsia="Times New Roman" w:hAnsi="Century Gothic" w:cs="Calibri"/>
                <w:i/>
                <w:iCs/>
                <w:color w:val="000000"/>
                <w:sz w:val="18"/>
                <w:szCs w:val="18"/>
              </w:rPr>
            </w:pPr>
          </w:p>
        </w:tc>
        <w:tc>
          <w:tcPr>
            <w:tcW w:w="1984" w:type="dxa"/>
            <w:shd w:val="clear" w:color="auto" w:fill="auto"/>
            <w:vAlign w:val="center"/>
            <w:hideMark/>
          </w:tcPr>
          <w:p w14:paraId="06345166" w14:textId="3A58CF0A" w:rsidR="001B58B4" w:rsidRPr="009010DD" w:rsidRDefault="0024166B" w:rsidP="00D54630">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de inversión </w:t>
            </w:r>
            <w:r w:rsidR="001B58B4" w:rsidRPr="009010DD">
              <w:rPr>
                <w:rFonts w:ascii="Century Gothic" w:eastAsia="Times New Roman" w:hAnsi="Century Gothic" w:cs="Calibri"/>
                <w:color w:val="000000"/>
                <w:sz w:val="18"/>
                <w:szCs w:val="18"/>
              </w:rPr>
              <w:t>– M</w:t>
            </w:r>
            <w:r w:rsidR="00D54630" w:rsidRPr="009010DD">
              <w:rPr>
                <w:rFonts w:ascii="Century Gothic" w:eastAsia="Times New Roman" w:hAnsi="Century Gothic" w:cs="Calibri"/>
                <w:color w:val="000000"/>
                <w:sz w:val="18"/>
                <w:szCs w:val="18"/>
              </w:rPr>
              <w:t>EN-</w:t>
            </w:r>
            <w:r w:rsidR="009010DD">
              <w:rPr>
                <w:rFonts w:ascii="Century Gothic" w:eastAsia="Times New Roman" w:hAnsi="Century Gothic" w:cs="Calibri"/>
                <w:color w:val="000000"/>
                <w:sz w:val="18"/>
                <w:szCs w:val="18"/>
              </w:rPr>
              <w:t xml:space="preserve"> cofinanciación PAE</w:t>
            </w:r>
            <w:r w:rsidR="001B58B4" w:rsidRPr="009010DD">
              <w:rPr>
                <w:rFonts w:ascii="Century Gothic" w:eastAsia="Times New Roman" w:hAnsi="Century Gothic" w:cs="Calibri"/>
                <w:color w:val="000000"/>
                <w:sz w:val="18"/>
                <w:szCs w:val="18"/>
              </w:rPr>
              <w:t xml:space="preserve"> 2019</w:t>
            </w:r>
          </w:p>
        </w:tc>
        <w:tc>
          <w:tcPr>
            <w:tcW w:w="820" w:type="dxa"/>
            <w:shd w:val="clear" w:color="auto" w:fill="auto"/>
            <w:noWrap/>
            <w:vAlign w:val="center"/>
            <w:hideMark/>
          </w:tcPr>
          <w:p w14:paraId="202359A6" w14:textId="6F421E30"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1</w:t>
            </w: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575</w:t>
            </w:r>
          </w:p>
        </w:tc>
      </w:tr>
      <w:tr w:rsidR="00B7406B" w:rsidRPr="009010DD" w14:paraId="192AB130" w14:textId="77777777" w:rsidTr="009010DD">
        <w:trPr>
          <w:trHeight w:val="20"/>
        </w:trPr>
        <w:tc>
          <w:tcPr>
            <w:tcW w:w="354" w:type="dxa"/>
            <w:vMerge/>
            <w:shd w:val="clear" w:color="auto" w:fill="C2D69B" w:themeFill="accent3" w:themeFillTint="99"/>
            <w:vAlign w:val="center"/>
            <w:hideMark/>
          </w:tcPr>
          <w:p w14:paraId="48B41FD6"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41362045"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5480D480"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6D651FBE" w14:textId="77777777" w:rsidR="001B58B4" w:rsidRPr="009010DD" w:rsidRDefault="001B58B4" w:rsidP="00B7406B">
            <w:pPr>
              <w:spacing w:after="0" w:line="240" w:lineRule="auto"/>
              <w:jc w:val="both"/>
              <w:rPr>
                <w:rFonts w:ascii="Century Gothic" w:eastAsia="Times New Roman" w:hAnsi="Century Gothic" w:cs="Calibri"/>
                <w:i/>
                <w:iCs/>
                <w:color w:val="000000"/>
                <w:sz w:val="18"/>
                <w:szCs w:val="18"/>
              </w:rPr>
            </w:pPr>
          </w:p>
        </w:tc>
        <w:tc>
          <w:tcPr>
            <w:tcW w:w="992" w:type="dxa"/>
            <w:vMerge/>
            <w:vAlign w:val="center"/>
            <w:hideMark/>
          </w:tcPr>
          <w:p w14:paraId="5B7FB5C8" w14:textId="77777777" w:rsidR="001B58B4" w:rsidRPr="009010DD" w:rsidRDefault="001B58B4" w:rsidP="00B7406B">
            <w:pPr>
              <w:spacing w:after="0" w:line="240" w:lineRule="auto"/>
              <w:jc w:val="center"/>
              <w:rPr>
                <w:rFonts w:ascii="Century Gothic" w:eastAsia="Times New Roman" w:hAnsi="Century Gothic" w:cs="Calibri"/>
                <w:i/>
                <w:iCs/>
                <w:color w:val="000000"/>
                <w:sz w:val="18"/>
                <w:szCs w:val="18"/>
              </w:rPr>
            </w:pPr>
          </w:p>
        </w:tc>
        <w:tc>
          <w:tcPr>
            <w:tcW w:w="1984" w:type="dxa"/>
            <w:shd w:val="clear" w:color="auto" w:fill="auto"/>
            <w:vAlign w:val="center"/>
            <w:hideMark/>
          </w:tcPr>
          <w:p w14:paraId="4D6D99F0" w14:textId="7B5237CE"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Desahorro </w:t>
            </w:r>
            <w:r w:rsidR="00D54630" w:rsidRPr="009010DD">
              <w:rPr>
                <w:rFonts w:ascii="Century Gothic" w:eastAsia="Times New Roman" w:hAnsi="Century Gothic" w:cs="Calibri"/>
                <w:color w:val="000000"/>
                <w:sz w:val="18"/>
                <w:szCs w:val="18"/>
              </w:rPr>
              <w:t>FONPET</w:t>
            </w:r>
          </w:p>
        </w:tc>
        <w:tc>
          <w:tcPr>
            <w:tcW w:w="820" w:type="dxa"/>
            <w:shd w:val="clear" w:color="auto" w:fill="auto"/>
            <w:noWrap/>
            <w:vAlign w:val="center"/>
            <w:hideMark/>
          </w:tcPr>
          <w:p w14:paraId="00B775B1" w14:textId="105D2E77"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w:t>
            </w:r>
            <w:r w:rsidR="009010DD" w:rsidRPr="009010DD">
              <w:rPr>
                <w:rFonts w:ascii="Century Gothic" w:eastAsia="Times New Roman" w:hAnsi="Century Gothic" w:cs="Calibri"/>
                <w:color w:val="000000"/>
                <w:sz w:val="18"/>
                <w:szCs w:val="18"/>
              </w:rPr>
              <w:t>493</w:t>
            </w:r>
          </w:p>
        </w:tc>
      </w:tr>
      <w:tr w:rsidR="00B7406B" w:rsidRPr="009010DD" w14:paraId="797FE0D8" w14:textId="77777777" w:rsidTr="009010DD">
        <w:trPr>
          <w:cantSplit/>
          <w:trHeight w:val="58"/>
        </w:trPr>
        <w:tc>
          <w:tcPr>
            <w:tcW w:w="354" w:type="dxa"/>
            <w:shd w:val="clear" w:color="auto" w:fill="C2D69B" w:themeFill="accent3" w:themeFillTint="99"/>
            <w:noWrap/>
            <w:vAlign w:val="center"/>
            <w:hideMark/>
          </w:tcPr>
          <w:p w14:paraId="15DC4686"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24</w:t>
            </w:r>
          </w:p>
        </w:tc>
        <w:tc>
          <w:tcPr>
            <w:tcW w:w="425" w:type="dxa"/>
            <w:shd w:val="clear" w:color="auto" w:fill="auto"/>
            <w:noWrap/>
            <w:vAlign w:val="center"/>
            <w:hideMark/>
          </w:tcPr>
          <w:p w14:paraId="3E8A379E"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49</w:t>
            </w:r>
          </w:p>
        </w:tc>
        <w:tc>
          <w:tcPr>
            <w:tcW w:w="992" w:type="dxa"/>
            <w:shd w:val="clear" w:color="auto" w:fill="auto"/>
            <w:noWrap/>
            <w:vAlign w:val="center"/>
            <w:hideMark/>
          </w:tcPr>
          <w:p w14:paraId="57847BAE" w14:textId="443D3DF2" w:rsidR="001B58B4" w:rsidRPr="009010DD" w:rsidRDefault="0024166B"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29/11/</w:t>
            </w:r>
            <w:r w:rsidR="001B58B4" w:rsidRPr="009010DD">
              <w:rPr>
                <w:rFonts w:ascii="Century Gothic" w:eastAsia="Times New Roman" w:hAnsi="Century Gothic" w:cs="Calibri"/>
                <w:color w:val="000000"/>
                <w:sz w:val="18"/>
                <w:szCs w:val="18"/>
              </w:rPr>
              <w:t>18</w:t>
            </w:r>
          </w:p>
        </w:tc>
        <w:tc>
          <w:tcPr>
            <w:tcW w:w="3261" w:type="dxa"/>
            <w:shd w:val="clear" w:color="auto" w:fill="auto"/>
            <w:vAlign w:val="center"/>
            <w:hideMark/>
          </w:tcPr>
          <w:p w14:paraId="1089AB30" w14:textId="152501D9" w:rsidR="001B58B4" w:rsidRPr="009010DD" w:rsidRDefault="001B58B4" w:rsidP="00B7406B">
            <w:pPr>
              <w:spacing w:after="0" w:line="240" w:lineRule="auto"/>
              <w:jc w:val="both"/>
              <w:rPr>
                <w:rFonts w:ascii="Century Gothic" w:eastAsia="Times New Roman" w:hAnsi="Century Gothic" w:cs="Calibri"/>
                <w:iCs/>
                <w:color w:val="000000"/>
                <w:sz w:val="18"/>
                <w:szCs w:val="18"/>
              </w:rPr>
            </w:pPr>
            <w:r w:rsidRPr="009010DD">
              <w:rPr>
                <w:rFonts w:ascii="Century Gothic" w:eastAsia="Times New Roman" w:hAnsi="Century Gothic" w:cs="Calibri"/>
                <w:iCs/>
                <w:color w:val="000000"/>
                <w:sz w:val="18"/>
                <w:szCs w:val="18"/>
              </w:rPr>
              <w:t xml:space="preserve">Apoyo implementación del </w:t>
            </w:r>
            <w:r w:rsidR="00D54630" w:rsidRPr="009010DD">
              <w:rPr>
                <w:rFonts w:ascii="Century Gothic" w:eastAsia="Times New Roman" w:hAnsi="Century Gothic" w:cs="Calibri"/>
                <w:iCs/>
                <w:color w:val="000000"/>
                <w:sz w:val="18"/>
                <w:szCs w:val="18"/>
              </w:rPr>
              <w:t xml:space="preserve">Programa de Alimentación Escolar </w:t>
            </w:r>
          </w:p>
        </w:tc>
        <w:tc>
          <w:tcPr>
            <w:tcW w:w="992" w:type="dxa"/>
            <w:shd w:val="clear" w:color="auto" w:fill="auto"/>
            <w:noWrap/>
            <w:vAlign w:val="center"/>
            <w:hideMark/>
          </w:tcPr>
          <w:p w14:paraId="0C791646"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Excepcional</w:t>
            </w:r>
          </w:p>
        </w:tc>
        <w:tc>
          <w:tcPr>
            <w:tcW w:w="1984" w:type="dxa"/>
            <w:shd w:val="clear" w:color="auto" w:fill="auto"/>
            <w:vAlign w:val="center"/>
            <w:hideMark/>
          </w:tcPr>
          <w:p w14:paraId="1C5839FF" w14:textId="0C9F5F0A"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Desahorro </w:t>
            </w:r>
            <w:r w:rsidR="00D54630" w:rsidRPr="009010DD">
              <w:rPr>
                <w:rFonts w:ascii="Century Gothic" w:eastAsia="Times New Roman" w:hAnsi="Century Gothic" w:cs="Calibri"/>
                <w:color w:val="000000"/>
                <w:sz w:val="18"/>
                <w:szCs w:val="18"/>
              </w:rPr>
              <w:t>FONPET</w:t>
            </w:r>
          </w:p>
        </w:tc>
        <w:tc>
          <w:tcPr>
            <w:tcW w:w="820" w:type="dxa"/>
            <w:shd w:val="clear" w:color="auto" w:fill="auto"/>
            <w:noWrap/>
            <w:vAlign w:val="center"/>
            <w:hideMark/>
          </w:tcPr>
          <w:p w14:paraId="7FB5B8CF" w14:textId="687DC519"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9010DD" w:rsidRPr="009010DD">
              <w:rPr>
                <w:rFonts w:ascii="Century Gothic" w:eastAsia="Times New Roman" w:hAnsi="Century Gothic" w:cs="Calibri"/>
                <w:color w:val="000000"/>
                <w:sz w:val="18"/>
                <w:szCs w:val="18"/>
              </w:rPr>
              <w:t>713</w:t>
            </w:r>
          </w:p>
        </w:tc>
      </w:tr>
      <w:tr w:rsidR="00B7406B" w:rsidRPr="009010DD" w14:paraId="447E3C05" w14:textId="77777777" w:rsidTr="009010DD">
        <w:trPr>
          <w:trHeight w:val="407"/>
        </w:trPr>
        <w:tc>
          <w:tcPr>
            <w:tcW w:w="354" w:type="dxa"/>
            <w:vMerge w:val="restart"/>
            <w:shd w:val="clear" w:color="auto" w:fill="C2D69B" w:themeFill="accent3" w:themeFillTint="99"/>
            <w:noWrap/>
            <w:vAlign w:val="center"/>
            <w:hideMark/>
          </w:tcPr>
          <w:p w14:paraId="39E1C437"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r w:rsidRPr="009010DD">
              <w:rPr>
                <w:rFonts w:ascii="Century Gothic" w:eastAsia="Times New Roman" w:hAnsi="Century Gothic" w:cs="Calibri"/>
                <w:b/>
                <w:color w:val="000000"/>
                <w:sz w:val="18"/>
                <w:szCs w:val="18"/>
              </w:rPr>
              <w:t>25</w:t>
            </w:r>
          </w:p>
        </w:tc>
        <w:tc>
          <w:tcPr>
            <w:tcW w:w="425" w:type="dxa"/>
            <w:vMerge w:val="restart"/>
            <w:shd w:val="clear" w:color="auto" w:fill="auto"/>
            <w:noWrap/>
            <w:vAlign w:val="center"/>
            <w:hideMark/>
          </w:tcPr>
          <w:p w14:paraId="253154AA"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39</w:t>
            </w:r>
          </w:p>
        </w:tc>
        <w:tc>
          <w:tcPr>
            <w:tcW w:w="992" w:type="dxa"/>
            <w:vMerge w:val="restart"/>
            <w:shd w:val="clear" w:color="auto" w:fill="auto"/>
            <w:noWrap/>
            <w:vAlign w:val="center"/>
            <w:hideMark/>
          </w:tcPr>
          <w:p w14:paraId="7089B9B3" w14:textId="65D32F27" w:rsidR="001B58B4" w:rsidRPr="009010DD" w:rsidRDefault="0024166B"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05/11/</w:t>
            </w:r>
            <w:r w:rsidR="001B58B4" w:rsidRPr="009010DD">
              <w:rPr>
                <w:rFonts w:ascii="Century Gothic" w:eastAsia="Times New Roman" w:hAnsi="Century Gothic" w:cs="Calibri"/>
                <w:color w:val="000000"/>
                <w:sz w:val="18"/>
                <w:szCs w:val="18"/>
              </w:rPr>
              <w:t>18</w:t>
            </w:r>
          </w:p>
        </w:tc>
        <w:tc>
          <w:tcPr>
            <w:tcW w:w="3261" w:type="dxa"/>
            <w:vMerge w:val="restart"/>
            <w:shd w:val="clear" w:color="auto" w:fill="auto"/>
            <w:vAlign w:val="center"/>
            <w:hideMark/>
          </w:tcPr>
          <w:p w14:paraId="6EA5EDDA" w14:textId="19A5973B" w:rsidR="001B58B4" w:rsidRPr="009010DD" w:rsidRDefault="0024166B" w:rsidP="00B7406B">
            <w:pPr>
              <w:spacing w:after="0" w:line="240" w:lineRule="auto"/>
              <w:jc w:val="both"/>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C</w:t>
            </w:r>
            <w:r w:rsidR="001B58B4" w:rsidRPr="009010DD">
              <w:rPr>
                <w:rFonts w:ascii="Century Gothic" w:eastAsia="Times New Roman" w:hAnsi="Century Gothic" w:cs="Calibri"/>
                <w:color w:val="000000"/>
                <w:sz w:val="18"/>
                <w:szCs w:val="18"/>
              </w:rPr>
              <w:t xml:space="preserve">onstrucción e interventoría del parque ambiental Rumipamba primera etapa, vigencia 2018 del municipio de </w:t>
            </w:r>
            <w:r w:rsidR="00B7406B" w:rsidRPr="009010DD">
              <w:rPr>
                <w:rFonts w:ascii="Century Gothic" w:eastAsia="Times New Roman" w:hAnsi="Century Gothic" w:cs="Calibri"/>
                <w:color w:val="000000"/>
                <w:sz w:val="18"/>
                <w:szCs w:val="18"/>
              </w:rPr>
              <w:t>Pasto</w:t>
            </w:r>
          </w:p>
        </w:tc>
        <w:tc>
          <w:tcPr>
            <w:tcW w:w="992" w:type="dxa"/>
            <w:vMerge w:val="restart"/>
            <w:shd w:val="clear" w:color="auto" w:fill="auto"/>
            <w:vAlign w:val="center"/>
            <w:hideMark/>
          </w:tcPr>
          <w:p w14:paraId="6EA2BEB3"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Ordinaria</w:t>
            </w:r>
          </w:p>
        </w:tc>
        <w:tc>
          <w:tcPr>
            <w:tcW w:w="1984" w:type="dxa"/>
            <w:shd w:val="clear" w:color="auto" w:fill="auto"/>
            <w:noWrap/>
            <w:vAlign w:val="center"/>
            <w:hideMark/>
          </w:tcPr>
          <w:p w14:paraId="747AD8A1" w14:textId="4393245C"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propios y </w:t>
            </w:r>
            <w:r w:rsidR="00D54630" w:rsidRPr="009010DD">
              <w:rPr>
                <w:rFonts w:ascii="Century Gothic" w:eastAsia="Times New Roman" w:hAnsi="Century Gothic" w:cs="Calibri"/>
                <w:color w:val="000000"/>
                <w:sz w:val="18"/>
                <w:szCs w:val="18"/>
              </w:rPr>
              <w:t>FONCEP</w:t>
            </w:r>
          </w:p>
        </w:tc>
        <w:tc>
          <w:tcPr>
            <w:tcW w:w="820" w:type="dxa"/>
            <w:shd w:val="clear" w:color="auto" w:fill="auto"/>
            <w:vAlign w:val="center"/>
            <w:hideMark/>
          </w:tcPr>
          <w:p w14:paraId="27D57F37" w14:textId="081B84D6" w:rsidR="001B58B4" w:rsidRPr="009010DD" w:rsidRDefault="009010DD"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$3.228</w:t>
            </w:r>
          </w:p>
        </w:tc>
      </w:tr>
      <w:tr w:rsidR="00B7406B" w:rsidRPr="009010DD" w14:paraId="69DF4F42" w14:textId="77777777" w:rsidTr="009010DD">
        <w:trPr>
          <w:trHeight w:val="20"/>
        </w:trPr>
        <w:tc>
          <w:tcPr>
            <w:tcW w:w="354" w:type="dxa"/>
            <w:vMerge/>
            <w:shd w:val="clear" w:color="auto" w:fill="C2D69B" w:themeFill="accent3" w:themeFillTint="99"/>
            <w:vAlign w:val="center"/>
            <w:hideMark/>
          </w:tcPr>
          <w:p w14:paraId="39D159E4" w14:textId="77777777" w:rsidR="001B58B4" w:rsidRPr="009010DD" w:rsidRDefault="001B58B4" w:rsidP="00D54630">
            <w:pPr>
              <w:spacing w:after="0" w:line="240" w:lineRule="auto"/>
              <w:jc w:val="center"/>
              <w:rPr>
                <w:rFonts w:ascii="Century Gothic" w:eastAsia="Times New Roman" w:hAnsi="Century Gothic" w:cs="Calibri"/>
                <w:b/>
                <w:color w:val="000000"/>
                <w:sz w:val="18"/>
                <w:szCs w:val="18"/>
              </w:rPr>
            </w:pPr>
          </w:p>
        </w:tc>
        <w:tc>
          <w:tcPr>
            <w:tcW w:w="425" w:type="dxa"/>
            <w:vMerge/>
            <w:vAlign w:val="center"/>
            <w:hideMark/>
          </w:tcPr>
          <w:p w14:paraId="2F72640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992" w:type="dxa"/>
            <w:vMerge/>
            <w:vAlign w:val="center"/>
            <w:hideMark/>
          </w:tcPr>
          <w:p w14:paraId="527374F2"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3261" w:type="dxa"/>
            <w:vMerge/>
            <w:vAlign w:val="center"/>
            <w:hideMark/>
          </w:tcPr>
          <w:p w14:paraId="325A480C" w14:textId="77777777" w:rsidR="001B58B4" w:rsidRPr="009010DD" w:rsidRDefault="001B58B4" w:rsidP="00B7406B">
            <w:pPr>
              <w:spacing w:after="0" w:line="240" w:lineRule="auto"/>
              <w:jc w:val="both"/>
              <w:rPr>
                <w:rFonts w:ascii="Century Gothic" w:eastAsia="Times New Roman" w:hAnsi="Century Gothic" w:cs="Calibri"/>
                <w:color w:val="000000"/>
                <w:sz w:val="18"/>
                <w:szCs w:val="18"/>
              </w:rPr>
            </w:pPr>
          </w:p>
        </w:tc>
        <w:tc>
          <w:tcPr>
            <w:tcW w:w="992" w:type="dxa"/>
            <w:vMerge/>
            <w:vAlign w:val="center"/>
            <w:hideMark/>
          </w:tcPr>
          <w:p w14:paraId="4C8ACFEC" w14:textId="77777777" w:rsidR="001B58B4" w:rsidRPr="009010DD" w:rsidRDefault="001B58B4" w:rsidP="00B7406B">
            <w:pPr>
              <w:spacing w:after="0" w:line="240" w:lineRule="auto"/>
              <w:jc w:val="center"/>
              <w:rPr>
                <w:rFonts w:ascii="Century Gothic" w:eastAsia="Times New Roman" w:hAnsi="Century Gothic" w:cs="Calibri"/>
                <w:color w:val="000000"/>
                <w:sz w:val="18"/>
                <w:szCs w:val="18"/>
              </w:rPr>
            </w:pPr>
          </w:p>
        </w:tc>
        <w:tc>
          <w:tcPr>
            <w:tcW w:w="1984" w:type="dxa"/>
            <w:shd w:val="clear" w:color="auto" w:fill="auto"/>
            <w:noWrap/>
            <w:vAlign w:val="center"/>
            <w:hideMark/>
          </w:tcPr>
          <w:p w14:paraId="0457693B" w14:textId="73D7D998" w:rsidR="001B58B4" w:rsidRPr="009010DD" w:rsidRDefault="001B58B4" w:rsidP="00B7406B">
            <w:pPr>
              <w:spacing w:after="0" w:line="240" w:lineRule="auto"/>
              <w:jc w:val="center"/>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 xml:space="preserve">Recursos propios y </w:t>
            </w:r>
            <w:r w:rsidR="00D54630" w:rsidRPr="009010DD">
              <w:rPr>
                <w:rFonts w:ascii="Century Gothic" w:eastAsia="Times New Roman" w:hAnsi="Century Gothic" w:cs="Calibri"/>
                <w:color w:val="000000"/>
                <w:sz w:val="18"/>
                <w:szCs w:val="18"/>
              </w:rPr>
              <w:t>FONCEP</w:t>
            </w:r>
          </w:p>
        </w:tc>
        <w:tc>
          <w:tcPr>
            <w:tcW w:w="820" w:type="dxa"/>
            <w:shd w:val="clear" w:color="auto" w:fill="auto"/>
            <w:vAlign w:val="center"/>
            <w:hideMark/>
          </w:tcPr>
          <w:p w14:paraId="286C9D67" w14:textId="4A71C94F" w:rsidR="001B58B4" w:rsidRPr="009010DD" w:rsidRDefault="00D01197" w:rsidP="00B7406B">
            <w:pPr>
              <w:spacing w:after="0" w:line="240" w:lineRule="auto"/>
              <w:jc w:val="right"/>
              <w:rPr>
                <w:rFonts w:ascii="Century Gothic" w:eastAsia="Times New Roman" w:hAnsi="Century Gothic" w:cs="Calibri"/>
                <w:color w:val="000000"/>
                <w:sz w:val="18"/>
                <w:szCs w:val="18"/>
              </w:rPr>
            </w:pPr>
            <w:r w:rsidRPr="009010DD">
              <w:rPr>
                <w:rFonts w:ascii="Century Gothic" w:eastAsia="Times New Roman" w:hAnsi="Century Gothic" w:cs="Calibri"/>
                <w:color w:val="000000"/>
                <w:sz w:val="18"/>
                <w:szCs w:val="18"/>
              </w:rPr>
              <w:t>$</w:t>
            </w:r>
            <w:r w:rsidR="001B58B4" w:rsidRPr="009010DD">
              <w:rPr>
                <w:rFonts w:ascii="Century Gothic" w:eastAsia="Times New Roman" w:hAnsi="Century Gothic" w:cs="Calibri"/>
                <w:color w:val="000000"/>
                <w:sz w:val="18"/>
                <w:szCs w:val="18"/>
              </w:rPr>
              <w:t>266</w:t>
            </w:r>
          </w:p>
        </w:tc>
      </w:tr>
      <w:tr w:rsidR="001B58B4" w:rsidRPr="0024166B" w14:paraId="4046DEC7" w14:textId="77777777" w:rsidTr="009010DD">
        <w:trPr>
          <w:cantSplit/>
          <w:trHeight w:val="244"/>
        </w:trPr>
        <w:tc>
          <w:tcPr>
            <w:tcW w:w="8008" w:type="dxa"/>
            <w:gridSpan w:val="6"/>
            <w:shd w:val="clear" w:color="auto" w:fill="C2D69B" w:themeFill="accent3" w:themeFillTint="99"/>
            <w:noWrap/>
            <w:vAlign w:val="center"/>
            <w:hideMark/>
          </w:tcPr>
          <w:p w14:paraId="36F084D3" w14:textId="2B968A3F" w:rsidR="001B58B4" w:rsidRPr="009010DD" w:rsidRDefault="0024166B" w:rsidP="00D54630">
            <w:pPr>
              <w:spacing w:after="0" w:line="240" w:lineRule="auto"/>
              <w:jc w:val="center"/>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Total</w:t>
            </w:r>
          </w:p>
        </w:tc>
        <w:tc>
          <w:tcPr>
            <w:tcW w:w="820" w:type="dxa"/>
            <w:shd w:val="clear" w:color="auto" w:fill="C2D69B" w:themeFill="accent3" w:themeFillTint="99"/>
            <w:vAlign w:val="center"/>
            <w:hideMark/>
          </w:tcPr>
          <w:p w14:paraId="44245111" w14:textId="3125BE4E" w:rsidR="001B58B4" w:rsidRPr="0024166B" w:rsidRDefault="009010DD" w:rsidP="00B7406B">
            <w:pPr>
              <w:spacing w:after="0" w:line="240" w:lineRule="auto"/>
              <w:jc w:val="right"/>
              <w:rPr>
                <w:rFonts w:ascii="Century Gothic" w:eastAsia="Times New Roman" w:hAnsi="Century Gothic" w:cs="Calibri"/>
                <w:b/>
                <w:bCs/>
                <w:color w:val="000000"/>
                <w:sz w:val="18"/>
                <w:szCs w:val="18"/>
              </w:rPr>
            </w:pPr>
            <w:r w:rsidRPr="009010DD">
              <w:rPr>
                <w:rFonts w:ascii="Century Gothic" w:eastAsia="Times New Roman" w:hAnsi="Century Gothic" w:cs="Calibri"/>
                <w:b/>
                <w:bCs/>
                <w:color w:val="000000"/>
                <w:sz w:val="18"/>
                <w:szCs w:val="18"/>
              </w:rPr>
              <w:t>$41.137</w:t>
            </w:r>
          </w:p>
        </w:tc>
      </w:tr>
    </w:tbl>
    <w:p w14:paraId="30D087B0" w14:textId="0E83AA84" w:rsidR="001B58B4" w:rsidRPr="004D4454" w:rsidRDefault="001B58B4" w:rsidP="001B58B4">
      <w:pPr>
        <w:jc w:val="center"/>
        <w:rPr>
          <w:rFonts w:ascii="Century Gothic" w:hAnsi="Century Gothic"/>
          <w:lang w:val="es-ES" w:eastAsia="en-US"/>
        </w:rPr>
      </w:pPr>
      <w:r w:rsidRPr="004D4454">
        <w:rPr>
          <w:rFonts w:ascii="Century Gothic" w:hAnsi="Century Gothic"/>
          <w:sz w:val="20"/>
          <w:lang w:val="es-ES"/>
        </w:rPr>
        <w:t>Fuente: Secretaría de Hacienda, 2018</w:t>
      </w:r>
    </w:p>
    <w:p w14:paraId="75766552" w14:textId="629AB709" w:rsidR="00C3599C" w:rsidRPr="004D4454" w:rsidRDefault="00B62087" w:rsidP="00C3599C">
      <w:pPr>
        <w:jc w:val="both"/>
        <w:rPr>
          <w:rFonts w:ascii="Century Gothic" w:hAnsi="Century Gothic"/>
          <w:lang w:val="es-ES" w:eastAsia="en-US"/>
        </w:rPr>
      </w:pPr>
      <w:r w:rsidRPr="004D4454">
        <w:rPr>
          <w:rFonts w:ascii="Century Gothic" w:hAnsi="Century Gothic"/>
          <w:lang w:val="es-ES" w:eastAsia="en-US"/>
        </w:rPr>
        <w:t>U</w:t>
      </w:r>
      <w:r w:rsidR="00C3599C" w:rsidRPr="004D4454">
        <w:rPr>
          <w:rFonts w:ascii="Century Gothic" w:hAnsi="Century Gothic"/>
          <w:lang w:val="es-ES" w:eastAsia="en-US"/>
        </w:rPr>
        <w:t xml:space="preserve">na vez realizada la proyección de los gastos </w:t>
      </w:r>
      <w:r w:rsidRPr="004D4454">
        <w:rPr>
          <w:rFonts w:ascii="Century Gothic" w:hAnsi="Century Gothic"/>
          <w:lang w:val="es-ES" w:eastAsia="en-US"/>
        </w:rPr>
        <w:t xml:space="preserve">se observa que </w:t>
      </w:r>
      <w:r w:rsidR="00C3599C" w:rsidRPr="004D4454">
        <w:rPr>
          <w:rFonts w:ascii="Century Gothic" w:hAnsi="Century Gothic"/>
          <w:lang w:val="es-ES" w:eastAsia="en-US"/>
        </w:rPr>
        <w:t xml:space="preserve">se presenta un déficit y que es necesario recurrir a </w:t>
      </w:r>
      <w:r w:rsidRPr="004D4454">
        <w:rPr>
          <w:rFonts w:ascii="Century Gothic" w:hAnsi="Century Gothic"/>
          <w:lang w:val="es-ES" w:eastAsia="en-US"/>
        </w:rPr>
        <w:t>varias fuentes de financiación</w:t>
      </w:r>
      <w:r w:rsidR="004D4454" w:rsidRPr="004D4454">
        <w:rPr>
          <w:rFonts w:ascii="Century Gothic" w:hAnsi="Century Gothic"/>
          <w:lang w:val="es-ES" w:eastAsia="en-US"/>
        </w:rPr>
        <w:t xml:space="preserve">, para el año 2019 se recurrió a </w:t>
      </w:r>
      <w:r w:rsidR="00C3599C" w:rsidRPr="004D4454">
        <w:rPr>
          <w:rFonts w:ascii="Century Gothic" w:hAnsi="Century Gothic"/>
          <w:lang w:val="es-ES" w:eastAsia="en-US"/>
        </w:rPr>
        <w:t xml:space="preserve">los desembolsos de crédito por </w:t>
      </w:r>
      <w:r w:rsidR="004D4454" w:rsidRPr="004D4454">
        <w:rPr>
          <w:rFonts w:ascii="Century Gothic" w:hAnsi="Century Gothic"/>
          <w:lang w:val="es-ES" w:eastAsia="en-US"/>
        </w:rPr>
        <w:t>$26</w:t>
      </w:r>
      <w:r w:rsidR="00C3599C" w:rsidRPr="004D4454">
        <w:rPr>
          <w:rFonts w:ascii="Century Gothic" w:hAnsi="Century Gothic"/>
          <w:lang w:val="es-ES" w:eastAsia="en-US"/>
        </w:rPr>
        <w:t>.100</w:t>
      </w:r>
      <w:r w:rsidR="004D4454" w:rsidRPr="004D4454">
        <w:rPr>
          <w:rFonts w:ascii="Century Gothic" w:hAnsi="Century Gothic"/>
          <w:lang w:val="es-ES" w:eastAsia="en-US"/>
        </w:rPr>
        <w:t xml:space="preserve"> millones</w:t>
      </w:r>
      <w:r w:rsidR="00C3599C" w:rsidRPr="004D4454">
        <w:rPr>
          <w:rFonts w:ascii="Century Gothic" w:hAnsi="Century Gothic"/>
          <w:lang w:val="es-ES" w:eastAsia="en-US"/>
        </w:rPr>
        <w:t xml:space="preserve">, recursos del balance y venta de activos por el orden de $95.573 </w:t>
      </w:r>
      <w:r w:rsidR="004D4454" w:rsidRPr="004D4454">
        <w:rPr>
          <w:rFonts w:ascii="Century Gothic" w:hAnsi="Century Gothic"/>
          <w:lang w:val="es-ES" w:eastAsia="en-US"/>
        </w:rPr>
        <w:t xml:space="preserve">millones; </w:t>
      </w:r>
      <w:r w:rsidR="00C3599C" w:rsidRPr="004D4454">
        <w:rPr>
          <w:rFonts w:ascii="Century Gothic" w:hAnsi="Century Gothic"/>
          <w:lang w:val="es-ES" w:eastAsia="en-US"/>
        </w:rPr>
        <w:t>y para los subsiguientes</w:t>
      </w:r>
      <w:r w:rsidR="004D4454" w:rsidRPr="004D4454">
        <w:rPr>
          <w:rFonts w:ascii="Century Gothic" w:hAnsi="Century Gothic"/>
          <w:lang w:val="es-ES" w:eastAsia="en-US"/>
        </w:rPr>
        <w:t xml:space="preserve"> años se requiere de la </w:t>
      </w:r>
      <w:r w:rsidR="00C3599C" w:rsidRPr="004D4454">
        <w:rPr>
          <w:rFonts w:ascii="Century Gothic" w:hAnsi="Century Gothic"/>
          <w:lang w:val="es-ES" w:eastAsia="en-US"/>
        </w:rPr>
        <w:t xml:space="preserve">venta de activos y </w:t>
      </w:r>
      <w:r w:rsidR="004D4454" w:rsidRPr="004D4454">
        <w:rPr>
          <w:rFonts w:ascii="Century Gothic" w:hAnsi="Century Gothic"/>
          <w:lang w:val="es-ES" w:eastAsia="en-US"/>
        </w:rPr>
        <w:t xml:space="preserve">de </w:t>
      </w:r>
      <w:r w:rsidR="00C3599C" w:rsidRPr="004D4454">
        <w:rPr>
          <w:rFonts w:ascii="Century Gothic" w:hAnsi="Century Gothic"/>
          <w:lang w:val="es-ES" w:eastAsia="en-US"/>
        </w:rPr>
        <w:t>los recursos del balance.</w:t>
      </w:r>
    </w:p>
    <w:p w14:paraId="3221E032" w14:textId="5E13FD74" w:rsidR="00934BA3" w:rsidRPr="009B1C7F" w:rsidRDefault="00934BA3" w:rsidP="00934BA3">
      <w:pPr>
        <w:spacing w:after="0"/>
        <w:jc w:val="center"/>
        <w:rPr>
          <w:rFonts w:ascii="Century Gothic" w:eastAsia="Times New Roman" w:hAnsi="Century Gothic" w:cs="Calibri"/>
          <w:bCs/>
        </w:rPr>
      </w:pPr>
      <w:bookmarkStart w:id="105" w:name="_Toc532570548"/>
      <w:r w:rsidRPr="009B1C7F">
        <w:rPr>
          <w:rFonts w:ascii="Century Gothic" w:hAnsi="Century Gothic"/>
        </w:rPr>
        <w:t xml:space="preserve">Tabla </w:t>
      </w:r>
      <w:r w:rsidRPr="009B1C7F">
        <w:rPr>
          <w:rFonts w:ascii="Century Gothic" w:hAnsi="Century Gothic"/>
        </w:rPr>
        <w:fldChar w:fldCharType="begin"/>
      </w:r>
      <w:r w:rsidRPr="009B1C7F">
        <w:rPr>
          <w:rFonts w:ascii="Century Gothic" w:hAnsi="Century Gothic"/>
        </w:rPr>
        <w:instrText xml:space="preserve"> SEQ Tabla \* ARABIC </w:instrText>
      </w:r>
      <w:r w:rsidRPr="009B1C7F">
        <w:rPr>
          <w:rFonts w:ascii="Century Gothic" w:hAnsi="Century Gothic"/>
        </w:rPr>
        <w:fldChar w:fldCharType="separate"/>
      </w:r>
      <w:r w:rsidRPr="009B1C7F">
        <w:rPr>
          <w:rFonts w:ascii="Century Gothic" w:hAnsi="Century Gothic"/>
          <w:noProof/>
        </w:rPr>
        <w:t>57</w:t>
      </w:r>
      <w:r w:rsidRPr="009B1C7F">
        <w:rPr>
          <w:rFonts w:ascii="Century Gothic" w:hAnsi="Century Gothic"/>
        </w:rPr>
        <w:fldChar w:fldCharType="end"/>
      </w:r>
      <w:r w:rsidRPr="009B1C7F">
        <w:rPr>
          <w:rFonts w:ascii="Century Gothic" w:hAnsi="Century Gothic"/>
        </w:rPr>
        <w:t xml:space="preserve">. </w:t>
      </w:r>
      <w:r w:rsidRPr="009B1C7F">
        <w:rPr>
          <w:rFonts w:ascii="Century Gothic" w:eastAsia="Times New Roman" w:hAnsi="Century Gothic" w:cs="Calibri"/>
          <w:bCs/>
        </w:rPr>
        <w:t>Plan financiero 2019 – 2019</w:t>
      </w:r>
      <w:bookmarkEnd w:id="105"/>
    </w:p>
    <w:p w14:paraId="7A84CA19" w14:textId="3FEF3E88" w:rsidR="00934BA3" w:rsidRPr="009B1C7F" w:rsidRDefault="00934BA3" w:rsidP="00934BA3">
      <w:pPr>
        <w:spacing w:after="0"/>
        <w:jc w:val="center"/>
        <w:rPr>
          <w:rFonts w:ascii="Century Gothic" w:hAnsi="Century Gothic"/>
          <w:lang w:val="es-ES" w:eastAsia="en-US"/>
        </w:rPr>
      </w:pPr>
      <w:r w:rsidRPr="009B1C7F">
        <w:rPr>
          <w:rFonts w:ascii="Century Gothic" w:eastAsia="Times New Roman" w:hAnsi="Century Gothic" w:cs="Calibri"/>
          <w:bCs/>
        </w:rPr>
        <w:t>(Millones de pesos)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3"/>
        <w:gridCol w:w="499"/>
        <w:gridCol w:w="499"/>
        <w:gridCol w:w="499"/>
        <w:gridCol w:w="501"/>
        <w:gridCol w:w="501"/>
        <w:gridCol w:w="501"/>
        <w:gridCol w:w="501"/>
        <w:gridCol w:w="501"/>
        <w:gridCol w:w="501"/>
        <w:gridCol w:w="501"/>
        <w:gridCol w:w="499"/>
      </w:tblGrid>
      <w:tr w:rsidR="009B1C7F" w:rsidRPr="00934BA3" w14:paraId="3F33F36F" w14:textId="77777777" w:rsidTr="004D4454">
        <w:trPr>
          <w:cantSplit/>
          <w:trHeight w:val="429"/>
          <w:tblHeader/>
        </w:trPr>
        <w:tc>
          <w:tcPr>
            <w:tcW w:w="1933" w:type="pct"/>
            <w:shd w:val="clear" w:color="auto" w:fill="C2D69B" w:themeFill="accent3" w:themeFillTint="99"/>
            <w:vAlign w:val="center"/>
            <w:hideMark/>
          </w:tcPr>
          <w:p w14:paraId="522A573C"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Detalle</w:t>
            </w:r>
          </w:p>
        </w:tc>
        <w:tc>
          <w:tcPr>
            <w:tcW w:w="278" w:type="pct"/>
            <w:shd w:val="clear" w:color="auto" w:fill="C2D69B" w:themeFill="accent3" w:themeFillTint="99"/>
            <w:vAlign w:val="center"/>
            <w:hideMark/>
          </w:tcPr>
          <w:p w14:paraId="3D618A9D"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2019</w:t>
            </w:r>
          </w:p>
        </w:tc>
        <w:tc>
          <w:tcPr>
            <w:tcW w:w="278" w:type="pct"/>
            <w:shd w:val="clear" w:color="auto" w:fill="C2D69B" w:themeFill="accent3" w:themeFillTint="99"/>
            <w:vAlign w:val="center"/>
            <w:hideMark/>
          </w:tcPr>
          <w:p w14:paraId="620F7F80"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2020</w:t>
            </w:r>
          </w:p>
        </w:tc>
        <w:tc>
          <w:tcPr>
            <w:tcW w:w="278" w:type="pct"/>
            <w:shd w:val="clear" w:color="auto" w:fill="C2D69B" w:themeFill="accent3" w:themeFillTint="99"/>
            <w:vAlign w:val="center"/>
            <w:hideMark/>
          </w:tcPr>
          <w:p w14:paraId="079B42DF"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2021</w:t>
            </w:r>
          </w:p>
        </w:tc>
        <w:tc>
          <w:tcPr>
            <w:tcW w:w="279" w:type="pct"/>
            <w:shd w:val="clear" w:color="auto" w:fill="C2D69B" w:themeFill="accent3" w:themeFillTint="99"/>
            <w:vAlign w:val="center"/>
            <w:hideMark/>
          </w:tcPr>
          <w:p w14:paraId="6A6111AB"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2022</w:t>
            </w:r>
          </w:p>
        </w:tc>
        <w:tc>
          <w:tcPr>
            <w:tcW w:w="279" w:type="pct"/>
            <w:shd w:val="clear" w:color="auto" w:fill="C2D69B" w:themeFill="accent3" w:themeFillTint="99"/>
            <w:vAlign w:val="center"/>
            <w:hideMark/>
          </w:tcPr>
          <w:p w14:paraId="28EFB0DA"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2023</w:t>
            </w:r>
          </w:p>
        </w:tc>
        <w:tc>
          <w:tcPr>
            <w:tcW w:w="279" w:type="pct"/>
            <w:shd w:val="clear" w:color="auto" w:fill="C2D69B" w:themeFill="accent3" w:themeFillTint="99"/>
            <w:vAlign w:val="center"/>
            <w:hideMark/>
          </w:tcPr>
          <w:p w14:paraId="0E606BF9"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2024</w:t>
            </w:r>
          </w:p>
        </w:tc>
        <w:tc>
          <w:tcPr>
            <w:tcW w:w="279" w:type="pct"/>
            <w:shd w:val="clear" w:color="auto" w:fill="C2D69B" w:themeFill="accent3" w:themeFillTint="99"/>
            <w:vAlign w:val="center"/>
            <w:hideMark/>
          </w:tcPr>
          <w:p w14:paraId="241ADB98"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2025</w:t>
            </w:r>
          </w:p>
        </w:tc>
        <w:tc>
          <w:tcPr>
            <w:tcW w:w="279" w:type="pct"/>
            <w:shd w:val="clear" w:color="auto" w:fill="C2D69B" w:themeFill="accent3" w:themeFillTint="99"/>
            <w:vAlign w:val="center"/>
            <w:hideMark/>
          </w:tcPr>
          <w:p w14:paraId="3567092C"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2026</w:t>
            </w:r>
          </w:p>
        </w:tc>
        <w:tc>
          <w:tcPr>
            <w:tcW w:w="279" w:type="pct"/>
            <w:shd w:val="clear" w:color="auto" w:fill="C2D69B" w:themeFill="accent3" w:themeFillTint="99"/>
            <w:vAlign w:val="center"/>
            <w:hideMark/>
          </w:tcPr>
          <w:p w14:paraId="4CD7A43E"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2027</w:t>
            </w:r>
          </w:p>
        </w:tc>
        <w:tc>
          <w:tcPr>
            <w:tcW w:w="279" w:type="pct"/>
            <w:shd w:val="clear" w:color="auto" w:fill="C2D69B" w:themeFill="accent3" w:themeFillTint="99"/>
            <w:vAlign w:val="center"/>
            <w:hideMark/>
          </w:tcPr>
          <w:p w14:paraId="07C4AE67"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2028</w:t>
            </w:r>
          </w:p>
        </w:tc>
        <w:tc>
          <w:tcPr>
            <w:tcW w:w="278" w:type="pct"/>
            <w:shd w:val="clear" w:color="auto" w:fill="C2D69B" w:themeFill="accent3" w:themeFillTint="99"/>
            <w:vAlign w:val="center"/>
            <w:hideMark/>
          </w:tcPr>
          <w:p w14:paraId="1F634AA9" w14:textId="77777777" w:rsidR="00934BA3" w:rsidRPr="00934BA3" w:rsidRDefault="00934BA3" w:rsidP="00934BA3">
            <w:pPr>
              <w:spacing w:after="0" w:line="240" w:lineRule="auto"/>
              <w:jc w:val="center"/>
              <w:rPr>
                <w:rFonts w:ascii="Century Gothic" w:eastAsia="Times New Roman" w:hAnsi="Century Gothic" w:cs="Calibri"/>
                <w:b/>
                <w:bCs/>
                <w:sz w:val="16"/>
                <w:szCs w:val="16"/>
              </w:rPr>
            </w:pPr>
            <w:r w:rsidRPr="00934BA3">
              <w:rPr>
                <w:rFonts w:ascii="Century Gothic" w:eastAsia="Times New Roman" w:hAnsi="Century Gothic" w:cs="Calibri"/>
                <w:b/>
                <w:bCs/>
                <w:sz w:val="16"/>
                <w:szCs w:val="16"/>
              </w:rPr>
              <w:t>2029</w:t>
            </w:r>
          </w:p>
        </w:tc>
      </w:tr>
      <w:tr w:rsidR="009B1C7F" w:rsidRPr="00934BA3" w14:paraId="37F13149" w14:textId="77777777" w:rsidTr="004D4454">
        <w:trPr>
          <w:cantSplit/>
          <w:trHeight w:val="947"/>
        </w:trPr>
        <w:tc>
          <w:tcPr>
            <w:tcW w:w="1933" w:type="pct"/>
            <w:shd w:val="clear" w:color="auto" w:fill="C2D69B" w:themeFill="accent3" w:themeFillTint="99"/>
            <w:noWrap/>
            <w:vAlign w:val="center"/>
            <w:hideMark/>
          </w:tcPr>
          <w:p w14:paraId="470ED273"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Ingresos totales</w:t>
            </w:r>
          </w:p>
        </w:tc>
        <w:tc>
          <w:tcPr>
            <w:tcW w:w="278" w:type="pct"/>
            <w:shd w:val="clear" w:color="auto" w:fill="auto"/>
            <w:noWrap/>
            <w:textDirection w:val="btLr"/>
            <w:vAlign w:val="center"/>
            <w:hideMark/>
          </w:tcPr>
          <w:p w14:paraId="1EAC598D" w14:textId="6FC1F59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Pr>
                <w:rFonts w:ascii="Century Gothic" w:eastAsia="Times New Roman" w:hAnsi="Century Gothic" w:cs="Calibri"/>
                <w:bCs/>
                <w:sz w:val="16"/>
                <w:szCs w:val="16"/>
              </w:rPr>
              <w:t>671</w:t>
            </w:r>
            <w:r w:rsidR="004D4454">
              <w:rPr>
                <w:rFonts w:ascii="Century Gothic" w:eastAsia="Times New Roman" w:hAnsi="Century Gothic" w:cs="Calibri"/>
                <w:bCs/>
                <w:sz w:val="16"/>
                <w:szCs w:val="16"/>
              </w:rPr>
              <w:t>.</w:t>
            </w:r>
            <w:r>
              <w:rPr>
                <w:rFonts w:ascii="Century Gothic" w:eastAsia="Times New Roman" w:hAnsi="Century Gothic" w:cs="Calibri"/>
                <w:bCs/>
                <w:sz w:val="16"/>
                <w:szCs w:val="16"/>
              </w:rPr>
              <w:t>465</w:t>
            </w:r>
          </w:p>
        </w:tc>
        <w:tc>
          <w:tcPr>
            <w:tcW w:w="278" w:type="pct"/>
            <w:shd w:val="clear" w:color="auto" w:fill="auto"/>
            <w:noWrap/>
            <w:textDirection w:val="btLr"/>
            <w:vAlign w:val="center"/>
            <w:hideMark/>
          </w:tcPr>
          <w:p w14:paraId="54F42C8B" w14:textId="081A8BF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673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537 </w:t>
            </w:r>
          </w:p>
        </w:tc>
        <w:tc>
          <w:tcPr>
            <w:tcW w:w="278" w:type="pct"/>
            <w:shd w:val="clear" w:color="auto" w:fill="auto"/>
            <w:noWrap/>
            <w:textDirection w:val="btLr"/>
            <w:vAlign w:val="center"/>
            <w:hideMark/>
          </w:tcPr>
          <w:p w14:paraId="365DC4C9" w14:textId="3806F51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714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633 </w:t>
            </w:r>
          </w:p>
        </w:tc>
        <w:tc>
          <w:tcPr>
            <w:tcW w:w="279" w:type="pct"/>
            <w:shd w:val="clear" w:color="auto" w:fill="auto"/>
            <w:noWrap/>
            <w:textDirection w:val="btLr"/>
            <w:vAlign w:val="center"/>
            <w:hideMark/>
          </w:tcPr>
          <w:p w14:paraId="46532943" w14:textId="3CC93A2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760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488 </w:t>
            </w:r>
          </w:p>
        </w:tc>
        <w:tc>
          <w:tcPr>
            <w:tcW w:w="279" w:type="pct"/>
            <w:shd w:val="clear" w:color="auto" w:fill="auto"/>
            <w:noWrap/>
            <w:textDirection w:val="btLr"/>
            <w:vAlign w:val="center"/>
            <w:hideMark/>
          </w:tcPr>
          <w:p w14:paraId="7F62CBCC" w14:textId="1F5A5BF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812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120 </w:t>
            </w:r>
          </w:p>
        </w:tc>
        <w:tc>
          <w:tcPr>
            <w:tcW w:w="279" w:type="pct"/>
            <w:shd w:val="clear" w:color="auto" w:fill="auto"/>
            <w:noWrap/>
            <w:textDirection w:val="btLr"/>
            <w:vAlign w:val="center"/>
            <w:hideMark/>
          </w:tcPr>
          <w:p w14:paraId="0C3156DC" w14:textId="0A34324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869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640 </w:t>
            </w:r>
          </w:p>
        </w:tc>
        <w:tc>
          <w:tcPr>
            <w:tcW w:w="279" w:type="pct"/>
            <w:shd w:val="clear" w:color="auto" w:fill="auto"/>
            <w:noWrap/>
            <w:textDirection w:val="btLr"/>
            <w:vAlign w:val="center"/>
            <w:hideMark/>
          </w:tcPr>
          <w:p w14:paraId="5BDDF23D" w14:textId="233E37D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934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377 </w:t>
            </w:r>
          </w:p>
        </w:tc>
        <w:tc>
          <w:tcPr>
            <w:tcW w:w="279" w:type="pct"/>
            <w:shd w:val="clear" w:color="auto" w:fill="auto"/>
            <w:noWrap/>
            <w:textDirection w:val="btLr"/>
            <w:vAlign w:val="center"/>
            <w:hideMark/>
          </w:tcPr>
          <w:p w14:paraId="6CA2F077" w14:textId="666D4FB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006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639 </w:t>
            </w:r>
          </w:p>
        </w:tc>
        <w:tc>
          <w:tcPr>
            <w:tcW w:w="279" w:type="pct"/>
            <w:shd w:val="clear" w:color="auto" w:fill="auto"/>
            <w:noWrap/>
            <w:textDirection w:val="btLr"/>
            <w:vAlign w:val="center"/>
            <w:hideMark/>
          </w:tcPr>
          <w:p w14:paraId="41EFEB0F" w14:textId="63434A1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087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443 </w:t>
            </w:r>
          </w:p>
        </w:tc>
        <w:tc>
          <w:tcPr>
            <w:tcW w:w="279" w:type="pct"/>
            <w:shd w:val="clear" w:color="auto" w:fill="auto"/>
            <w:noWrap/>
            <w:textDirection w:val="btLr"/>
            <w:vAlign w:val="center"/>
            <w:hideMark/>
          </w:tcPr>
          <w:p w14:paraId="2C197298" w14:textId="1A74C10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177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940 </w:t>
            </w:r>
          </w:p>
        </w:tc>
        <w:tc>
          <w:tcPr>
            <w:tcW w:w="278" w:type="pct"/>
            <w:shd w:val="clear" w:color="auto" w:fill="auto"/>
            <w:noWrap/>
            <w:textDirection w:val="btLr"/>
            <w:vAlign w:val="center"/>
            <w:hideMark/>
          </w:tcPr>
          <w:p w14:paraId="674E0A62" w14:textId="4B0408A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279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461 </w:t>
            </w:r>
          </w:p>
        </w:tc>
      </w:tr>
      <w:tr w:rsidR="009B1C7F" w:rsidRPr="00934BA3" w14:paraId="0C7A65B9" w14:textId="77777777" w:rsidTr="004D4454">
        <w:trPr>
          <w:cantSplit/>
          <w:trHeight w:val="833"/>
        </w:trPr>
        <w:tc>
          <w:tcPr>
            <w:tcW w:w="1933" w:type="pct"/>
            <w:shd w:val="clear" w:color="auto" w:fill="C2D69B" w:themeFill="accent3" w:themeFillTint="99"/>
            <w:noWrap/>
            <w:vAlign w:val="center"/>
            <w:hideMark/>
          </w:tcPr>
          <w:p w14:paraId="3AFC95A3"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1. Ingresos corrientes</w:t>
            </w:r>
          </w:p>
        </w:tc>
        <w:tc>
          <w:tcPr>
            <w:tcW w:w="278" w:type="pct"/>
            <w:shd w:val="clear" w:color="auto" w:fill="auto"/>
            <w:noWrap/>
            <w:textDirection w:val="btLr"/>
            <w:vAlign w:val="center"/>
            <w:hideMark/>
          </w:tcPr>
          <w:p w14:paraId="07055912" w14:textId="793341C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178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626</w:t>
            </w:r>
          </w:p>
        </w:tc>
        <w:tc>
          <w:tcPr>
            <w:tcW w:w="278" w:type="pct"/>
            <w:shd w:val="clear" w:color="auto" w:fill="auto"/>
            <w:noWrap/>
            <w:textDirection w:val="btLr"/>
            <w:vAlign w:val="center"/>
            <w:hideMark/>
          </w:tcPr>
          <w:p w14:paraId="7336CC9F" w14:textId="6D478AA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192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409 </w:t>
            </w:r>
          </w:p>
        </w:tc>
        <w:tc>
          <w:tcPr>
            <w:tcW w:w="278" w:type="pct"/>
            <w:shd w:val="clear" w:color="auto" w:fill="auto"/>
            <w:noWrap/>
            <w:textDirection w:val="btLr"/>
            <w:vAlign w:val="center"/>
            <w:hideMark/>
          </w:tcPr>
          <w:p w14:paraId="1854DBBC" w14:textId="4E5811F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203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905 </w:t>
            </w:r>
          </w:p>
        </w:tc>
        <w:tc>
          <w:tcPr>
            <w:tcW w:w="279" w:type="pct"/>
            <w:shd w:val="clear" w:color="auto" w:fill="auto"/>
            <w:noWrap/>
            <w:textDirection w:val="btLr"/>
            <w:vAlign w:val="center"/>
            <w:hideMark/>
          </w:tcPr>
          <w:p w14:paraId="0A7E8B66" w14:textId="2EBFA2D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216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576 </w:t>
            </w:r>
          </w:p>
        </w:tc>
        <w:tc>
          <w:tcPr>
            <w:tcW w:w="279" w:type="pct"/>
            <w:shd w:val="clear" w:color="auto" w:fill="auto"/>
            <w:noWrap/>
            <w:textDirection w:val="btLr"/>
            <w:vAlign w:val="center"/>
            <w:hideMark/>
          </w:tcPr>
          <w:p w14:paraId="33B68233" w14:textId="66C55B9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231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093 </w:t>
            </w:r>
          </w:p>
        </w:tc>
        <w:tc>
          <w:tcPr>
            <w:tcW w:w="279" w:type="pct"/>
            <w:shd w:val="clear" w:color="auto" w:fill="auto"/>
            <w:noWrap/>
            <w:textDirection w:val="btLr"/>
            <w:vAlign w:val="center"/>
            <w:hideMark/>
          </w:tcPr>
          <w:p w14:paraId="7BADB691" w14:textId="38DFB13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247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038 </w:t>
            </w:r>
          </w:p>
        </w:tc>
        <w:tc>
          <w:tcPr>
            <w:tcW w:w="279" w:type="pct"/>
            <w:shd w:val="clear" w:color="auto" w:fill="auto"/>
            <w:noWrap/>
            <w:textDirection w:val="btLr"/>
            <w:vAlign w:val="center"/>
            <w:hideMark/>
          </w:tcPr>
          <w:p w14:paraId="5241C2EC" w14:textId="6CA33F9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130 </w:t>
            </w:r>
          </w:p>
        </w:tc>
        <w:tc>
          <w:tcPr>
            <w:tcW w:w="279" w:type="pct"/>
            <w:shd w:val="clear" w:color="auto" w:fill="auto"/>
            <w:noWrap/>
            <w:textDirection w:val="btLr"/>
            <w:vAlign w:val="center"/>
            <w:hideMark/>
          </w:tcPr>
          <w:p w14:paraId="3FDFC74E" w14:textId="079DCF1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284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974 </w:t>
            </w:r>
          </w:p>
        </w:tc>
        <w:tc>
          <w:tcPr>
            <w:tcW w:w="279" w:type="pct"/>
            <w:shd w:val="clear" w:color="auto" w:fill="auto"/>
            <w:noWrap/>
            <w:textDirection w:val="btLr"/>
            <w:vAlign w:val="center"/>
            <w:hideMark/>
          </w:tcPr>
          <w:p w14:paraId="06EDC093" w14:textId="192FF9A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306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778 </w:t>
            </w:r>
          </w:p>
        </w:tc>
        <w:tc>
          <w:tcPr>
            <w:tcW w:w="279" w:type="pct"/>
            <w:shd w:val="clear" w:color="auto" w:fill="auto"/>
            <w:noWrap/>
            <w:textDirection w:val="btLr"/>
            <w:vAlign w:val="center"/>
            <w:hideMark/>
          </w:tcPr>
          <w:p w14:paraId="6A017495" w14:textId="75C077F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330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760 </w:t>
            </w:r>
          </w:p>
        </w:tc>
        <w:tc>
          <w:tcPr>
            <w:tcW w:w="278" w:type="pct"/>
            <w:shd w:val="clear" w:color="auto" w:fill="auto"/>
            <w:noWrap/>
            <w:textDirection w:val="btLr"/>
            <w:vAlign w:val="center"/>
            <w:hideMark/>
          </w:tcPr>
          <w:p w14:paraId="54E26646" w14:textId="63B153C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357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176 </w:t>
            </w:r>
          </w:p>
        </w:tc>
      </w:tr>
      <w:tr w:rsidR="009B1C7F" w:rsidRPr="00934BA3" w14:paraId="7A386975" w14:textId="77777777" w:rsidTr="004D4454">
        <w:trPr>
          <w:cantSplit/>
          <w:trHeight w:val="833"/>
        </w:trPr>
        <w:tc>
          <w:tcPr>
            <w:tcW w:w="1933" w:type="pct"/>
            <w:shd w:val="clear" w:color="auto" w:fill="C2D69B" w:themeFill="accent3" w:themeFillTint="99"/>
            <w:noWrap/>
            <w:vAlign w:val="center"/>
            <w:hideMark/>
          </w:tcPr>
          <w:p w14:paraId="4E9D18F6"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 Ingresos tributarios</w:t>
            </w:r>
          </w:p>
        </w:tc>
        <w:tc>
          <w:tcPr>
            <w:tcW w:w="278" w:type="pct"/>
            <w:shd w:val="clear" w:color="auto" w:fill="auto"/>
            <w:noWrap/>
            <w:textDirection w:val="btLr"/>
            <w:vAlign w:val="center"/>
            <w:hideMark/>
          </w:tcPr>
          <w:p w14:paraId="7BD37C64" w14:textId="56EA0AE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731</w:t>
            </w:r>
          </w:p>
        </w:tc>
        <w:tc>
          <w:tcPr>
            <w:tcW w:w="278" w:type="pct"/>
            <w:shd w:val="clear" w:color="auto" w:fill="auto"/>
            <w:noWrap/>
            <w:textDirection w:val="btLr"/>
            <w:vAlign w:val="center"/>
            <w:hideMark/>
          </w:tcPr>
          <w:p w14:paraId="7B57FF29" w14:textId="64BFA38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151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891 </w:t>
            </w:r>
          </w:p>
        </w:tc>
        <w:tc>
          <w:tcPr>
            <w:tcW w:w="278" w:type="pct"/>
            <w:shd w:val="clear" w:color="auto" w:fill="auto"/>
            <w:noWrap/>
            <w:textDirection w:val="btLr"/>
            <w:vAlign w:val="center"/>
            <w:hideMark/>
          </w:tcPr>
          <w:p w14:paraId="79E4CB3E" w14:textId="0662743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162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106 </w:t>
            </w:r>
          </w:p>
        </w:tc>
        <w:tc>
          <w:tcPr>
            <w:tcW w:w="279" w:type="pct"/>
            <w:shd w:val="clear" w:color="auto" w:fill="auto"/>
            <w:noWrap/>
            <w:textDirection w:val="btLr"/>
            <w:vAlign w:val="center"/>
            <w:hideMark/>
          </w:tcPr>
          <w:p w14:paraId="5955F365" w14:textId="73CEF5C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173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262 </w:t>
            </w:r>
          </w:p>
        </w:tc>
        <w:tc>
          <w:tcPr>
            <w:tcW w:w="279" w:type="pct"/>
            <w:shd w:val="clear" w:color="auto" w:fill="auto"/>
            <w:noWrap/>
            <w:textDirection w:val="btLr"/>
            <w:vAlign w:val="center"/>
            <w:hideMark/>
          </w:tcPr>
          <w:p w14:paraId="51675CDB" w14:textId="37D775D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185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461 </w:t>
            </w:r>
          </w:p>
        </w:tc>
        <w:tc>
          <w:tcPr>
            <w:tcW w:w="279" w:type="pct"/>
            <w:shd w:val="clear" w:color="auto" w:fill="auto"/>
            <w:noWrap/>
            <w:textDirection w:val="btLr"/>
            <w:vAlign w:val="center"/>
            <w:hideMark/>
          </w:tcPr>
          <w:p w14:paraId="05621E5F" w14:textId="7C3B763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198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817 </w:t>
            </w:r>
          </w:p>
        </w:tc>
        <w:tc>
          <w:tcPr>
            <w:tcW w:w="279" w:type="pct"/>
            <w:shd w:val="clear" w:color="auto" w:fill="auto"/>
            <w:noWrap/>
            <w:textDirection w:val="btLr"/>
            <w:vAlign w:val="center"/>
            <w:hideMark/>
          </w:tcPr>
          <w:p w14:paraId="2033C9B4" w14:textId="6DC51EC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456 </w:t>
            </w:r>
          </w:p>
        </w:tc>
        <w:tc>
          <w:tcPr>
            <w:tcW w:w="279" w:type="pct"/>
            <w:shd w:val="clear" w:color="auto" w:fill="auto"/>
            <w:noWrap/>
            <w:textDirection w:val="btLr"/>
            <w:vAlign w:val="center"/>
            <w:hideMark/>
          </w:tcPr>
          <w:p w14:paraId="7DCDB1CA" w14:textId="614561B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229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519 </w:t>
            </w:r>
          </w:p>
        </w:tc>
        <w:tc>
          <w:tcPr>
            <w:tcW w:w="279" w:type="pct"/>
            <w:shd w:val="clear" w:color="auto" w:fill="auto"/>
            <w:noWrap/>
            <w:textDirection w:val="btLr"/>
            <w:vAlign w:val="center"/>
            <w:hideMark/>
          </w:tcPr>
          <w:p w14:paraId="572A8373" w14:textId="1B5A5C6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247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165 </w:t>
            </w:r>
          </w:p>
        </w:tc>
        <w:tc>
          <w:tcPr>
            <w:tcW w:w="279" w:type="pct"/>
            <w:shd w:val="clear" w:color="auto" w:fill="auto"/>
            <w:noWrap/>
            <w:textDirection w:val="btLr"/>
            <w:vAlign w:val="center"/>
            <w:hideMark/>
          </w:tcPr>
          <w:p w14:paraId="1501B05E" w14:textId="79EF23B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568 </w:t>
            </w:r>
          </w:p>
        </w:tc>
        <w:tc>
          <w:tcPr>
            <w:tcW w:w="278" w:type="pct"/>
            <w:shd w:val="clear" w:color="auto" w:fill="auto"/>
            <w:noWrap/>
            <w:textDirection w:val="btLr"/>
            <w:vAlign w:val="center"/>
            <w:hideMark/>
          </w:tcPr>
          <w:p w14:paraId="7CD7B49A" w14:textId="530C915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287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934 </w:t>
            </w:r>
          </w:p>
        </w:tc>
      </w:tr>
      <w:tr w:rsidR="009B1C7F" w:rsidRPr="00934BA3" w14:paraId="4B2F12C0" w14:textId="77777777" w:rsidTr="004D4454">
        <w:trPr>
          <w:cantSplit/>
          <w:trHeight w:val="720"/>
        </w:trPr>
        <w:tc>
          <w:tcPr>
            <w:tcW w:w="1933" w:type="pct"/>
            <w:shd w:val="clear" w:color="auto" w:fill="C2D69B" w:themeFill="accent3" w:themeFillTint="99"/>
            <w:noWrap/>
            <w:vAlign w:val="center"/>
            <w:hideMark/>
          </w:tcPr>
          <w:p w14:paraId="6132B4E6"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1.1.1. Predial</w:t>
            </w:r>
          </w:p>
        </w:tc>
        <w:tc>
          <w:tcPr>
            <w:tcW w:w="278" w:type="pct"/>
            <w:shd w:val="clear" w:color="auto" w:fill="auto"/>
            <w:noWrap/>
            <w:textDirection w:val="btLr"/>
            <w:vAlign w:val="center"/>
            <w:hideMark/>
          </w:tcPr>
          <w:p w14:paraId="7152BE15" w14:textId="0D018FA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560 </w:t>
            </w:r>
          </w:p>
        </w:tc>
        <w:tc>
          <w:tcPr>
            <w:tcW w:w="278" w:type="pct"/>
            <w:shd w:val="clear" w:color="auto" w:fill="auto"/>
            <w:noWrap/>
            <w:textDirection w:val="btLr"/>
            <w:vAlign w:val="center"/>
            <w:hideMark/>
          </w:tcPr>
          <w:p w14:paraId="0E53265D" w14:textId="20294AD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291 </w:t>
            </w:r>
          </w:p>
        </w:tc>
        <w:tc>
          <w:tcPr>
            <w:tcW w:w="278" w:type="pct"/>
            <w:shd w:val="clear" w:color="auto" w:fill="auto"/>
            <w:noWrap/>
            <w:textDirection w:val="btLr"/>
            <w:vAlign w:val="center"/>
            <w:hideMark/>
          </w:tcPr>
          <w:p w14:paraId="26F3857E" w14:textId="3D93C6F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400 </w:t>
            </w:r>
          </w:p>
        </w:tc>
        <w:tc>
          <w:tcPr>
            <w:tcW w:w="279" w:type="pct"/>
            <w:shd w:val="clear" w:color="auto" w:fill="auto"/>
            <w:noWrap/>
            <w:textDirection w:val="btLr"/>
            <w:vAlign w:val="center"/>
            <w:hideMark/>
          </w:tcPr>
          <w:p w14:paraId="67550617" w14:textId="0D3D08F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607 </w:t>
            </w:r>
          </w:p>
        </w:tc>
        <w:tc>
          <w:tcPr>
            <w:tcW w:w="279" w:type="pct"/>
            <w:shd w:val="clear" w:color="auto" w:fill="auto"/>
            <w:noWrap/>
            <w:textDirection w:val="btLr"/>
            <w:vAlign w:val="center"/>
            <w:hideMark/>
          </w:tcPr>
          <w:p w14:paraId="43D79FF5" w14:textId="733CE0F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920 </w:t>
            </w:r>
          </w:p>
        </w:tc>
        <w:tc>
          <w:tcPr>
            <w:tcW w:w="279" w:type="pct"/>
            <w:shd w:val="clear" w:color="auto" w:fill="auto"/>
            <w:noWrap/>
            <w:textDirection w:val="btLr"/>
            <w:vAlign w:val="center"/>
            <w:hideMark/>
          </w:tcPr>
          <w:p w14:paraId="422060A8" w14:textId="5EE0981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343 </w:t>
            </w:r>
          </w:p>
        </w:tc>
        <w:tc>
          <w:tcPr>
            <w:tcW w:w="279" w:type="pct"/>
            <w:shd w:val="clear" w:color="auto" w:fill="auto"/>
            <w:noWrap/>
            <w:textDirection w:val="btLr"/>
            <w:vAlign w:val="center"/>
            <w:hideMark/>
          </w:tcPr>
          <w:p w14:paraId="6F28E106" w14:textId="09A7CD9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884 </w:t>
            </w:r>
          </w:p>
        </w:tc>
        <w:tc>
          <w:tcPr>
            <w:tcW w:w="279" w:type="pct"/>
            <w:shd w:val="clear" w:color="auto" w:fill="auto"/>
            <w:noWrap/>
            <w:textDirection w:val="btLr"/>
            <w:vAlign w:val="center"/>
            <w:hideMark/>
          </w:tcPr>
          <w:p w14:paraId="0E4D94C6" w14:textId="1484C60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551 </w:t>
            </w:r>
          </w:p>
        </w:tc>
        <w:tc>
          <w:tcPr>
            <w:tcW w:w="279" w:type="pct"/>
            <w:shd w:val="clear" w:color="auto" w:fill="auto"/>
            <w:noWrap/>
            <w:textDirection w:val="btLr"/>
            <w:vAlign w:val="center"/>
            <w:hideMark/>
          </w:tcPr>
          <w:p w14:paraId="5151317E" w14:textId="61BE3FF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352 </w:t>
            </w:r>
          </w:p>
        </w:tc>
        <w:tc>
          <w:tcPr>
            <w:tcW w:w="279" w:type="pct"/>
            <w:shd w:val="clear" w:color="auto" w:fill="auto"/>
            <w:noWrap/>
            <w:textDirection w:val="btLr"/>
            <w:vAlign w:val="center"/>
            <w:hideMark/>
          </w:tcPr>
          <w:p w14:paraId="32E48624" w14:textId="080CDE3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296 </w:t>
            </w:r>
          </w:p>
        </w:tc>
        <w:tc>
          <w:tcPr>
            <w:tcW w:w="278" w:type="pct"/>
            <w:shd w:val="clear" w:color="auto" w:fill="auto"/>
            <w:noWrap/>
            <w:textDirection w:val="btLr"/>
            <w:vAlign w:val="center"/>
            <w:hideMark/>
          </w:tcPr>
          <w:p w14:paraId="03FAE4FB" w14:textId="6CF9A19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393 </w:t>
            </w:r>
          </w:p>
        </w:tc>
      </w:tr>
      <w:tr w:rsidR="009B1C7F" w:rsidRPr="00934BA3" w14:paraId="412ADA18" w14:textId="77777777" w:rsidTr="004D4454">
        <w:trPr>
          <w:cantSplit/>
          <w:trHeight w:val="833"/>
        </w:trPr>
        <w:tc>
          <w:tcPr>
            <w:tcW w:w="1933" w:type="pct"/>
            <w:shd w:val="clear" w:color="auto" w:fill="C2D69B" w:themeFill="accent3" w:themeFillTint="99"/>
            <w:noWrap/>
            <w:vAlign w:val="center"/>
            <w:hideMark/>
          </w:tcPr>
          <w:p w14:paraId="67EF37F9"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1.1.2. Industria y comercio</w:t>
            </w:r>
          </w:p>
        </w:tc>
        <w:tc>
          <w:tcPr>
            <w:tcW w:w="278" w:type="pct"/>
            <w:shd w:val="clear" w:color="auto" w:fill="auto"/>
            <w:noWrap/>
            <w:textDirection w:val="btLr"/>
            <w:vAlign w:val="center"/>
            <w:hideMark/>
          </w:tcPr>
          <w:p w14:paraId="5F433EB2" w14:textId="2C8EE64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708 </w:t>
            </w:r>
          </w:p>
        </w:tc>
        <w:tc>
          <w:tcPr>
            <w:tcW w:w="278" w:type="pct"/>
            <w:shd w:val="clear" w:color="auto" w:fill="auto"/>
            <w:noWrap/>
            <w:textDirection w:val="btLr"/>
            <w:vAlign w:val="center"/>
            <w:hideMark/>
          </w:tcPr>
          <w:p w14:paraId="31C91A71" w14:textId="2B49C13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833 </w:t>
            </w:r>
          </w:p>
        </w:tc>
        <w:tc>
          <w:tcPr>
            <w:tcW w:w="278" w:type="pct"/>
            <w:shd w:val="clear" w:color="auto" w:fill="auto"/>
            <w:noWrap/>
            <w:textDirection w:val="btLr"/>
            <w:vAlign w:val="center"/>
            <w:hideMark/>
          </w:tcPr>
          <w:p w14:paraId="0B082A7C" w14:textId="24C4D07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572 </w:t>
            </w:r>
          </w:p>
        </w:tc>
        <w:tc>
          <w:tcPr>
            <w:tcW w:w="279" w:type="pct"/>
            <w:shd w:val="clear" w:color="auto" w:fill="auto"/>
            <w:noWrap/>
            <w:textDirection w:val="btLr"/>
            <w:vAlign w:val="center"/>
            <w:hideMark/>
          </w:tcPr>
          <w:p w14:paraId="53528AD2" w14:textId="3C4C5A1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001 </w:t>
            </w:r>
          </w:p>
        </w:tc>
        <w:tc>
          <w:tcPr>
            <w:tcW w:w="279" w:type="pct"/>
            <w:shd w:val="clear" w:color="auto" w:fill="auto"/>
            <w:noWrap/>
            <w:textDirection w:val="btLr"/>
            <w:vAlign w:val="center"/>
            <w:hideMark/>
          </w:tcPr>
          <w:p w14:paraId="20A487D6" w14:textId="0D2C9F56"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201 </w:t>
            </w:r>
          </w:p>
        </w:tc>
        <w:tc>
          <w:tcPr>
            <w:tcW w:w="279" w:type="pct"/>
            <w:shd w:val="clear" w:color="auto" w:fill="auto"/>
            <w:noWrap/>
            <w:textDirection w:val="btLr"/>
            <w:vAlign w:val="center"/>
            <w:hideMark/>
          </w:tcPr>
          <w:p w14:paraId="62FBE5A5" w14:textId="2D79731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265 </w:t>
            </w:r>
          </w:p>
        </w:tc>
        <w:tc>
          <w:tcPr>
            <w:tcW w:w="279" w:type="pct"/>
            <w:shd w:val="clear" w:color="auto" w:fill="auto"/>
            <w:noWrap/>
            <w:textDirection w:val="btLr"/>
            <w:vAlign w:val="center"/>
            <w:hideMark/>
          </w:tcPr>
          <w:p w14:paraId="74A5E107" w14:textId="1E04C86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297 </w:t>
            </w:r>
          </w:p>
        </w:tc>
        <w:tc>
          <w:tcPr>
            <w:tcW w:w="279" w:type="pct"/>
            <w:shd w:val="clear" w:color="auto" w:fill="auto"/>
            <w:noWrap/>
            <w:textDirection w:val="btLr"/>
            <w:vAlign w:val="center"/>
            <w:hideMark/>
          </w:tcPr>
          <w:p w14:paraId="1AB6AD93" w14:textId="0BFAC39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413 </w:t>
            </w:r>
          </w:p>
        </w:tc>
        <w:tc>
          <w:tcPr>
            <w:tcW w:w="279" w:type="pct"/>
            <w:shd w:val="clear" w:color="auto" w:fill="auto"/>
            <w:noWrap/>
            <w:textDirection w:val="btLr"/>
            <w:vAlign w:val="center"/>
            <w:hideMark/>
          </w:tcPr>
          <w:p w14:paraId="6D2DA6C2" w14:textId="17F3EFAA"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742 </w:t>
            </w:r>
          </w:p>
        </w:tc>
        <w:tc>
          <w:tcPr>
            <w:tcW w:w="279" w:type="pct"/>
            <w:shd w:val="clear" w:color="auto" w:fill="auto"/>
            <w:noWrap/>
            <w:textDirection w:val="btLr"/>
            <w:vAlign w:val="center"/>
            <w:hideMark/>
          </w:tcPr>
          <w:p w14:paraId="0B634FD3" w14:textId="5B3C9CB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118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432 </w:t>
            </w:r>
          </w:p>
        </w:tc>
        <w:tc>
          <w:tcPr>
            <w:tcW w:w="278" w:type="pct"/>
            <w:shd w:val="clear" w:color="auto" w:fill="auto"/>
            <w:noWrap/>
            <w:textDirection w:val="btLr"/>
            <w:vAlign w:val="center"/>
            <w:hideMark/>
          </w:tcPr>
          <w:p w14:paraId="7BFA01FA" w14:textId="3B3F8A2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643 </w:t>
            </w:r>
          </w:p>
        </w:tc>
      </w:tr>
      <w:tr w:rsidR="009B1C7F" w:rsidRPr="00934BA3" w14:paraId="4B483170" w14:textId="77777777" w:rsidTr="004D4454">
        <w:trPr>
          <w:cantSplit/>
          <w:trHeight w:val="720"/>
        </w:trPr>
        <w:tc>
          <w:tcPr>
            <w:tcW w:w="1933" w:type="pct"/>
            <w:shd w:val="clear" w:color="auto" w:fill="C2D69B" w:themeFill="accent3" w:themeFillTint="99"/>
            <w:noWrap/>
            <w:vAlign w:val="center"/>
            <w:hideMark/>
          </w:tcPr>
          <w:p w14:paraId="23FD9161" w14:textId="3F5AABC8" w:rsidR="00934BA3" w:rsidRPr="00934BA3" w:rsidRDefault="00934BA3" w:rsidP="00934BA3">
            <w:pPr>
              <w:spacing w:after="0" w:line="240" w:lineRule="auto"/>
              <w:rPr>
                <w:rFonts w:ascii="Century Gothic" w:eastAsia="Times New Roman" w:hAnsi="Century Gothic" w:cs="Calibri"/>
                <w:sz w:val="16"/>
                <w:szCs w:val="16"/>
              </w:rPr>
            </w:pPr>
            <w:r>
              <w:rPr>
                <w:rFonts w:ascii="Century Gothic" w:eastAsia="Times New Roman" w:hAnsi="Century Gothic" w:cs="Calibri"/>
                <w:sz w:val="16"/>
                <w:szCs w:val="16"/>
              </w:rPr>
              <w:lastRenderedPageBreak/>
              <w:t>1.1.3. Sobretasa</w:t>
            </w:r>
            <w:r w:rsidRPr="00934BA3">
              <w:rPr>
                <w:rFonts w:ascii="Century Gothic" w:eastAsia="Times New Roman" w:hAnsi="Century Gothic" w:cs="Calibri"/>
                <w:sz w:val="16"/>
                <w:szCs w:val="16"/>
              </w:rPr>
              <w:t xml:space="preserve"> a la gasolina</w:t>
            </w:r>
          </w:p>
        </w:tc>
        <w:tc>
          <w:tcPr>
            <w:tcW w:w="278" w:type="pct"/>
            <w:shd w:val="clear" w:color="auto" w:fill="auto"/>
            <w:noWrap/>
            <w:textDirection w:val="btLr"/>
            <w:vAlign w:val="center"/>
            <w:hideMark/>
          </w:tcPr>
          <w:p w14:paraId="51BEF4BA" w14:textId="3A26656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238 </w:t>
            </w:r>
          </w:p>
        </w:tc>
        <w:tc>
          <w:tcPr>
            <w:tcW w:w="278" w:type="pct"/>
            <w:shd w:val="clear" w:color="auto" w:fill="auto"/>
            <w:noWrap/>
            <w:textDirection w:val="btLr"/>
            <w:vAlign w:val="center"/>
            <w:hideMark/>
          </w:tcPr>
          <w:p w14:paraId="25BF7025" w14:textId="0E80023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650 </w:t>
            </w:r>
          </w:p>
        </w:tc>
        <w:tc>
          <w:tcPr>
            <w:tcW w:w="278" w:type="pct"/>
            <w:shd w:val="clear" w:color="auto" w:fill="auto"/>
            <w:noWrap/>
            <w:textDirection w:val="btLr"/>
            <w:vAlign w:val="center"/>
            <w:hideMark/>
          </w:tcPr>
          <w:p w14:paraId="3C3DF67C" w14:textId="47FB002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082 </w:t>
            </w:r>
          </w:p>
        </w:tc>
        <w:tc>
          <w:tcPr>
            <w:tcW w:w="279" w:type="pct"/>
            <w:shd w:val="clear" w:color="auto" w:fill="auto"/>
            <w:noWrap/>
            <w:textDirection w:val="btLr"/>
            <w:vAlign w:val="center"/>
            <w:hideMark/>
          </w:tcPr>
          <w:p w14:paraId="3025D1FB" w14:textId="7E41D38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536 </w:t>
            </w:r>
          </w:p>
        </w:tc>
        <w:tc>
          <w:tcPr>
            <w:tcW w:w="279" w:type="pct"/>
            <w:shd w:val="clear" w:color="auto" w:fill="auto"/>
            <w:noWrap/>
            <w:textDirection w:val="btLr"/>
            <w:vAlign w:val="center"/>
            <w:hideMark/>
          </w:tcPr>
          <w:p w14:paraId="35F56958" w14:textId="2C6C427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013 </w:t>
            </w:r>
          </w:p>
        </w:tc>
        <w:tc>
          <w:tcPr>
            <w:tcW w:w="279" w:type="pct"/>
            <w:shd w:val="clear" w:color="auto" w:fill="auto"/>
            <w:noWrap/>
            <w:textDirection w:val="btLr"/>
            <w:vAlign w:val="center"/>
            <w:hideMark/>
          </w:tcPr>
          <w:p w14:paraId="22D722AC" w14:textId="0FE2FDF6"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514 </w:t>
            </w:r>
          </w:p>
        </w:tc>
        <w:tc>
          <w:tcPr>
            <w:tcW w:w="279" w:type="pct"/>
            <w:shd w:val="clear" w:color="auto" w:fill="auto"/>
            <w:noWrap/>
            <w:textDirection w:val="btLr"/>
            <w:vAlign w:val="center"/>
            <w:hideMark/>
          </w:tcPr>
          <w:p w14:paraId="3259E1D3" w14:textId="2C41DA9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039 </w:t>
            </w:r>
          </w:p>
        </w:tc>
        <w:tc>
          <w:tcPr>
            <w:tcW w:w="279" w:type="pct"/>
            <w:shd w:val="clear" w:color="auto" w:fill="auto"/>
            <w:noWrap/>
            <w:textDirection w:val="btLr"/>
            <w:vAlign w:val="center"/>
            <w:hideMark/>
          </w:tcPr>
          <w:p w14:paraId="3D391E1D" w14:textId="42846F8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591 </w:t>
            </w:r>
          </w:p>
        </w:tc>
        <w:tc>
          <w:tcPr>
            <w:tcW w:w="279" w:type="pct"/>
            <w:shd w:val="clear" w:color="auto" w:fill="auto"/>
            <w:noWrap/>
            <w:textDirection w:val="btLr"/>
            <w:vAlign w:val="center"/>
            <w:hideMark/>
          </w:tcPr>
          <w:p w14:paraId="53451CCB" w14:textId="32973E1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171 </w:t>
            </w:r>
          </w:p>
        </w:tc>
        <w:tc>
          <w:tcPr>
            <w:tcW w:w="279" w:type="pct"/>
            <w:shd w:val="clear" w:color="auto" w:fill="auto"/>
            <w:noWrap/>
            <w:textDirection w:val="btLr"/>
            <w:vAlign w:val="center"/>
            <w:hideMark/>
          </w:tcPr>
          <w:p w14:paraId="1D6E84EB" w14:textId="575E600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779 </w:t>
            </w:r>
          </w:p>
        </w:tc>
        <w:tc>
          <w:tcPr>
            <w:tcW w:w="278" w:type="pct"/>
            <w:shd w:val="clear" w:color="auto" w:fill="auto"/>
            <w:noWrap/>
            <w:textDirection w:val="btLr"/>
            <w:vAlign w:val="center"/>
            <w:hideMark/>
          </w:tcPr>
          <w:p w14:paraId="33EDF7CD" w14:textId="66BB1E76"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418 </w:t>
            </w:r>
          </w:p>
        </w:tc>
      </w:tr>
      <w:tr w:rsidR="009B1C7F" w:rsidRPr="00934BA3" w14:paraId="7692DE84" w14:textId="77777777" w:rsidTr="004D4454">
        <w:trPr>
          <w:cantSplit/>
          <w:trHeight w:val="720"/>
        </w:trPr>
        <w:tc>
          <w:tcPr>
            <w:tcW w:w="1933" w:type="pct"/>
            <w:shd w:val="clear" w:color="auto" w:fill="C2D69B" w:themeFill="accent3" w:themeFillTint="99"/>
            <w:noWrap/>
            <w:vAlign w:val="center"/>
            <w:hideMark/>
          </w:tcPr>
          <w:p w14:paraId="2B9D77D8"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1.1.9. Otros</w:t>
            </w:r>
          </w:p>
        </w:tc>
        <w:tc>
          <w:tcPr>
            <w:tcW w:w="278" w:type="pct"/>
            <w:shd w:val="clear" w:color="auto" w:fill="auto"/>
            <w:noWrap/>
            <w:textDirection w:val="btLr"/>
            <w:vAlign w:val="center"/>
            <w:hideMark/>
          </w:tcPr>
          <w:p w14:paraId="530B715C" w14:textId="6767C46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225 </w:t>
            </w:r>
          </w:p>
        </w:tc>
        <w:tc>
          <w:tcPr>
            <w:tcW w:w="278" w:type="pct"/>
            <w:shd w:val="clear" w:color="auto" w:fill="auto"/>
            <w:noWrap/>
            <w:textDirection w:val="btLr"/>
            <w:vAlign w:val="center"/>
            <w:hideMark/>
          </w:tcPr>
          <w:p w14:paraId="7908B2BB" w14:textId="20686B0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118 </w:t>
            </w:r>
          </w:p>
        </w:tc>
        <w:tc>
          <w:tcPr>
            <w:tcW w:w="278" w:type="pct"/>
            <w:shd w:val="clear" w:color="auto" w:fill="auto"/>
            <w:noWrap/>
            <w:textDirection w:val="btLr"/>
            <w:vAlign w:val="center"/>
            <w:hideMark/>
          </w:tcPr>
          <w:p w14:paraId="5DBDA7BE" w14:textId="6F919F9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051 </w:t>
            </w:r>
          </w:p>
        </w:tc>
        <w:tc>
          <w:tcPr>
            <w:tcW w:w="279" w:type="pct"/>
            <w:shd w:val="clear" w:color="auto" w:fill="auto"/>
            <w:noWrap/>
            <w:textDirection w:val="btLr"/>
            <w:vAlign w:val="center"/>
            <w:hideMark/>
          </w:tcPr>
          <w:p w14:paraId="4FD90EF2" w14:textId="091C00D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117 </w:t>
            </w:r>
          </w:p>
        </w:tc>
        <w:tc>
          <w:tcPr>
            <w:tcW w:w="279" w:type="pct"/>
            <w:shd w:val="clear" w:color="auto" w:fill="auto"/>
            <w:noWrap/>
            <w:textDirection w:val="btLr"/>
            <w:vAlign w:val="center"/>
            <w:hideMark/>
          </w:tcPr>
          <w:p w14:paraId="551F3B78" w14:textId="61E0675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327 </w:t>
            </w:r>
          </w:p>
        </w:tc>
        <w:tc>
          <w:tcPr>
            <w:tcW w:w="279" w:type="pct"/>
            <w:shd w:val="clear" w:color="auto" w:fill="auto"/>
            <w:noWrap/>
            <w:textDirection w:val="btLr"/>
            <w:vAlign w:val="center"/>
            <w:hideMark/>
          </w:tcPr>
          <w:p w14:paraId="2A395777" w14:textId="10DEF82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695 </w:t>
            </w:r>
          </w:p>
        </w:tc>
        <w:tc>
          <w:tcPr>
            <w:tcW w:w="279" w:type="pct"/>
            <w:shd w:val="clear" w:color="auto" w:fill="auto"/>
            <w:noWrap/>
            <w:textDirection w:val="btLr"/>
            <w:vAlign w:val="center"/>
            <w:hideMark/>
          </w:tcPr>
          <w:p w14:paraId="74DD4725" w14:textId="4473E7D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235 </w:t>
            </w:r>
          </w:p>
        </w:tc>
        <w:tc>
          <w:tcPr>
            <w:tcW w:w="279" w:type="pct"/>
            <w:shd w:val="clear" w:color="auto" w:fill="auto"/>
            <w:noWrap/>
            <w:textDirection w:val="btLr"/>
            <w:vAlign w:val="center"/>
            <w:hideMark/>
          </w:tcPr>
          <w:p w14:paraId="67FF4B41" w14:textId="5753828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964 </w:t>
            </w:r>
          </w:p>
        </w:tc>
        <w:tc>
          <w:tcPr>
            <w:tcW w:w="279" w:type="pct"/>
            <w:shd w:val="clear" w:color="auto" w:fill="auto"/>
            <w:noWrap/>
            <w:textDirection w:val="btLr"/>
            <w:vAlign w:val="center"/>
            <w:hideMark/>
          </w:tcPr>
          <w:p w14:paraId="47F6DD58" w14:textId="32A56CF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899 </w:t>
            </w:r>
          </w:p>
        </w:tc>
        <w:tc>
          <w:tcPr>
            <w:tcW w:w="279" w:type="pct"/>
            <w:shd w:val="clear" w:color="auto" w:fill="auto"/>
            <w:noWrap/>
            <w:textDirection w:val="btLr"/>
            <w:vAlign w:val="center"/>
            <w:hideMark/>
          </w:tcPr>
          <w:p w14:paraId="649665EA" w14:textId="019F929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060 </w:t>
            </w:r>
          </w:p>
        </w:tc>
        <w:tc>
          <w:tcPr>
            <w:tcW w:w="278" w:type="pct"/>
            <w:shd w:val="clear" w:color="auto" w:fill="auto"/>
            <w:noWrap/>
            <w:textDirection w:val="btLr"/>
            <w:vAlign w:val="center"/>
            <w:hideMark/>
          </w:tcPr>
          <w:p w14:paraId="78D09FE4" w14:textId="3DAAB8C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479 </w:t>
            </w:r>
          </w:p>
        </w:tc>
      </w:tr>
      <w:tr w:rsidR="009B1C7F" w:rsidRPr="00934BA3" w14:paraId="2D1DF112" w14:textId="77777777" w:rsidTr="004D4454">
        <w:trPr>
          <w:cantSplit/>
          <w:trHeight w:val="720"/>
        </w:trPr>
        <w:tc>
          <w:tcPr>
            <w:tcW w:w="1933" w:type="pct"/>
            <w:shd w:val="clear" w:color="auto" w:fill="C2D69B" w:themeFill="accent3" w:themeFillTint="99"/>
            <w:noWrap/>
            <w:vAlign w:val="center"/>
            <w:hideMark/>
          </w:tcPr>
          <w:p w14:paraId="7B6F7558"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1.2. Ingresos no tributarios</w:t>
            </w:r>
          </w:p>
        </w:tc>
        <w:tc>
          <w:tcPr>
            <w:tcW w:w="278" w:type="pct"/>
            <w:shd w:val="clear" w:color="auto" w:fill="auto"/>
            <w:noWrap/>
            <w:textDirection w:val="btLr"/>
            <w:vAlign w:val="center"/>
            <w:hideMark/>
          </w:tcPr>
          <w:p w14:paraId="7DF5B9DC" w14:textId="3244052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030 </w:t>
            </w:r>
          </w:p>
        </w:tc>
        <w:tc>
          <w:tcPr>
            <w:tcW w:w="278" w:type="pct"/>
            <w:shd w:val="clear" w:color="auto" w:fill="auto"/>
            <w:noWrap/>
            <w:textDirection w:val="btLr"/>
            <w:vAlign w:val="center"/>
            <w:hideMark/>
          </w:tcPr>
          <w:p w14:paraId="56E827BA" w14:textId="2023637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375 </w:t>
            </w:r>
          </w:p>
        </w:tc>
        <w:tc>
          <w:tcPr>
            <w:tcW w:w="278" w:type="pct"/>
            <w:shd w:val="clear" w:color="auto" w:fill="auto"/>
            <w:noWrap/>
            <w:textDirection w:val="btLr"/>
            <w:vAlign w:val="center"/>
            <w:hideMark/>
          </w:tcPr>
          <w:p w14:paraId="2348FFAF" w14:textId="6852146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352 </w:t>
            </w:r>
          </w:p>
        </w:tc>
        <w:tc>
          <w:tcPr>
            <w:tcW w:w="279" w:type="pct"/>
            <w:shd w:val="clear" w:color="auto" w:fill="auto"/>
            <w:noWrap/>
            <w:textDirection w:val="btLr"/>
            <w:vAlign w:val="center"/>
            <w:hideMark/>
          </w:tcPr>
          <w:p w14:paraId="4285B2BE" w14:textId="1D36894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536 </w:t>
            </w:r>
          </w:p>
        </w:tc>
        <w:tc>
          <w:tcPr>
            <w:tcW w:w="279" w:type="pct"/>
            <w:shd w:val="clear" w:color="auto" w:fill="auto"/>
            <w:noWrap/>
            <w:textDirection w:val="btLr"/>
            <w:vAlign w:val="center"/>
            <w:hideMark/>
          </w:tcPr>
          <w:p w14:paraId="1E26F885" w14:textId="3B202CD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493 </w:t>
            </w:r>
          </w:p>
        </w:tc>
        <w:tc>
          <w:tcPr>
            <w:tcW w:w="279" w:type="pct"/>
            <w:shd w:val="clear" w:color="auto" w:fill="auto"/>
            <w:noWrap/>
            <w:textDirection w:val="btLr"/>
            <w:vAlign w:val="center"/>
            <w:hideMark/>
          </w:tcPr>
          <w:p w14:paraId="5818C375" w14:textId="46A519C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689 </w:t>
            </w:r>
          </w:p>
        </w:tc>
        <w:tc>
          <w:tcPr>
            <w:tcW w:w="279" w:type="pct"/>
            <w:shd w:val="clear" w:color="auto" w:fill="auto"/>
            <w:noWrap/>
            <w:textDirection w:val="btLr"/>
            <w:vAlign w:val="center"/>
            <w:hideMark/>
          </w:tcPr>
          <w:p w14:paraId="490F41BC" w14:textId="315DB58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713 </w:t>
            </w:r>
          </w:p>
        </w:tc>
        <w:tc>
          <w:tcPr>
            <w:tcW w:w="279" w:type="pct"/>
            <w:shd w:val="clear" w:color="auto" w:fill="auto"/>
            <w:noWrap/>
            <w:textDirection w:val="btLr"/>
            <w:vAlign w:val="center"/>
            <w:hideMark/>
          </w:tcPr>
          <w:p w14:paraId="6959A827" w14:textId="638BB29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026 </w:t>
            </w:r>
          </w:p>
        </w:tc>
        <w:tc>
          <w:tcPr>
            <w:tcW w:w="279" w:type="pct"/>
            <w:shd w:val="clear" w:color="auto" w:fill="auto"/>
            <w:noWrap/>
            <w:textDirection w:val="btLr"/>
            <w:vAlign w:val="center"/>
            <w:hideMark/>
          </w:tcPr>
          <w:p w14:paraId="2F94DEB9" w14:textId="06C10CA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674 </w:t>
            </w:r>
          </w:p>
        </w:tc>
        <w:tc>
          <w:tcPr>
            <w:tcW w:w="279" w:type="pct"/>
            <w:shd w:val="clear" w:color="auto" w:fill="auto"/>
            <w:noWrap/>
            <w:textDirection w:val="btLr"/>
            <w:vAlign w:val="center"/>
            <w:hideMark/>
          </w:tcPr>
          <w:p w14:paraId="7D313106" w14:textId="3AF33E9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695 </w:t>
            </w:r>
          </w:p>
        </w:tc>
        <w:tc>
          <w:tcPr>
            <w:tcW w:w="278" w:type="pct"/>
            <w:shd w:val="clear" w:color="auto" w:fill="auto"/>
            <w:noWrap/>
            <w:textDirection w:val="btLr"/>
            <w:vAlign w:val="center"/>
            <w:hideMark/>
          </w:tcPr>
          <w:p w14:paraId="6332C0DE" w14:textId="098D251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134 </w:t>
            </w:r>
          </w:p>
        </w:tc>
      </w:tr>
      <w:tr w:rsidR="009B1C7F" w:rsidRPr="00934BA3" w14:paraId="5E50BFBB" w14:textId="77777777" w:rsidTr="004D4454">
        <w:trPr>
          <w:cantSplit/>
          <w:trHeight w:val="663"/>
        </w:trPr>
        <w:tc>
          <w:tcPr>
            <w:tcW w:w="1933" w:type="pct"/>
            <w:shd w:val="clear" w:color="auto" w:fill="C2D69B" w:themeFill="accent3" w:themeFillTint="99"/>
            <w:noWrap/>
            <w:vAlign w:val="center"/>
            <w:hideMark/>
          </w:tcPr>
          <w:p w14:paraId="70B61302"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 Transferencias</w:t>
            </w:r>
          </w:p>
        </w:tc>
        <w:tc>
          <w:tcPr>
            <w:tcW w:w="278" w:type="pct"/>
            <w:shd w:val="clear" w:color="auto" w:fill="auto"/>
            <w:noWrap/>
            <w:textDirection w:val="btLr"/>
            <w:vAlign w:val="center"/>
            <w:hideMark/>
          </w:tcPr>
          <w:p w14:paraId="14041AE8" w14:textId="5144B95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864 </w:t>
            </w:r>
          </w:p>
        </w:tc>
        <w:tc>
          <w:tcPr>
            <w:tcW w:w="278" w:type="pct"/>
            <w:shd w:val="clear" w:color="auto" w:fill="auto"/>
            <w:noWrap/>
            <w:textDirection w:val="btLr"/>
            <w:vAlign w:val="center"/>
            <w:hideMark/>
          </w:tcPr>
          <w:p w14:paraId="7C88EE66" w14:textId="07C5FB2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144 </w:t>
            </w:r>
          </w:p>
        </w:tc>
        <w:tc>
          <w:tcPr>
            <w:tcW w:w="278" w:type="pct"/>
            <w:shd w:val="clear" w:color="auto" w:fill="auto"/>
            <w:noWrap/>
            <w:textDirection w:val="btLr"/>
            <w:vAlign w:val="center"/>
            <w:hideMark/>
          </w:tcPr>
          <w:p w14:paraId="2C2EC122" w14:textId="3B5C1C9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447 </w:t>
            </w:r>
          </w:p>
        </w:tc>
        <w:tc>
          <w:tcPr>
            <w:tcW w:w="279" w:type="pct"/>
            <w:shd w:val="clear" w:color="auto" w:fill="auto"/>
            <w:noWrap/>
            <w:textDirection w:val="btLr"/>
            <w:vAlign w:val="center"/>
            <w:hideMark/>
          </w:tcPr>
          <w:p w14:paraId="18B3F56B" w14:textId="2AA34A7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778 </w:t>
            </w:r>
          </w:p>
        </w:tc>
        <w:tc>
          <w:tcPr>
            <w:tcW w:w="279" w:type="pct"/>
            <w:shd w:val="clear" w:color="auto" w:fill="auto"/>
            <w:noWrap/>
            <w:textDirection w:val="btLr"/>
            <w:vAlign w:val="center"/>
            <w:hideMark/>
          </w:tcPr>
          <w:p w14:paraId="4ADAC8F6" w14:textId="23B2030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139 </w:t>
            </w:r>
          </w:p>
        </w:tc>
        <w:tc>
          <w:tcPr>
            <w:tcW w:w="279" w:type="pct"/>
            <w:shd w:val="clear" w:color="auto" w:fill="auto"/>
            <w:noWrap/>
            <w:textDirection w:val="btLr"/>
            <w:vAlign w:val="center"/>
            <w:hideMark/>
          </w:tcPr>
          <w:p w14:paraId="465C5CF5" w14:textId="15D5CF5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532 </w:t>
            </w:r>
          </w:p>
        </w:tc>
        <w:tc>
          <w:tcPr>
            <w:tcW w:w="279" w:type="pct"/>
            <w:shd w:val="clear" w:color="auto" w:fill="auto"/>
            <w:noWrap/>
            <w:textDirection w:val="btLr"/>
            <w:vAlign w:val="center"/>
            <w:hideMark/>
          </w:tcPr>
          <w:p w14:paraId="606709CE" w14:textId="2640D30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961 </w:t>
            </w:r>
          </w:p>
        </w:tc>
        <w:tc>
          <w:tcPr>
            <w:tcW w:w="279" w:type="pct"/>
            <w:shd w:val="clear" w:color="auto" w:fill="auto"/>
            <w:noWrap/>
            <w:textDirection w:val="btLr"/>
            <w:vAlign w:val="center"/>
            <w:hideMark/>
          </w:tcPr>
          <w:p w14:paraId="6BF005C4" w14:textId="6BAC46B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429 </w:t>
            </w:r>
          </w:p>
        </w:tc>
        <w:tc>
          <w:tcPr>
            <w:tcW w:w="279" w:type="pct"/>
            <w:shd w:val="clear" w:color="auto" w:fill="auto"/>
            <w:noWrap/>
            <w:textDirection w:val="btLr"/>
            <w:vAlign w:val="center"/>
            <w:hideMark/>
          </w:tcPr>
          <w:p w14:paraId="721A198D" w14:textId="06E790C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940 </w:t>
            </w:r>
          </w:p>
        </w:tc>
        <w:tc>
          <w:tcPr>
            <w:tcW w:w="279" w:type="pct"/>
            <w:shd w:val="clear" w:color="auto" w:fill="auto"/>
            <w:noWrap/>
            <w:textDirection w:val="btLr"/>
            <w:vAlign w:val="center"/>
            <w:hideMark/>
          </w:tcPr>
          <w:p w14:paraId="6E531EE5" w14:textId="11FABA2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498 </w:t>
            </w:r>
          </w:p>
        </w:tc>
        <w:tc>
          <w:tcPr>
            <w:tcW w:w="278" w:type="pct"/>
            <w:shd w:val="clear" w:color="auto" w:fill="auto"/>
            <w:noWrap/>
            <w:textDirection w:val="btLr"/>
            <w:vAlign w:val="center"/>
            <w:hideMark/>
          </w:tcPr>
          <w:p w14:paraId="05D52DF5" w14:textId="213906D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108 </w:t>
            </w:r>
          </w:p>
        </w:tc>
      </w:tr>
      <w:tr w:rsidR="009B1C7F" w:rsidRPr="00934BA3" w14:paraId="523A1D27" w14:textId="77777777" w:rsidTr="004D4454">
        <w:trPr>
          <w:cantSplit/>
          <w:trHeight w:val="113"/>
        </w:trPr>
        <w:tc>
          <w:tcPr>
            <w:tcW w:w="1933" w:type="pct"/>
            <w:shd w:val="clear" w:color="auto" w:fill="C2D69B" w:themeFill="accent3" w:themeFillTint="99"/>
            <w:noWrap/>
            <w:vAlign w:val="center"/>
            <w:hideMark/>
          </w:tcPr>
          <w:p w14:paraId="5AD85DD2"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1.3.1. Del nivel nacional</w:t>
            </w:r>
          </w:p>
        </w:tc>
        <w:tc>
          <w:tcPr>
            <w:tcW w:w="278" w:type="pct"/>
            <w:shd w:val="clear" w:color="auto" w:fill="auto"/>
            <w:noWrap/>
            <w:vAlign w:val="center"/>
            <w:hideMark/>
          </w:tcPr>
          <w:p w14:paraId="399428EA" w14:textId="725D3E03"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8" w:type="pct"/>
            <w:shd w:val="clear" w:color="auto" w:fill="auto"/>
            <w:noWrap/>
            <w:vAlign w:val="center"/>
            <w:hideMark/>
          </w:tcPr>
          <w:p w14:paraId="03F27ADE" w14:textId="44DD11B9"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8" w:type="pct"/>
            <w:shd w:val="clear" w:color="auto" w:fill="auto"/>
            <w:noWrap/>
            <w:vAlign w:val="center"/>
            <w:hideMark/>
          </w:tcPr>
          <w:p w14:paraId="086052AB" w14:textId="2221A18C"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7250308D" w14:textId="412DFE7F"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0963878A" w14:textId="437D5B2C"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4A53656A" w14:textId="2CCB8270"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7C667AC1" w14:textId="1A9DF7E1"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028049DC" w14:textId="4DBAC780"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0E9E2742" w14:textId="1D63D1C1"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9" w:type="pct"/>
            <w:shd w:val="clear" w:color="auto" w:fill="auto"/>
            <w:noWrap/>
            <w:vAlign w:val="center"/>
            <w:hideMark/>
          </w:tcPr>
          <w:p w14:paraId="6454DA81" w14:textId="7E20F3BE"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c>
          <w:tcPr>
            <w:tcW w:w="278" w:type="pct"/>
            <w:shd w:val="clear" w:color="auto" w:fill="auto"/>
            <w:noWrap/>
            <w:vAlign w:val="center"/>
            <w:hideMark/>
          </w:tcPr>
          <w:p w14:paraId="264F7B4E" w14:textId="5133CD90" w:rsidR="00934BA3" w:rsidRPr="00934BA3" w:rsidRDefault="00141A5A" w:rsidP="00141A5A">
            <w:pPr>
              <w:spacing w:after="0" w:line="240" w:lineRule="auto"/>
              <w:jc w:val="right"/>
              <w:rPr>
                <w:rFonts w:ascii="Century Gothic" w:eastAsia="Times New Roman" w:hAnsi="Century Gothic" w:cs="Calibri"/>
                <w:sz w:val="16"/>
                <w:szCs w:val="16"/>
              </w:rPr>
            </w:pPr>
            <w:r>
              <w:rPr>
                <w:rFonts w:ascii="Century Gothic" w:eastAsia="Times New Roman" w:hAnsi="Century Gothic" w:cs="Calibri"/>
                <w:sz w:val="16"/>
                <w:szCs w:val="16"/>
              </w:rPr>
              <w:t>-</w:t>
            </w:r>
          </w:p>
        </w:tc>
      </w:tr>
      <w:tr w:rsidR="009B1C7F" w:rsidRPr="00934BA3" w14:paraId="665E030B" w14:textId="77777777" w:rsidTr="004D4454">
        <w:trPr>
          <w:cantSplit/>
          <w:trHeight w:val="665"/>
        </w:trPr>
        <w:tc>
          <w:tcPr>
            <w:tcW w:w="1933" w:type="pct"/>
            <w:shd w:val="clear" w:color="auto" w:fill="C2D69B" w:themeFill="accent3" w:themeFillTint="99"/>
            <w:noWrap/>
            <w:vAlign w:val="center"/>
            <w:hideMark/>
          </w:tcPr>
          <w:p w14:paraId="1A7D3564"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1.3.2. Otras</w:t>
            </w:r>
          </w:p>
        </w:tc>
        <w:tc>
          <w:tcPr>
            <w:tcW w:w="278" w:type="pct"/>
            <w:shd w:val="clear" w:color="auto" w:fill="auto"/>
            <w:noWrap/>
            <w:textDirection w:val="btLr"/>
            <w:vAlign w:val="center"/>
            <w:hideMark/>
          </w:tcPr>
          <w:p w14:paraId="5075F719" w14:textId="2DA265E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864 </w:t>
            </w:r>
          </w:p>
        </w:tc>
        <w:tc>
          <w:tcPr>
            <w:tcW w:w="278" w:type="pct"/>
            <w:shd w:val="clear" w:color="auto" w:fill="auto"/>
            <w:noWrap/>
            <w:textDirection w:val="btLr"/>
            <w:vAlign w:val="center"/>
            <w:hideMark/>
          </w:tcPr>
          <w:p w14:paraId="589555A5" w14:textId="712B8F9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144 </w:t>
            </w:r>
          </w:p>
        </w:tc>
        <w:tc>
          <w:tcPr>
            <w:tcW w:w="278" w:type="pct"/>
            <w:shd w:val="clear" w:color="auto" w:fill="auto"/>
            <w:noWrap/>
            <w:textDirection w:val="btLr"/>
            <w:vAlign w:val="center"/>
            <w:hideMark/>
          </w:tcPr>
          <w:p w14:paraId="7403736E" w14:textId="507C8186"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447 </w:t>
            </w:r>
          </w:p>
        </w:tc>
        <w:tc>
          <w:tcPr>
            <w:tcW w:w="279" w:type="pct"/>
            <w:shd w:val="clear" w:color="auto" w:fill="auto"/>
            <w:noWrap/>
            <w:textDirection w:val="btLr"/>
            <w:vAlign w:val="center"/>
            <w:hideMark/>
          </w:tcPr>
          <w:p w14:paraId="437030A8" w14:textId="3521A23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778 </w:t>
            </w:r>
          </w:p>
        </w:tc>
        <w:tc>
          <w:tcPr>
            <w:tcW w:w="279" w:type="pct"/>
            <w:shd w:val="clear" w:color="auto" w:fill="auto"/>
            <w:noWrap/>
            <w:textDirection w:val="btLr"/>
            <w:vAlign w:val="center"/>
            <w:hideMark/>
          </w:tcPr>
          <w:p w14:paraId="420773E0" w14:textId="06E1482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139 </w:t>
            </w:r>
          </w:p>
        </w:tc>
        <w:tc>
          <w:tcPr>
            <w:tcW w:w="279" w:type="pct"/>
            <w:shd w:val="clear" w:color="auto" w:fill="auto"/>
            <w:noWrap/>
            <w:textDirection w:val="btLr"/>
            <w:vAlign w:val="center"/>
            <w:hideMark/>
          </w:tcPr>
          <w:p w14:paraId="32F51FDC" w14:textId="0564827A"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532 </w:t>
            </w:r>
          </w:p>
        </w:tc>
        <w:tc>
          <w:tcPr>
            <w:tcW w:w="279" w:type="pct"/>
            <w:shd w:val="clear" w:color="auto" w:fill="auto"/>
            <w:noWrap/>
            <w:textDirection w:val="btLr"/>
            <w:vAlign w:val="center"/>
            <w:hideMark/>
          </w:tcPr>
          <w:p w14:paraId="00D3F957" w14:textId="7C5C073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961 </w:t>
            </w:r>
          </w:p>
        </w:tc>
        <w:tc>
          <w:tcPr>
            <w:tcW w:w="279" w:type="pct"/>
            <w:shd w:val="clear" w:color="auto" w:fill="auto"/>
            <w:noWrap/>
            <w:textDirection w:val="btLr"/>
            <w:vAlign w:val="center"/>
            <w:hideMark/>
          </w:tcPr>
          <w:p w14:paraId="5F113DD8" w14:textId="045894A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429 </w:t>
            </w:r>
          </w:p>
        </w:tc>
        <w:tc>
          <w:tcPr>
            <w:tcW w:w="279" w:type="pct"/>
            <w:shd w:val="clear" w:color="auto" w:fill="auto"/>
            <w:noWrap/>
            <w:textDirection w:val="btLr"/>
            <w:vAlign w:val="center"/>
            <w:hideMark/>
          </w:tcPr>
          <w:p w14:paraId="337E6D00" w14:textId="770C359A"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940 </w:t>
            </w:r>
          </w:p>
        </w:tc>
        <w:tc>
          <w:tcPr>
            <w:tcW w:w="279" w:type="pct"/>
            <w:shd w:val="clear" w:color="auto" w:fill="auto"/>
            <w:noWrap/>
            <w:textDirection w:val="btLr"/>
            <w:vAlign w:val="center"/>
            <w:hideMark/>
          </w:tcPr>
          <w:p w14:paraId="14285CAA" w14:textId="593E202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498 </w:t>
            </w:r>
          </w:p>
        </w:tc>
        <w:tc>
          <w:tcPr>
            <w:tcW w:w="278" w:type="pct"/>
            <w:shd w:val="clear" w:color="auto" w:fill="auto"/>
            <w:noWrap/>
            <w:textDirection w:val="btLr"/>
            <w:vAlign w:val="center"/>
            <w:hideMark/>
          </w:tcPr>
          <w:p w14:paraId="6B779A0E" w14:textId="09A4A62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108 </w:t>
            </w:r>
          </w:p>
        </w:tc>
      </w:tr>
      <w:tr w:rsidR="009B1C7F" w:rsidRPr="00934BA3" w14:paraId="0084B6E0" w14:textId="77777777" w:rsidTr="004D4454">
        <w:trPr>
          <w:cantSplit/>
          <w:trHeight w:val="947"/>
        </w:trPr>
        <w:tc>
          <w:tcPr>
            <w:tcW w:w="1933" w:type="pct"/>
            <w:shd w:val="clear" w:color="auto" w:fill="C2D69B" w:themeFill="accent3" w:themeFillTint="99"/>
            <w:noWrap/>
            <w:vAlign w:val="center"/>
            <w:hideMark/>
          </w:tcPr>
          <w:p w14:paraId="3FA7B5DB"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Gastos totales</w:t>
            </w:r>
          </w:p>
        </w:tc>
        <w:tc>
          <w:tcPr>
            <w:tcW w:w="278" w:type="pct"/>
            <w:shd w:val="clear" w:color="auto" w:fill="auto"/>
            <w:noWrap/>
            <w:textDirection w:val="btLr"/>
            <w:vAlign w:val="center"/>
            <w:hideMark/>
          </w:tcPr>
          <w:p w14:paraId="1FF86BE0" w14:textId="0CD96B6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785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547 </w:t>
            </w:r>
          </w:p>
        </w:tc>
        <w:tc>
          <w:tcPr>
            <w:tcW w:w="278" w:type="pct"/>
            <w:shd w:val="clear" w:color="auto" w:fill="auto"/>
            <w:noWrap/>
            <w:textDirection w:val="btLr"/>
            <w:vAlign w:val="center"/>
            <w:hideMark/>
          </w:tcPr>
          <w:p w14:paraId="184F37A2" w14:textId="6AAC9B1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710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785 </w:t>
            </w:r>
          </w:p>
        </w:tc>
        <w:tc>
          <w:tcPr>
            <w:tcW w:w="278" w:type="pct"/>
            <w:shd w:val="clear" w:color="auto" w:fill="auto"/>
            <w:noWrap/>
            <w:textDirection w:val="btLr"/>
            <w:vAlign w:val="center"/>
            <w:hideMark/>
          </w:tcPr>
          <w:p w14:paraId="321611BA" w14:textId="08B3863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726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964 </w:t>
            </w:r>
          </w:p>
        </w:tc>
        <w:tc>
          <w:tcPr>
            <w:tcW w:w="279" w:type="pct"/>
            <w:shd w:val="clear" w:color="auto" w:fill="auto"/>
            <w:noWrap/>
            <w:textDirection w:val="btLr"/>
            <w:vAlign w:val="center"/>
            <w:hideMark/>
          </w:tcPr>
          <w:p w14:paraId="13B2D82D" w14:textId="4AEB198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773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513 </w:t>
            </w:r>
          </w:p>
        </w:tc>
        <w:tc>
          <w:tcPr>
            <w:tcW w:w="279" w:type="pct"/>
            <w:shd w:val="clear" w:color="auto" w:fill="auto"/>
            <w:noWrap/>
            <w:textDirection w:val="btLr"/>
            <w:vAlign w:val="center"/>
            <w:hideMark/>
          </w:tcPr>
          <w:p w14:paraId="4F1BF463" w14:textId="4BFC70E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825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545 </w:t>
            </w:r>
          </w:p>
        </w:tc>
        <w:tc>
          <w:tcPr>
            <w:tcW w:w="279" w:type="pct"/>
            <w:shd w:val="clear" w:color="auto" w:fill="auto"/>
            <w:noWrap/>
            <w:textDirection w:val="btLr"/>
            <w:vAlign w:val="center"/>
            <w:hideMark/>
          </w:tcPr>
          <w:p w14:paraId="7E7B6316" w14:textId="36EC3B2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884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899 </w:t>
            </w:r>
          </w:p>
        </w:tc>
        <w:tc>
          <w:tcPr>
            <w:tcW w:w="279" w:type="pct"/>
            <w:shd w:val="clear" w:color="auto" w:fill="auto"/>
            <w:noWrap/>
            <w:textDirection w:val="btLr"/>
            <w:vAlign w:val="center"/>
            <w:hideMark/>
          </w:tcPr>
          <w:p w14:paraId="5E953D20" w14:textId="58DC231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952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726 </w:t>
            </w:r>
          </w:p>
        </w:tc>
        <w:tc>
          <w:tcPr>
            <w:tcW w:w="279" w:type="pct"/>
            <w:shd w:val="clear" w:color="auto" w:fill="auto"/>
            <w:noWrap/>
            <w:textDirection w:val="btLr"/>
            <w:vAlign w:val="center"/>
            <w:hideMark/>
          </w:tcPr>
          <w:p w14:paraId="1E56D150" w14:textId="1AB7C83A"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029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293 </w:t>
            </w:r>
          </w:p>
        </w:tc>
        <w:tc>
          <w:tcPr>
            <w:tcW w:w="279" w:type="pct"/>
            <w:shd w:val="clear" w:color="auto" w:fill="auto"/>
            <w:noWrap/>
            <w:textDirection w:val="btLr"/>
            <w:vAlign w:val="center"/>
            <w:hideMark/>
          </w:tcPr>
          <w:p w14:paraId="03A8B7FE" w14:textId="54E9338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111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219 </w:t>
            </w:r>
          </w:p>
        </w:tc>
        <w:tc>
          <w:tcPr>
            <w:tcW w:w="279" w:type="pct"/>
            <w:shd w:val="clear" w:color="auto" w:fill="auto"/>
            <w:noWrap/>
            <w:textDirection w:val="btLr"/>
            <w:vAlign w:val="center"/>
            <w:hideMark/>
          </w:tcPr>
          <w:p w14:paraId="7AA73B26" w14:textId="56E5991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204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319 </w:t>
            </w:r>
          </w:p>
        </w:tc>
        <w:tc>
          <w:tcPr>
            <w:tcW w:w="278" w:type="pct"/>
            <w:shd w:val="clear" w:color="auto" w:fill="auto"/>
            <w:noWrap/>
            <w:textDirection w:val="btLr"/>
            <w:vAlign w:val="center"/>
            <w:hideMark/>
          </w:tcPr>
          <w:p w14:paraId="7C9523A0" w14:textId="10C68D8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308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968 </w:t>
            </w:r>
          </w:p>
        </w:tc>
      </w:tr>
      <w:tr w:rsidR="009B1C7F" w:rsidRPr="00934BA3" w14:paraId="04385243" w14:textId="77777777" w:rsidTr="004D4454">
        <w:trPr>
          <w:cantSplit/>
          <w:trHeight w:val="833"/>
        </w:trPr>
        <w:tc>
          <w:tcPr>
            <w:tcW w:w="1933" w:type="pct"/>
            <w:shd w:val="clear" w:color="auto" w:fill="C2D69B" w:themeFill="accent3" w:themeFillTint="99"/>
            <w:noWrap/>
            <w:vAlign w:val="center"/>
            <w:hideMark/>
          </w:tcPr>
          <w:p w14:paraId="7E686BB0"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2. Gastos corrientes</w:t>
            </w:r>
          </w:p>
        </w:tc>
        <w:tc>
          <w:tcPr>
            <w:tcW w:w="278" w:type="pct"/>
            <w:shd w:val="clear" w:color="auto" w:fill="auto"/>
            <w:noWrap/>
            <w:textDirection w:val="btLr"/>
            <w:vAlign w:val="center"/>
            <w:hideMark/>
          </w:tcPr>
          <w:p w14:paraId="06F8479D" w14:textId="47AC3895" w:rsidR="00934BA3" w:rsidRPr="00934BA3" w:rsidRDefault="00141A5A" w:rsidP="00934BA3">
            <w:pPr>
              <w:spacing w:after="0" w:line="240" w:lineRule="auto"/>
              <w:ind w:left="113" w:right="113"/>
              <w:jc w:val="right"/>
              <w:rPr>
                <w:rFonts w:ascii="Century Gothic" w:eastAsia="Times New Roman" w:hAnsi="Century Gothic" w:cs="Calibri"/>
                <w:bCs/>
                <w:sz w:val="16"/>
                <w:szCs w:val="16"/>
              </w:rPr>
            </w:pPr>
            <w:r>
              <w:rPr>
                <w:rFonts w:ascii="Century Gothic" w:eastAsia="Times New Roman" w:hAnsi="Century Gothic" w:cs="Calibri"/>
                <w:bCs/>
                <w:sz w:val="16"/>
                <w:szCs w:val="16"/>
              </w:rPr>
              <w:t>82</w:t>
            </w:r>
            <w:r w:rsidR="004D4454">
              <w:rPr>
                <w:rFonts w:ascii="Century Gothic" w:eastAsia="Times New Roman" w:hAnsi="Century Gothic" w:cs="Calibri"/>
                <w:bCs/>
                <w:sz w:val="16"/>
                <w:szCs w:val="16"/>
              </w:rPr>
              <w:t>.</w:t>
            </w:r>
            <w:r>
              <w:rPr>
                <w:rFonts w:ascii="Century Gothic" w:eastAsia="Times New Roman" w:hAnsi="Century Gothic" w:cs="Calibri"/>
                <w:bCs/>
                <w:sz w:val="16"/>
                <w:szCs w:val="16"/>
              </w:rPr>
              <w:t>956</w:t>
            </w:r>
          </w:p>
        </w:tc>
        <w:tc>
          <w:tcPr>
            <w:tcW w:w="278" w:type="pct"/>
            <w:shd w:val="clear" w:color="auto" w:fill="auto"/>
            <w:noWrap/>
            <w:textDirection w:val="btLr"/>
            <w:vAlign w:val="center"/>
            <w:hideMark/>
          </w:tcPr>
          <w:p w14:paraId="7DDFF6AC" w14:textId="65C0EF8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545 </w:t>
            </w:r>
          </w:p>
        </w:tc>
        <w:tc>
          <w:tcPr>
            <w:tcW w:w="278" w:type="pct"/>
            <w:shd w:val="clear" w:color="auto" w:fill="auto"/>
            <w:noWrap/>
            <w:textDirection w:val="btLr"/>
            <w:vAlign w:val="center"/>
            <w:hideMark/>
          </w:tcPr>
          <w:p w14:paraId="14071DDF" w14:textId="14AF674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910 </w:t>
            </w:r>
          </w:p>
        </w:tc>
        <w:tc>
          <w:tcPr>
            <w:tcW w:w="279" w:type="pct"/>
            <w:shd w:val="clear" w:color="auto" w:fill="auto"/>
            <w:noWrap/>
            <w:textDirection w:val="btLr"/>
            <w:vAlign w:val="center"/>
            <w:hideMark/>
          </w:tcPr>
          <w:p w14:paraId="7011B160" w14:textId="78D82C7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766 </w:t>
            </w:r>
          </w:p>
        </w:tc>
        <w:tc>
          <w:tcPr>
            <w:tcW w:w="279" w:type="pct"/>
            <w:shd w:val="clear" w:color="auto" w:fill="auto"/>
            <w:noWrap/>
            <w:textDirection w:val="btLr"/>
            <w:vAlign w:val="center"/>
            <w:hideMark/>
          </w:tcPr>
          <w:p w14:paraId="71CEA702" w14:textId="41685B7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745 </w:t>
            </w:r>
          </w:p>
        </w:tc>
        <w:tc>
          <w:tcPr>
            <w:tcW w:w="279" w:type="pct"/>
            <w:shd w:val="clear" w:color="auto" w:fill="auto"/>
            <w:noWrap/>
            <w:textDirection w:val="btLr"/>
            <w:vAlign w:val="center"/>
            <w:hideMark/>
          </w:tcPr>
          <w:p w14:paraId="1FE9F097" w14:textId="325AEC1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739 </w:t>
            </w:r>
          </w:p>
        </w:tc>
        <w:tc>
          <w:tcPr>
            <w:tcW w:w="279" w:type="pct"/>
            <w:shd w:val="clear" w:color="auto" w:fill="auto"/>
            <w:noWrap/>
            <w:textDirection w:val="btLr"/>
            <w:vAlign w:val="center"/>
            <w:hideMark/>
          </w:tcPr>
          <w:p w14:paraId="6CBF83E1" w14:textId="2C3A394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101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600 </w:t>
            </w:r>
          </w:p>
        </w:tc>
        <w:tc>
          <w:tcPr>
            <w:tcW w:w="279" w:type="pct"/>
            <w:shd w:val="clear" w:color="auto" w:fill="auto"/>
            <w:noWrap/>
            <w:textDirection w:val="btLr"/>
            <w:vAlign w:val="center"/>
            <w:hideMark/>
          </w:tcPr>
          <w:p w14:paraId="0A334355" w14:textId="1B71A18A"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105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985 </w:t>
            </w:r>
          </w:p>
        </w:tc>
        <w:tc>
          <w:tcPr>
            <w:tcW w:w="279" w:type="pct"/>
            <w:shd w:val="clear" w:color="auto" w:fill="auto"/>
            <w:noWrap/>
            <w:textDirection w:val="btLr"/>
            <w:vAlign w:val="center"/>
            <w:hideMark/>
          </w:tcPr>
          <w:p w14:paraId="6BAAB944" w14:textId="7D7C0D4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246 </w:t>
            </w:r>
          </w:p>
        </w:tc>
        <w:tc>
          <w:tcPr>
            <w:tcW w:w="279" w:type="pct"/>
            <w:shd w:val="clear" w:color="auto" w:fill="auto"/>
            <w:noWrap/>
            <w:textDirection w:val="btLr"/>
            <w:vAlign w:val="center"/>
            <w:hideMark/>
          </w:tcPr>
          <w:p w14:paraId="0F92580C" w14:textId="3F7CA81D"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736 </w:t>
            </w:r>
          </w:p>
        </w:tc>
        <w:tc>
          <w:tcPr>
            <w:tcW w:w="278" w:type="pct"/>
            <w:shd w:val="clear" w:color="auto" w:fill="auto"/>
            <w:noWrap/>
            <w:textDirection w:val="btLr"/>
            <w:vAlign w:val="center"/>
            <w:hideMark/>
          </w:tcPr>
          <w:p w14:paraId="7C487EE0" w14:textId="377A5D5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122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862 </w:t>
            </w:r>
          </w:p>
        </w:tc>
      </w:tr>
      <w:tr w:rsidR="009B1C7F" w:rsidRPr="00934BA3" w14:paraId="7DBE97F9" w14:textId="77777777" w:rsidTr="004D4454">
        <w:trPr>
          <w:cantSplit/>
          <w:trHeight w:val="833"/>
        </w:trPr>
        <w:tc>
          <w:tcPr>
            <w:tcW w:w="1933" w:type="pct"/>
            <w:shd w:val="clear" w:color="auto" w:fill="C2D69B" w:themeFill="accent3" w:themeFillTint="99"/>
            <w:noWrap/>
            <w:vAlign w:val="center"/>
            <w:hideMark/>
          </w:tcPr>
          <w:p w14:paraId="7FB8839E"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2.1. Funcionamiento</w:t>
            </w:r>
          </w:p>
        </w:tc>
        <w:tc>
          <w:tcPr>
            <w:tcW w:w="278" w:type="pct"/>
            <w:shd w:val="clear" w:color="auto" w:fill="auto"/>
            <w:noWrap/>
            <w:textDirection w:val="btLr"/>
            <w:vAlign w:val="center"/>
            <w:hideMark/>
          </w:tcPr>
          <w:p w14:paraId="649E35D7" w14:textId="3D62006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089 </w:t>
            </w:r>
          </w:p>
        </w:tc>
        <w:tc>
          <w:tcPr>
            <w:tcW w:w="278" w:type="pct"/>
            <w:shd w:val="clear" w:color="auto" w:fill="auto"/>
            <w:noWrap/>
            <w:textDirection w:val="btLr"/>
            <w:vAlign w:val="center"/>
            <w:hideMark/>
          </w:tcPr>
          <w:p w14:paraId="24845319" w14:textId="072C30A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669 </w:t>
            </w:r>
          </w:p>
        </w:tc>
        <w:tc>
          <w:tcPr>
            <w:tcW w:w="278" w:type="pct"/>
            <w:shd w:val="clear" w:color="auto" w:fill="auto"/>
            <w:noWrap/>
            <w:textDirection w:val="btLr"/>
            <w:vAlign w:val="center"/>
            <w:hideMark/>
          </w:tcPr>
          <w:p w14:paraId="03749F55" w14:textId="3CE1EF7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492 </w:t>
            </w:r>
          </w:p>
        </w:tc>
        <w:tc>
          <w:tcPr>
            <w:tcW w:w="279" w:type="pct"/>
            <w:shd w:val="clear" w:color="auto" w:fill="auto"/>
            <w:noWrap/>
            <w:textDirection w:val="btLr"/>
            <w:vAlign w:val="center"/>
            <w:hideMark/>
          </w:tcPr>
          <w:p w14:paraId="2C112AAA" w14:textId="6228926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919 </w:t>
            </w:r>
          </w:p>
        </w:tc>
        <w:tc>
          <w:tcPr>
            <w:tcW w:w="279" w:type="pct"/>
            <w:shd w:val="clear" w:color="auto" w:fill="auto"/>
            <w:noWrap/>
            <w:textDirection w:val="btLr"/>
            <w:vAlign w:val="center"/>
            <w:hideMark/>
          </w:tcPr>
          <w:p w14:paraId="299E8ABC" w14:textId="3260CD9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439 </w:t>
            </w:r>
          </w:p>
        </w:tc>
        <w:tc>
          <w:tcPr>
            <w:tcW w:w="279" w:type="pct"/>
            <w:shd w:val="clear" w:color="auto" w:fill="auto"/>
            <w:noWrap/>
            <w:textDirection w:val="btLr"/>
            <w:vAlign w:val="center"/>
            <w:hideMark/>
          </w:tcPr>
          <w:p w14:paraId="423D1302" w14:textId="270A14E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954 </w:t>
            </w:r>
          </w:p>
        </w:tc>
        <w:tc>
          <w:tcPr>
            <w:tcW w:w="279" w:type="pct"/>
            <w:shd w:val="clear" w:color="auto" w:fill="auto"/>
            <w:noWrap/>
            <w:textDirection w:val="btLr"/>
            <w:vAlign w:val="center"/>
            <w:hideMark/>
          </w:tcPr>
          <w:p w14:paraId="3C0EFCDB" w14:textId="750E4D0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118 </w:t>
            </w:r>
          </w:p>
        </w:tc>
        <w:tc>
          <w:tcPr>
            <w:tcW w:w="279" w:type="pct"/>
            <w:shd w:val="clear" w:color="auto" w:fill="auto"/>
            <w:noWrap/>
            <w:textDirection w:val="btLr"/>
            <w:vAlign w:val="center"/>
            <w:hideMark/>
          </w:tcPr>
          <w:p w14:paraId="26074230" w14:textId="49E92EB8"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104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485 </w:t>
            </w:r>
          </w:p>
        </w:tc>
        <w:tc>
          <w:tcPr>
            <w:tcW w:w="279" w:type="pct"/>
            <w:shd w:val="clear" w:color="auto" w:fill="auto"/>
            <w:noWrap/>
            <w:textDirection w:val="btLr"/>
            <w:vAlign w:val="center"/>
            <w:hideMark/>
          </w:tcPr>
          <w:p w14:paraId="7F83031A" w14:textId="7ADDBA4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485 </w:t>
            </w:r>
          </w:p>
        </w:tc>
        <w:tc>
          <w:tcPr>
            <w:tcW w:w="279" w:type="pct"/>
            <w:shd w:val="clear" w:color="auto" w:fill="auto"/>
            <w:noWrap/>
            <w:textDirection w:val="btLr"/>
            <w:vAlign w:val="center"/>
            <w:hideMark/>
          </w:tcPr>
          <w:p w14:paraId="601AEA37" w14:textId="3C54424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568 </w:t>
            </w:r>
          </w:p>
        </w:tc>
        <w:tc>
          <w:tcPr>
            <w:tcW w:w="278" w:type="pct"/>
            <w:shd w:val="clear" w:color="auto" w:fill="auto"/>
            <w:noWrap/>
            <w:textDirection w:val="btLr"/>
            <w:vAlign w:val="center"/>
            <w:hideMark/>
          </w:tcPr>
          <w:p w14:paraId="03981DDF" w14:textId="1CA4CC1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122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844 </w:t>
            </w:r>
          </w:p>
        </w:tc>
      </w:tr>
      <w:tr w:rsidR="009B1C7F" w:rsidRPr="00934BA3" w14:paraId="5C35A640" w14:textId="77777777" w:rsidTr="004D4454">
        <w:trPr>
          <w:cantSplit/>
          <w:trHeight w:val="720"/>
        </w:trPr>
        <w:tc>
          <w:tcPr>
            <w:tcW w:w="1933" w:type="pct"/>
            <w:shd w:val="clear" w:color="auto" w:fill="C2D69B" w:themeFill="accent3" w:themeFillTint="99"/>
            <w:noWrap/>
            <w:vAlign w:val="center"/>
            <w:hideMark/>
          </w:tcPr>
          <w:p w14:paraId="13D932DB"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2.1.1. Servicios personales</w:t>
            </w:r>
          </w:p>
        </w:tc>
        <w:tc>
          <w:tcPr>
            <w:tcW w:w="278" w:type="pct"/>
            <w:shd w:val="clear" w:color="auto" w:fill="auto"/>
            <w:noWrap/>
            <w:textDirection w:val="btLr"/>
            <w:vAlign w:val="center"/>
            <w:hideMark/>
          </w:tcPr>
          <w:p w14:paraId="0E80B7BB" w14:textId="10F5713A"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28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084 </w:t>
            </w:r>
          </w:p>
        </w:tc>
        <w:tc>
          <w:tcPr>
            <w:tcW w:w="278" w:type="pct"/>
            <w:shd w:val="clear" w:color="auto" w:fill="auto"/>
            <w:noWrap/>
            <w:textDirection w:val="btLr"/>
            <w:vAlign w:val="center"/>
            <w:hideMark/>
          </w:tcPr>
          <w:p w14:paraId="7B152EF0" w14:textId="7673F06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29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583 </w:t>
            </w:r>
          </w:p>
        </w:tc>
        <w:tc>
          <w:tcPr>
            <w:tcW w:w="278" w:type="pct"/>
            <w:shd w:val="clear" w:color="auto" w:fill="auto"/>
            <w:noWrap/>
            <w:textDirection w:val="btLr"/>
            <w:vAlign w:val="center"/>
            <w:hideMark/>
          </w:tcPr>
          <w:p w14:paraId="76B69B41" w14:textId="552D73E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306 </w:t>
            </w:r>
          </w:p>
        </w:tc>
        <w:tc>
          <w:tcPr>
            <w:tcW w:w="279" w:type="pct"/>
            <w:shd w:val="clear" w:color="auto" w:fill="auto"/>
            <w:noWrap/>
            <w:textDirection w:val="btLr"/>
            <w:vAlign w:val="center"/>
            <w:hideMark/>
          </w:tcPr>
          <w:p w14:paraId="566F065F" w14:textId="2F3E69C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138 </w:t>
            </w:r>
          </w:p>
        </w:tc>
        <w:tc>
          <w:tcPr>
            <w:tcW w:w="279" w:type="pct"/>
            <w:shd w:val="clear" w:color="auto" w:fill="auto"/>
            <w:noWrap/>
            <w:textDirection w:val="btLr"/>
            <w:vAlign w:val="center"/>
            <w:hideMark/>
          </w:tcPr>
          <w:p w14:paraId="7C544ACB" w14:textId="2D8656C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088 </w:t>
            </w:r>
          </w:p>
        </w:tc>
        <w:tc>
          <w:tcPr>
            <w:tcW w:w="279" w:type="pct"/>
            <w:shd w:val="clear" w:color="auto" w:fill="auto"/>
            <w:noWrap/>
            <w:textDirection w:val="btLr"/>
            <w:vAlign w:val="center"/>
            <w:hideMark/>
          </w:tcPr>
          <w:p w14:paraId="48C6373F" w14:textId="0F52A56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164 </w:t>
            </w:r>
          </w:p>
        </w:tc>
        <w:tc>
          <w:tcPr>
            <w:tcW w:w="279" w:type="pct"/>
            <w:shd w:val="clear" w:color="auto" w:fill="auto"/>
            <w:noWrap/>
            <w:textDirection w:val="btLr"/>
            <w:vAlign w:val="center"/>
            <w:hideMark/>
          </w:tcPr>
          <w:p w14:paraId="77423C22" w14:textId="1E88494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450 </w:t>
            </w:r>
          </w:p>
        </w:tc>
        <w:tc>
          <w:tcPr>
            <w:tcW w:w="279" w:type="pct"/>
            <w:shd w:val="clear" w:color="auto" w:fill="auto"/>
            <w:noWrap/>
            <w:textDirection w:val="btLr"/>
            <w:vAlign w:val="center"/>
            <w:hideMark/>
          </w:tcPr>
          <w:p w14:paraId="4309D2CC" w14:textId="788D074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811 </w:t>
            </w:r>
          </w:p>
        </w:tc>
        <w:tc>
          <w:tcPr>
            <w:tcW w:w="279" w:type="pct"/>
            <w:shd w:val="clear" w:color="auto" w:fill="auto"/>
            <w:noWrap/>
            <w:textDirection w:val="btLr"/>
            <w:vAlign w:val="center"/>
            <w:hideMark/>
          </w:tcPr>
          <w:p w14:paraId="6AE8ABE8" w14:textId="7D52061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327 </w:t>
            </w:r>
          </w:p>
        </w:tc>
        <w:tc>
          <w:tcPr>
            <w:tcW w:w="279" w:type="pct"/>
            <w:shd w:val="clear" w:color="auto" w:fill="auto"/>
            <w:noWrap/>
            <w:textDirection w:val="btLr"/>
            <w:vAlign w:val="center"/>
            <w:hideMark/>
          </w:tcPr>
          <w:p w14:paraId="7B17CE47" w14:textId="6765250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010 </w:t>
            </w:r>
          </w:p>
        </w:tc>
        <w:tc>
          <w:tcPr>
            <w:tcW w:w="278" w:type="pct"/>
            <w:shd w:val="clear" w:color="auto" w:fill="auto"/>
            <w:noWrap/>
            <w:textDirection w:val="btLr"/>
            <w:vAlign w:val="center"/>
            <w:hideMark/>
          </w:tcPr>
          <w:p w14:paraId="5B516251" w14:textId="0D95A17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870 </w:t>
            </w:r>
          </w:p>
        </w:tc>
      </w:tr>
      <w:tr w:rsidR="009B1C7F" w:rsidRPr="00934BA3" w14:paraId="6F15BAE4" w14:textId="77777777" w:rsidTr="004D4454">
        <w:trPr>
          <w:cantSplit/>
          <w:trHeight w:val="720"/>
        </w:trPr>
        <w:tc>
          <w:tcPr>
            <w:tcW w:w="1933" w:type="pct"/>
            <w:shd w:val="clear" w:color="auto" w:fill="C2D69B" w:themeFill="accent3" w:themeFillTint="99"/>
            <w:noWrap/>
            <w:vAlign w:val="center"/>
            <w:hideMark/>
          </w:tcPr>
          <w:p w14:paraId="1137C383" w14:textId="77777777" w:rsidR="00934BA3" w:rsidRPr="00934BA3" w:rsidRDefault="00934BA3" w:rsidP="00141A5A">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2.1.2. Gastos generales</w:t>
            </w:r>
          </w:p>
        </w:tc>
        <w:tc>
          <w:tcPr>
            <w:tcW w:w="278" w:type="pct"/>
            <w:shd w:val="clear" w:color="auto" w:fill="auto"/>
            <w:noWrap/>
            <w:textDirection w:val="btLr"/>
            <w:vAlign w:val="center"/>
            <w:hideMark/>
          </w:tcPr>
          <w:p w14:paraId="23543F66" w14:textId="38859DD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316 </w:t>
            </w:r>
          </w:p>
        </w:tc>
        <w:tc>
          <w:tcPr>
            <w:tcW w:w="278" w:type="pct"/>
            <w:shd w:val="clear" w:color="auto" w:fill="auto"/>
            <w:noWrap/>
            <w:textDirection w:val="btLr"/>
            <w:vAlign w:val="center"/>
            <w:hideMark/>
          </w:tcPr>
          <w:p w14:paraId="7210F87B" w14:textId="0291EE1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253 </w:t>
            </w:r>
          </w:p>
        </w:tc>
        <w:tc>
          <w:tcPr>
            <w:tcW w:w="278" w:type="pct"/>
            <w:shd w:val="clear" w:color="auto" w:fill="auto"/>
            <w:noWrap/>
            <w:textDirection w:val="btLr"/>
            <w:vAlign w:val="center"/>
            <w:hideMark/>
          </w:tcPr>
          <w:p w14:paraId="10196B04" w14:textId="48AFDD0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830 </w:t>
            </w:r>
          </w:p>
        </w:tc>
        <w:tc>
          <w:tcPr>
            <w:tcW w:w="279" w:type="pct"/>
            <w:shd w:val="clear" w:color="auto" w:fill="auto"/>
            <w:noWrap/>
            <w:textDirection w:val="btLr"/>
            <w:vAlign w:val="center"/>
            <w:hideMark/>
          </w:tcPr>
          <w:p w14:paraId="3A2B3452" w14:textId="48F4468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640 </w:t>
            </w:r>
          </w:p>
        </w:tc>
        <w:tc>
          <w:tcPr>
            <w:tcW w:w="279" w:type="pct"/>
            <w:shd w:val="clear" w:color="auto" w:fill="auto"/>
            <w:noWrap/>
            <w:textDirection w:val="btLr"/>
            <w:vAlign w:val="center"/>
            <w:hideMark/>
          </w:tcPr>
          <w:p w14:paraId="26830CA6" w14:textId="1CAB8BE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222 </w:t>
            </w:r>
          </w:p>
        </w:tc>
        <w:tc>
          <w:tcPr>
            <w:tcW w:w="279" w:type="pct"/>
            <w:shd w:val="clear" w:color="auto" w:fill="auto"/>
            <w:noWrap/>
            <w:textDirection w:val="btLr"/>
            <w:vAlign w:val="center"/>
            <w:hideMark/>
          </w:tcPr>
          <w:p w14:paraId="0C891480" w14:textId="046FF0E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600 </w:t>
            </w:r>
          </w:p>
        </w:tc>
        <w:tc>
          <w:tcPr>
            <w:tcW w:w="279" w:type="pct"/>
            <w:shd w:val="clear" w:color="auto" w:fill="auto"/>
            <w:noWrap/>
            <w:textDirection w:val="btLr"/>
            <w:vAlign w:val="center"/>
            <w:hideMark/>
          </w:tcPr>
          <w:p w14:paraId="01E41DF6" w14:textId="559EF02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288 </w:t>
            </w:r>
          </w:p>
        </w:tc>
        <w:tc>
          <w:tcPr>
            <w:tcW w:w="279" w:type="pct"/>
            <w:shd w:val="clear" w:color="auto" w:fill="auto"/>
            <w:noWrap/>
            <w:textDirection w:val="btLr"/>
            <w:vAlign w:val="center"/>
            <w:hideMark/>
          </w:tcPr>
          <w:p w14:paraId="275E2755" w14:textId="608D58B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965 </w:t>
            </w:r>
          </w:p>
        </w:tc>
        <w:tc>
          <w:tcPr>
            <w:tcW w:w="279" w:type="pct"/>
            <w:shd w:val="clear" w:color="auto" w:fill="auto"/>
            <w:noWrap/>
            <w:textDirection w:val="btLr"/>
            <w:vAlign w:val="center"/>
            <w:hideMark/>
          </w:tcPr>
          <w:p w14:paraId="6217ADDD" w14:textId="2A2C0BB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970 </w:t>
            </w:r>
          </w:p>
        </w:tc>
        <w:tc>
          <w:tcPr>
            <w:tcW w:w="279" w:type="pct"/>
            <w:shd w:val="clear" w:color="auto" w:fill="auto"/>
            <w:noWrap/>
            <w:textDirection w:val="btLr"/>
            <w:vAlign w:val="center"/>
            <w:hideMark/>
          </w:tcPr>
          <w:p w14:paraId="4175DACA" w14:textId="1EDF0FA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729 </w:t>
            </w:r>
          </w:p>
        </w:tc>
        <w:tc>
          <w:tcPr>
            <w:tcW w:w="278" w:type="pct"/>
            <w:shd w:val="clear" w:color="auto" w:fill="auto"/>
            <w:noWrap/>
            <w:textDirection w:val="btLr"/>
            <w:vAlign w:val="center"/>
            <w:hideMark/>
          </w:tcPr>
          <w:p w14:paraId="6157599D" w14:textId="1C9CABF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330 </w:t>
            </w:r>
          </w:p>
        </w:tc>
      </w:tr>
      <w:tr w:rsidR="009B1C7F" w:rsidRPr="00934BA3" w14:paraId="76CD6320" w14:textId="77777777" w:rsidTr="004D4454">
        <w:trPr>
          <w:cantSplit/>
          <w:trHeight w:val="720"/>
        </w:trPr>
        <w:tc>
          <w:tcPr>
            <w:tcW w:w="1933" w:type="pct"/>
            <w:shd w:val="clear" w:color="auto" w:fill="C2D69B" w:themeFill="accent3" w:themeFillTint="99"/>
            <w:noWrap/>
            <w:vAlign w:val="center"/>
            <w:hideMark/>
          </w:tcPr>
          <w:p w14:paraId="2FAFBB62" w14:textId="77777777" w:rsidR="00934BA3" w:rsidRPr="00934BA3" w:rsidRDefault="00934BA3" w:rsidP="00141A5A">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2.1.3. Transferencias pagadas y otros  (bonos cuotas partes)</w:t>
            </w:r>
          </w:p>
        </w:tc>
        <w:tc>
          <w:tcPr>
            <w:tcW w:w="278" w:type="pct"/>
            <w:shd w:val="clear" w:color="auto" w:fill="auto"/>
            <w:noWrap/>
            <w:textDirection w:val="btLr"/>
            <w:vAlign w:val="center"/>
            <w:hideMark/>
          </w:tcPr>
          <w:p w14:paraId="03B47081" w14:textId="1894671F"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689 </w:t>
            </w:r>
          </w:p>
        </w:tc>
        <w:tc>
          <w:tcPr>
            <w:tcW w:w="278" w:type="pct"/>
            <w:shd w:val="clear" w:color="auto" w:fill="auto"/>
            <w:noWrap/>
            <w:textDirection w:val="btLr"/>
            <w:vAlign w:val="center"/>
            <w:hideMark/>
          </w:tcPr>
          <w:p w14:paraId="3C4CA66F" w14:textId="38EADD46"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832 </w:t>
            </w:r>
          </w:p>
        </w:tc>
        <w:tc>
          <w:tcPr>
            <w:tcW w:w="278" w:type="pct"/>
            <w:shd w:val="clear" w:color="auto" w:fill="auto"/>
            <w:noWrap/>
            <w:textDirection w:val="btLr"/>
            <w:vAlign w:val="center"/>
            <w:hideMark/>
          </w:tcPr>
          <w:p w14:paraId="6399B22F" w14:textId="5FBF034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356 </w:t>
            </w:r>
          </w:p>
        </w:tc>
        <w:tc>
          <w:tcPr>
            <w:tcW w:w="279" w:type="pct"/>
            <w:shd w:val="clear" w:color="auto" w:fill="auto"/>
            <w:noWrap/>
            <w:textDirection w:val="btLr"/>
            <w:vAlign w:val="center"/>
            <w:hideMark/>
          </w:tcPr>
          <w:p w14:paraId="1A55A851" w14:textId="363C0B6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141 </w:t>
            </w:r>
          </w:p>
        </w:tc>
        <w:tc>
          <w:tcPr>
            <w:tcW w:w="279" w:type="pct"/>
            <w:shd w:val="clear" w:color="auto" w:fill="auto"/>
            <w:noWrap/>
            <w:textDirection w:val="btLr"/>
            <w:vAlign w:val="center"/>
            <w:hideMark/>
          </w:tcPr>
          <w:p w14:paraId="6326ECD6" w14:textId="25906D1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128 </w:t>
            </w:r>
          </w:p>
        </w:tc>
        <w:tc>
          <w:tcPr>
            <w:tcW w:w="279" w:type="pct"/>
            <w:shd w:val="clear" w:color="auto" w:fill="auto"/>
            <w:noWrap/>
            <w:textDirection w:val="btLr"/>
            <w:vAlign w:val="center"/>
            <w:hideMark/>
          </w:tcPr>
          <w:p w14:paraId="6758BD88" w14:textId="25E824D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190 </w:t>
            </w:r>
          </w:p>
        </w:tc>
        <w:tc>
          <w:tcPr>
            <w:tcW w:w="279" w:type="pct"/>
            <w:shd w:val="clear" w:color="auto" w:fill="auto"/>
            <w:noWrap/>
            <w:textDirection w:val="btLr"/>
            <w:vAlign w:val="center"/>
            <w:hideMark/>
          </w:tcPr>
          <w:p w14:paraId="526C0AE8" w14:textId="1E24D0E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380 </w:t>
            </w:r>
          </w:p>
        </w:tc>
        <w:tc>
          <w:tcPr>
            <w:tcW w:w="279" w:type="pct"/>
            <w:shd w:val="clear" w:color="auto" w:fill="auto"/>
            <w:noWrap/>
            <w:textDirection w:val="btLr"/>
            <w:vAlign w:val="center"/>
            <w:hideMark/>
          </w:tcPr>
          <w:p w14:paraId="15EB53D4" w14:textId="17F26E4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709 </w:t>
            </w:r>
          </w:p>
        </w:tc>
        <w:tc>
          <w:tcPr>
            <w:tcW w:w="279" w:type="pct"/>
            <w:shd w:val="clear" w:color="auto" w:fill="auto"/>
            <w:noWrap/>
            <w:textDirection w:val="btLr"/>
            <w:vAlign w:val="center"/>
            <w:hideMark/>
          </w:tcPr>
          <w:p w14:paraId="7FFBB4EB" w14:textId="52949A4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188 </w:t>
            </w:r>
          </w:p>
        </w:tc>
        <w:tc>
          <w:tcPr>
            <w:tcW w:w="279" w:type="pct"/>
            <w:shd w:val="clear" w:color="auto" w:fill="auto"/>
            <w:noWrap/>
            <w:textDirection w:val="btLr"/>
            <w:vAlign w:val="center"/>
            <w:hideMark/>
          </w:tcPr>
          <w:p w14:paraId="76589175" w14:textId="49E65C8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829 </w:t>
            </w:r>
          </w:p>
        </w:tc>
        <w:tc>
          <w:tcPr>
            <w:tcW w:w="278" w:type="pct"/>
            <w:shd w:val="clear" w:color="auto" w:fill="auto"/>
            <w:noWrap/>
            <w:textDirection w:val="btLr"/>
            <w:vAlign w:val="center"/>
            <w:hideMark/>
          </w:tcPr>
          <w:p w14:paraId="3ED11989" w14:textId="1F4D9DBA"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644 </w:t>
            </w:r>
          </w:p>
        </w:tc>
      </w:tr>
      <w:tr w:rsidR="009B1C7F" w:rsidRPr="00934BA3" w14:paraId="555A3BB9" w14:textId="77777777" w:rsidTr="004D4454">
        <w:trPr>
          <w:cantSplit/>
          <w:trHeight w:val="663"/>
        </w:trPr>
        <w:tc>
          <w:tcPr>
            <w:tcW w:w="1933" w:type="pct"/>
            <w:shd w:val="clear" w:color="auto" w:fill="C2D69B" w:themeFill="accent3" w:themeFillTint="99"/>
            <w:noWrap/>
            <w:vAlign w:val="center"/>
            <w:hideMark/>
          </w:tcPr>
          <w:p w14:paraId="4060B1F8" w14:textId="660B6968" w:rsidR="00934BA3" w:rsidRPr="00934BA3" w:rsidRDefault="00934BA3" w:rsidP="00141A5A">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2.2. Intereses deuda </w:t>
            </w:r>
            <w:r w:rsidR="00141A5A" w:rsidRPr="00934BA3">
              <w:rPr>
                <w:rFonts w:ascii="Century Gothic" w:eastAsia="Times New Roman" w:hAnsi="Century Gothic" w:cs="Calibri"/>
                <w:sz w:val="16"/>
                <w:szCs w:val="16"/>
              </w:rPr>
              <w:t>pública</w:t>
            </w:r>
            <w:r w:rsidRPr="00934BA3">
              <w:rPr>
                <w:rFonts w:ascii="Century Gothic" w:eastAsia="Times New Roman" w:hAnsi="Century Gothic" w:cs="Calibri"/>
                <w:sz w:val="16"/>
                <w:szCs w:val="16"/>
              </w:rPr>
              <w:t xml:space="preserve"> y comisiones</w:t>
            </w:r>
          </w:p>
        </w:tc>
        <w:tc>
          <w:tcPr>
            <w:tcW w:w="278" w:type="pct"/>
            <w:shd w:val="clear" w:color="auto" w:fill="auto"/>
            <w:noWrap/>
            <w:textDirection w:val="btLr"/>
            <w:vAlign w:val="center"/>
            <w:hideMark/>
          </w:tcPr>
          <w:p w14:paraId="58984DC9" w14:textId="04DB8E7D"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867 </w:t>
            </w:r>
          </w:p>
        </w:tc>
        <w:tc>
          <w:tcPr>
            <w:tcW w:w="278" w:type="pct"/>
            <w:shd w:val="clear" w:color="auto" w:fill="auto"/>
            <w:noWrap/>
            <w:textDirection w:val="btLr"/>
            <w:vAlign w:val="center"/>
            <w:hideMark/>
          </w:tcPr>
          <w:p w14:paraId="65ECF7ED" w14:textId="7AC742E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876 </w:t>
            </w:r>
          </w:p>
        </w:tc>
        <w:tc>
          <w:tcPr>
            <w:tcW w:w="278" w:type="pct"/>
            <w:shd w:val="clear" w:color="auto" w:fill="auto"/>
            <w:noWrap/>
            <w:textDirection w:val="btLr"/>
            <w:vAlign w:val="center"/>
            <w:hideMark/>
          </w:tcPr>
          <w:p w14:paraId="4EF02C1E" w14:textId="3B97377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419 </w:t>
            </w:r>
          </w:p>
        </w:tc>
        <w:tc>
          <w:tcPr>
            <w:tcW w:w="279" w:type="pct"/>
            <w:shd w:val="clear" w:color="auto" w:fill="auto"/>
            <w:noWrap/>
            <w:textDirection w:val="btLr"/>
            <w:vAlign w:val="center"/>
            <w:hideMark/>
          </w:tcPr>
          <w:p w14:paraId="6ED95FC0" w14:textId="77A43BC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847 </w:t>
            </w:r>
          </w:p>
        </w:tc>
        <w:tc>
          <w:tcPr>
            <w:tcW w:w="279" w:type="pct"/>
            <w:shd w:val="clear" w:color="auto" w:fill="auto"/>
            <w:noWrap/>
            <w:textDirection w:val="btLr"/>
            <w:vAlign w:val="center"/>
            <w:hideMark/>
          </w:tcPr>
          <w:p w14:paraId="243B3553" w14:textId="312F4C1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306 </w:t>
            </w:r>
          </w:p>
        </w:tc>
        <w:tc>
          <w:tcPr>
            <w:tcW w:w="279" w:type="pct"/>
            <w:shd w:val="clear" w:color="auto" w:fill="auto"/>
            <w:noWrap/>
            <w:textDirection w:val="btLr"/>
            <w:vAlign w:val="center"/>
            <w:hideMark/>
          </w:tcPr>
          <w:p w14:paraId="0E796C46" w14:textId="1852DA2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784 </w:t>
            </w:r>
          </w:p>
        </w:tc>
        <w:tc>
          <w:tcPr>
            <w:tcW w:w="279" w:type="pct"/>
            <w:shd w:val="clear" w:color="auto" w:fill="auto"/>
            <w:noWrap/>
            <w:textDirection w:val="btLr"/>
            <w:vAlign w:val="center"/>
            <w:hideMark/>
          </w:tcPr>
          <w:p w14:paraId="633B78F8" w14:textId="320F30E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482 </w:t>
            </w:r>
          </w:p>
        </w:tc>
        <w:tc>
          <w:tcPr>
            <w:tcW w:w="279" w:type="pct"/>
            <w:shd w:val="clear" w:color="auto" w:fill="auto"/>
            <w:noWrap/>
            <w:textDirection w:val="btLr"/>
            <w:vAlign w:val="center"/>
            <w:hideMark/>
          </w:tcPr>
          <w:p w14:paraId="7B9C9D21" w14:textId="7F90EEF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500 </w:t>
            </w:r>
          </w:p>
        </w:tc>
        <w:tc>
          <w:tcPr>
            <w:tcW w:w="279" w:type="pct"/>
            <w:shd w:val="clear" w:color="auto" w:fill="auto"/>
            <w:noWrap/>
            <w:textDirection w:val="btLr"/>
            <w:vAlign w:val="center"/>
            <w:hideMark/>
          </w:tcPr>
          <w:p w14:paraId="4244EF6D"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761 </w:t>
            </w:r>
          </w:p>
        </w:tc>
        <w:tc>
          <w:tcPr>
            <w:tcW w:w="279" w:type="pct"/>
            <w:shd w:val="clear" w:color="auto" w:fill="auto"/>
            <w:noWrap/>
            <w:textDirection w:val="btLr"/>
            <w:vAlign w:val="center"/>
            <w:hideMark/>
          </w:tcPr>
          <w:p w14:paraId="69A20CC6"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168 </w:t>
            </w:r>
          </w:p>
        </w:tc>
        <w:tc>
          <w:tcPr>
            <w:tcW w:w="278" w:type="pct"/>
            <w:shd w:val="clear" w:color="auto" w:fill="auto"/>
            <w:noWrap/>
            <w:textDirection w:val="btLr"/>
            <w:vAlign w:val="center"/>
            <w:hideMark/>
          </w:tcPr>
          <w:p w14:paraId="08D10284"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18 </w:t>
            </w:r>
          </w:p>
        </w:tc>
      </w:tr>
      <w:tr w:rsidR="009B1C7F" w:rsidRPr="00934BA3" w14:paraId="4193D38C" w14:textId="77777777" w:rsidTr="004D4454">
        <w:trPr>
          <w:cantSplit/>
          <w:trHeight w:val="833"/>
        </w:trPr>
        <w:tc>
          <w:tcPr>
            <w:tcW w:w="1933" w:type="pct"/>
            <w:shd w:val="clear" w:color="auto" w:fill="C2D69B" w:themeFill="accent3" w:themeFillTint="99"/>
            <w:noWrap/>
            <w:vAlign w:val="center"/>
            <w:hideMark/>
          </w:tcPr>
          <w:p w14:paraId="01B203C6" w14:textId="77777777" w:rsidR="00934BA3" w:rsidRPr="00934BA3" w:rsidRDefault="00934BA3" w:rsidP="00141A5A">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3. Déficit o ahorro corriente (1-2)</w:t>
            </w:r>
          </w:p>
        </w:tc>
        <w:tc>
          <w:tcPr>
            <w:tcW w:w="278" w:type="pct"/>
            <w:shd w:val="clear" w:color="auto" w:fill="auto"/>
            <w:noWrap/>
            <w:textDirection w:val="btLr"/>
            <w:vAlign w:val="center"/>
            <w:hideMark/>
          </w:tcPr>
          <w:p w14:paraId="2547750F" w14:textId="308E7EF8"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669 </w:t>
            </w:r>
          </w:p>
        </w:tc>
        <w:tc>
          <w:tcPr>
            <w:tcW w:w="278" w:type="pct"/>
            <w:shd w:val="clear" w:color="auto" w:fill="auto"/>
            <w:noWrap/>
            <w:textDirection w:val="btLr"/>
            <w:vAlign w:val="center"/>
            <w:hideMark/>
          </w:tcPr>
          <w:p w14:paraId="416287C9" w14:textId="3A564E4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105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865 </w:t>
            </w:r>
          </w:p>
        </w:tc>
        <w:tc>
          <w:tcPr>
            <w:tcW w:w="278" w:type="pct"/>
            <w:shd w:val="clear" w:color="auto" w:fill="auto"/>
            <w:noWrap/>
            <w:textDirection w:val="btLr"/>
            <w:vAlign w:val="center"/>
            <w:hideMark/>
          </w:tcPr>
          <w:p w14:paraId="7BFFF17F" w14:textId="3ECFE87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994 </w:t>
            </w:r>
          </w:p>
        </w:tc>
        <w:tc>
          <w:tcPr>
            <w:tcW w:w="279" w:type="pct"/>
            <w:shd w:val="clear" w:color="auto" w:fill="auto"/>
            <w:noWrap/>
            <w:textDirection w:val="btLr"/>
            <w:vAlign w:val="center"/>
            <w:hideMark/>
          </w:tcPr>
          <w:p w14:paraId="24E0A048" w14:textId="4373035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124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810 </w:t>
            </w:r>
          </w:p>
        </w:tc>
        <w:tc>
          <w:tcPr>
            <w:tcW w:w="279" w:type="pct"/>
            <w:shd w:val="clear" w:color="auto" w:fill="auto"/>
            <w:noWrap/>
            <w:textDirection w:val="btLr"/>
            <w:vAlign w:val="center"/>
            <w:hideMark/>
          </w:tcPr>
          <w:p w14:paraId="5871A978" w14:textId="5E4FDA1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348 </w:t>
            </w:r>
          </w:p>
        </w:tc>
        <w:tc>
          <w:tcPr>
            <w:tcW w:w="279" w:type="pct"/>
            <w:shd w:val="clear" w:color="auto" w:fill="auto"/>
            <w:noWrap/>
            <w:textDirection w:val="btLr"/>
            <w:vAlign w:val="center"/>
            <w:hideMark/>
          </w:tcPr>
          <w:p w14:paraId="1B7F4D18" w14:textId="73DD37C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149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299 </w:t>
            </w:r>
          </w:p>
        </w:tc>
        <w:tc>
          <w:tcPr>
            <w:tcW w:w="279" w:type="pct"/>
            <w:shd w:val="clear" w:color="auto" w:fill="auto"/>
            <w:noWrap/>
            <w:textDirection w:val="btLr"/>
            <w:vAlign w:val="center"/>
            <w:hideMark/>
          </w:tcPr>
          <w:p w14:paraId="7DBD45CA" w14:textId="7CEA84C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163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529 </w:t>
            </w:r>
          </w:p>
        </w:tc>
        <w:tc>
          <w:tcPr>
            <w:tcW w:w="279" w:type="pct"/>
            <w:shd w:val="clear" w:color="auto" w:fill="auto"/>
            <w:noWrap/>
            <w:textDirection w:val="btLr"/>
            <w:vAlign w:val="center"/>
            <w:hideMark/>
          </w:tcPr>
          <w:p w14:paraId="612B5FCD" w14:textId="1276B45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178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989 </w:t>
            </w:r>
          </w:p>
        </w:tc>
        <w:tc>
          <w:tcPr>
            <w:tcW w:w="279" w:type="pct"/>
            <w:shd w:val="clear" w:color="auto" w:fill="auto"/>
            <w:noWrap/>
            <w:textDirection w:val="btLr"/>
            <w:vAlign w:val="center"/>
            <w:hideMark/>
          </w:tcPr>
          <w:p w14:paraId="58071A41" w14:textId="1CE9192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195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532 </w:t>
            </w:r>
          </w:p>
        </w:tc>
        <w:tc>
          <w:tcPr>
            <w:tcW w:w="279" w:type="pct"/>
            <w:shd w:val="clear" w:color="auto" w:fill="auto"/>
            <w:noWrap/>
            <w:textDirection w:val="btLr"/>
            <w:vAlign w:val="center"/>
            <w:hideMark/>
          </w:tcPr>
          <w:p w14:paraId="23872733" w14:textId="26C93FE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214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025 </w:t>
            </w:r>
          </w:p>
        </w:tc>
        <w:tc>
          <w:tcPr>
            <w:tcW w:w="278" w:type="pct"/>
            <w:shd w:val="clear" w:color="auto" w:fill="auto"/>
            <w:noWrap/>
            <w:textDirection w:val="btLr"/>
            <w:vAlign w:val="center"/>
            <w:hideMark/>
          </w:tcPr>
          <w:p w14:paraId="12F7A579" w14:textId="0DC02B5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234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314 </w:t>
            </w:r>
          </w:p>
        </w:tc>
      </w:tr>
      <w:tr w:rsidR="009B1C7F" w:rsidRPr="00934BA3" w14:paraId="07537275" w14:textId="77777777" w:rsidTr="004D4454">
        <w:trPr>
          <w:cantSplit/>
          <w:trHeight w:val="833"/>
        </w:trPr>
        <w:tc>
          <w:tcPr>
            <w:tcW w:w="1933" w:type="pct"/>
            <w:shd w:val="clear" w:color="auto" w:fill="C2D69B" w:themeFill="accent3" w:themeFillTint="99"/>
            <w:noWrap/>
            <w:vAlign w:val="center"/>
            <w:hideMark/>
          </w:tcPr>
          <w:p w14:paraId="5F276B5D" w14:textId="77777777" w:rsidR="00934BA3" w:rsidRPr="00934BA3" w:rsidRDefault="00934BA3" w:rsidP="00141A5A">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4. Ingresos de capital</w:t>
            </w:r>
          </w:p>
        </w:tc>
        <w:tc>
          <w:tcPr>
            <w:tcW w:w="278" w:type="pct"/>
            <w:shd w:val="clear" w:color="auto" w:fill="auto"/>
            <w:noWrap/>
            <w:textDirection w:val="btLr"/>
            <w:vAlign w:val="center"/>
            <w:hideMark/>
          </w:tcPr>
          <w:p w14:paraId="064EAFE5" w14:textId="2652302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492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839 </w:t>
            </w:r>
          </w:p>
        </w:tc>
        <w:tc>
          <w:tcPr>
            <w:tcW w:w="278" w:type="pct"/>
            <w:shd w:val="clear" w:color="auto" w:fill="auto"/>
            <w:noWrap/>
            <w:textDirection w:val="btLr"/>
            <w:vAlign w:val="center"/>
            <w:hideMark/>
          </w:tcPr>
          <w:p w14:paraId="13BEA741" w14:textId="327095F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481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128 </w:t>
            </w:r>
          </w:p>
        </w:tc>
        <w:tc>
          <w:tcPr>
            <w:tcW w:w="278" w:type="pct"/>
            <w:shd w:val="clear" w:color="auto" w:fill="auto"/>
            <w:noWrap/>
            <w:textDirection w:val="btLr"/>
            <w:vAlign w:val="center"/>
            <w:hideMark/>
          </w:tcPr>
          <w:p w14:paraId="142331E5" w14:textId="3077B5E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510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728 </w:t>
            </w:r>
          </w:p>
        </w:tc>
        <w:tc>
          <w:tcPr>
            <w:tcW w:w="279" w:type="pct"/>
            <w:shd w:val="clear" w:color="auto" w:fill="auto"/>
            <w:noWrap/>
            <w:textDirection w:val="btLr"/>
            <w:vAlign w:val="center"/>
            <w:hideMark/>
          </w:tcPr>
          <w:p w14:paraId="253DEA65" w14:textId="2AC5D77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543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912 </w:t>
            </w:r>
          </w:p>
        </w:tc>
        <w:tc>
          <w:tcPr>
            <w:tcW w:w="279" w:type="pct"/>
            <w:shd w:val="clear" w:color="auto" w:fill="auto"/>
            <w:noWrap/>
            <w:textDirection w:val="btLr"/>
            <w:vAlign w:val="center"/>
            <w:hideMark/>
          </w:tcPr>
          <w:p w14:paraId="5355F41D" w14:textId="65641F5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581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027 </w:t>
            </w:r>
          </w:p>
        </w:tc>
        <w:tc>
          <w:tcPr>
            <w:tcW w:w="279" w:type="pct"/>
            <w:shd w:val="clear" w:color="auto" w:fill="auto"/>
            <w:noWrap/>
            <w:textDirection w:val="btLr"/>
            <w:vAlign w:val="center"/>
            <w:hideMark/>
          </w:tcPr>
          <w:p w14:paraId="2382EB0E" w14:textId="0D089CF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622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602 </w:t>
            </w:r>
          </w:p>
        </w:tc>
        <w:tc>
          <w:tcPr>
            <w:tcW w:w="279" w:type="pct"/>
            <w:shd w:val="clear" w:color="auto" w:fill="auto"/>
            <w:noWrap/>
            <w:textDirection w:val="btLr"/>
            <w:vAlign w:val="center"/>
            <w:hideMark/>
          </w:tcPr>
          <w:p w14:paraId="70804EDA" w14:textId="46BB638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669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247 </w:t>
            </w:r>
          </w:p>
        </w:tc>
        <w:tc>
          <w:tcPr>
            <w:tcW w:w="279" w:type="pct"/>
            <w:shd w:val="clear" w:color="auto" w:fill="auto"/>
            <w:noWrap/>
            <w:textDirection w:val="btLr"/>
            <w:vAlign w:val="center"/>
            <w:hideMark/>
          </w:tcPr>
          <w:p w14:paraId="055DE813" w14:textId="3705278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721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665 </w:t>
            </w:r>
          </w:p>
        </w:tc>
        <w:tc>
          <w:tcPr>
            <w:tcW w:w="279" w:type="pct"/>
            <w:shd w:val="clear" w:color="auto" w:fill="auto"/>
            <w:noWrap/>
            <w:textDirection w:val="btLr"/>
            <w:vAlign w:val="center"/>
            <w:hideMark/>
          </w:tcPr>
          <w:p w14:paraId="7E9CE383" w14:textId="71C945ED"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780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665 </w:t>
            </w:r>
          </w:p>
        </w:tc>
        <w:tc>
          <w:tcPr>
            <w:tcW w:w="279" w:type="pct"/>
            <w:shd w:val="clear" w:color="auto" w:fill="auto"/>
            <w:noWrap/>
            <w:textDirection w:val="btLr"/>
            <w:vAlign w:val="center"/>
            <w:hideMark/>
          </w:tcPr>
          <w:p w14:paraId="63D104C9" w14:textId="19A198A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847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180 </w:t>
            </w:r>
          </w:p>
        </w:tc>
        <w:tc>
          <w:tcPr>
            <w:tcW w:w="278" w:type="pct"/>
            <w:shd w:val="clear" w:color="auto" w:fill="auto"/>
            <w:noWrap/>
            <w:textDirection w:val="btLr"/>
            <w:vAlign w:val="center"/>
            <w:hideMark/>
          </w:tcPr>
          <w:p w14:paraId="64B177F2" w14:textId="5345046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922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285 </w:t>
            </w:r>
          </w:p>
        </w:tc>
      </w:tr>
      <w:tr w:rsidR="009B1C7F" w:rsidRPr="00934BA3" w14:paraId="51AC4A9B" w14:textId="77777777" w:rsidTr="004D4454">
        <w:trPr>
          <w:cantSplit/>
          <w:trHeight w:val="54"/>
        </w:trPr>
        <w:tc>
          <w:tcPr>
            <w:tcW w:w="1933" w:type="pct"/>
            <w:shd w:val="clear" w:color="auto" w:fill="C2D69B" w:themeFill="accent3" w:themeFillTint="99"/>
            <w:noWrap/>
            <w:vAlign w:val="center"/>
            <w:hideMark/>
          </w:tcPr>
          <w:p w14:paraId="275AA96E"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4.1. Regalías</w:t>
            </w:r>
          </w:p>
        </w:tc>
        <w:tc>
          <w:tcPr>
            <w:tcW w:w="278" w:type="pct"/>
            <w:shd w:val="clear" w:color="auto" w:fill="auto"/>
            <w:noWrap/>
            <w:vAlign w:val="center"/>
            <w:hideMark/>
          </w:tcPr>
          <w:p w14:paraId="5C2299E8"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   </w:t>
            </w:r>
          </w:p>
        </w:tc>
        <w:tc>
          <w:tcPr>
            <w:tcW w:w="278" w:type="pct"/>
            <w:shd w:val="clear" w:color="auto" w:fill="auto"/>
            <w:noWrap/>
            <w:vAlign w:val="center"/>
            <w:hideMark/>
          </w:tcPr>
          <w:p w14:paraId="367734EB"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   </w:t>
            </w:r>
          </w:p>
        </w:tc>
        <w:tc>
          <w:tcPr>
            <w:tcW w:w="278" w:type="pct"/>
            <w:shd w:val="clear" w:color="auto" w:fill="auto"/>
            <w:noWrap/>
            <w:vAlign w:val="center"/>
            <w:hideMark/>
          </w:tcPr>
          <w:p w14:paraId="1635FAD5"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   </w:t>
            </w:r>
          </w:p>
        </w:tc>
        <w:tc>
          <w:tcPr>
            <w:tcW w:w="279" w:type="pct"/>
            <w:shd w:val="clear" w:color="auto" w:fill="auto"/>
            <w:noWrap/>
            <w:vAlign w:val="center"/>
            <w:hideMark/>
          </w:tcPr>
          <w:p w14:paraId="2FE48097"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   </w:t>
            </w:r>
          </w:p>
        </w:tc>
        <w:tc>
          <w:tcPr>
            <w:tcW w:w="279" w:type="pct"/>
            <w:shd w:val="clear" w:color="auto" w:fill="auto"/>
            <w:noWrap/>
            <w:vAlign w:val="center"/>
            <w:hideMark/>
          </w:tcPr>
          <w:p w14:paraId="6C25F812"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vAlign w:val="center"/>
            <w:hideMark/>
          </w:tcPr>
          <w:p w14:paraId="07AAB4DE"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vAlign w:val="center"/>
            <w:hideMark/>
          </w:tcPr>
          <w:p w14:paraId="3AE95289"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vAlign w:val="center"/>
            <w:hideMark/>
          </w:tcPr>
          <w:p w14:paraId="241019DA"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vAlign w:val="center"/>
            <w:hideMark/>
          </w:tcPr>
          <w:p w14:paraId="18BC8FFF"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vAlign w:val="center"/>
            <w:hideMark/>
          </w:tcPr>
          <w:p w14:paraId="14ECEE46"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8" w:type="pct"/>
            <w:shd w:val="clear" w:color="auto" w:fill="auto"/>
            <w:noWrap/>
            <w:vAlign w:val="center"/>
            <w:hideMark/>
          </w:tcPr>
          <w:p w14:paraId="607DB597" w14:textId="77777777" w:rsidR="00934BA3" w:rsidRPr="00934BA3" w:rsidRDefault="00934BA3" w:rsidP="00141A5A">
            <w:pPr>
              <w:spacing w:after="0" w:line="240" w:lineRule="auto"/>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r>
      <w:tr w:rsidR="009B1C7F" w:rsidRPr="00934BA3" w14:paraId="0B25158C" w14:textId="77777777" w:rsidTr="004D4454">
        <w:trPr>
          <w:cantSplit/>
          <w:trHeight w:val="833"/>
        </w:trPr>
        <w:tc>
          <w:tcPr>
            <w:tcW w:w="1933" w:type="pct"/>
            <w:shd w:val="clear" w:color="auto" w:fill="C2D69B" w:themeFill="accent3" w:themeFillTint="99"/>
            <w:noWrap/>
            <w:vAlign w:val="center"/>
            <w:hideMark/>
          </w:tcPr>
          <w:p w14:paraId="59B6F399" w14:textId="2AEAE751" w:rsidR="00934BA3" w:rsidRPr="00934BA3" w:rsidRDefault="00934BA3" w:rsidP="004D4454">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lastRenderedPageBreak/>
              <w:t>4.2. Transferencias nacionales (</w:t>
            </w:r>
            <w:r w:rsidR="00141A5A" w:rsidRPr="00934BA3">
              <w:rPr>
                <w:rFonts w:ascii="Century Gothic" w:eastAsia="Times New Roman" w:hAnsi="Century Gothic" w:cs="Calibri"/>
                <w:sz w:val="16"/>
                <w:szCs w:val="16"/>
              </w:rPr>
              <w:t>SGP</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 etc.)</w:t>
            </w:r>
          </w:p>
        </w:tc>
        <w:tc>
          <w:tcPr>
            <w:tcW w:w="278" w:type="pct"/>
            <w:shd w:val="clear" w:color="auto" w:fill="auto"/>
            <w:noWrap/>
            <w:textDirection w:val="btLr"/>
            <w:vAlign w:val="center"/>
            <w:hideMark/>
          </w:tcPr>
          <w:p w14:paraId="5AAC25DF" w14:textId="7EF12056"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445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879 </w:t>
            </w:r>
          </w:p>
        </w:tc>
        <w:tc>
          <w:tcPr>
            <w:tcW w:w="278" w:type="pct"/>
            <w:shd w:val="clear" w:color="auto" w:fill="auto"/>
            <w:noWrap/>
            <w:textDirection w:val="btLr"/>
            <w:vAlign w:val="center"/>
            <w:hideMark/>
          </w:tcPr>
          <w:p w14:paraId="1935CE6E" w14:textId="5915B60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472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202 </w:t>
            </w:r>
          </w:p>
        </w:tc>
        <w:tc>
          <w:tcPr>
            <w:tcW w:w="278" w:type="pct"/>
            <w:shd w:val="clear" w:color="auto" w:fill="auto"/>
            <w:noWrap/>
            <w:textDirection w:val="btLr"/>
            <w:vAlign w:val="center"/>
            <w:hideMark/>
          </w:tcPr>
          <w:p w14:paraId="403D1373" w14:textId="1E7D03D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501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637 </w:t>
            </w:r>
          </w:p>
        </w:tc>
        <w:tc>
          <w:tcPr>
            <w:tcW w:w="279" w:type="pct"/>
            <w:shd w:val="clear" w:color="auto" w:fill="auto"/>
            <w:noWrap/>
            <w:textDirection w:val="btLr"/>
            <w:vAlign w:val="center"/>
            <w:hideMark/>
          </w:tcPr>
          <w:p w14:paraId="021FF32E" w14:textId="35912CF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534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532 </w:t>
            </w:r>
          </w:p>
        </w:tc>
        <w:tc>
          <w:tcPr>
            <w:tcW w:w="279" w:type="pct"/>
            <w:shd w:val="clear" w:color="auto" w:fill="auto"/>
            <w:noWrap/>
            <w:textDirection w:val="btLr"/>
            <w:vAlign w:val="center"/>
            <w:hideMark/>
          </w:tcPr>
          <w:p w14:paraId="1EC0DB5E" w14:textId="0EA36F6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571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350 </w:t>
            </w:r>
          </w:p>
        </w:tc>
        <w:tc>
          <w:tcPr>
            <w:tcW w:w="279" w:type="pct"/>
            <w:shd w:val="clear" w:color="auto" w:fill="auto"/>
            <w:noWrap/>
            <w:textDirection w:val="btLr"/>
            <w:vAlign w:val="center"/>
            <w:hideMark/>
          </w:tcPr>
          <w:p w14:paraId="67AC6CB5" w14:textId="0BB8252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612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617 </w:t>
            </w:r>
          </w:p>
        </w:tc>
        <w:tc>
          <w:tcPr>
            <w:tcW w:w="279" w:type="pct"/>
            <w:shd w:val="clear" w:color="auto" w:fill="auto"/>
            <w:noWrap/>
            <w:textDirection w:val="btLr"/>
            <w:vAlign w:val="center"/>
            <w:hideMark/>
          </w:tcPr>
          <w:p w14:paraId="5CD33824" w14:textId="5C17C439"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658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944 </w:t>
            </w:r>
          </w:p>
        </w:tc>
        <w:tc>
          <w:tcPr>
            <w:tcW w:w="279" w:type="pct"/>
            <w:shd w:val="clear" w:color="auto" w:fill="auto"/>
            <w:noWrap/>
            <w:textDirection w:val="btLr"/>
            <w:vAlign w:val="center"/>
            <w:hideMark/>
          </w:tcPr>
          <w:p w14:paraId="2E1D957F" w14:textId="35B45DA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711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034 </w:t>
            </w:r>
          </w:p>
        </w:tc>
        <w:tc>
          <w:tcPr>
            <w:tcW w:w="279" w:type="pct"/>
            <w:shd w:val="clear" w:color="auto" w:fill="auto"/>
            <w:noWrap/>
            <w:textDirection w:val="btLr"/>
            <w:vAlign w:val="center"/>
            <w:hideMark/>
          </w:tcPr>
          <w:p w14:paraId="3FFCE980" w14:textId="7199311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769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694 </w:t>
            </w:r>
          </w:p>
        </w:tc>
        <w:tc>
          <w:tcPr>
            <w:tcW w:w="279" w:type="pct"/>
            <w:shd w:val="clear" w:color="auto" w:fill="auto"/>
            <w:noWrap/>
            <w:textDirection w:val="btLr"/>
            <w:vAlign w:val="center"/>
            <w:hideMark/>
          </w:tcPr>
          <w:p w14:paraId="6496AE76" w14:textId="27E6D8A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835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859 </w:t>
            </w:r>
          </w:p>
        </w:tc>
        <w:tc>
          <w:tcPr>
            <w:tcW w:w="278" w:type="pct"/>
            <w:shd w:val="clear" w:color="auto" w:fill="auto"/>
            <w:noWrap/>
            <w:textDirection w:val="btLr"/>
            <w:vAlign w:val="center"/>
            <w:hideMark/>
          </w:tcPr>
          <w:p w14:paraId="03AFD257" w14:textId="0549B1D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910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601 </w:t>
            </w:r>
          </w:p>
        </w:tc>
      </w:tr>
      <w:tr w:rsidR="009B1C7F" w:rsidRPr="00141A5A" w14:paraId="18129E64" w14:textId="77777777" w:rsidTr="004D4454">
        <w:trPr>
          <w:cantSplit/>
          <w:trHeight w:val="720"/>
        </w:trPr>
        <w:tc>
          <w:tcPr>
            <w:tcW w:w="1933" w:type="pct"/>
            <w:shd w:val="clear" w:color="auto" w:fill="C2D69B" w:themeFill="accent3" w:themeFillTint="99"/>
            <w:noWrap/>
            <w:vAlign w:val="center"/>
            <w:hideMark/>
          </w:tcPr>
          <w:p w14:paraId="28B84958" w14:textId="2890E905" w:rsidR="00934BA3" w:rsidRPr="00934BA3" w:rsidRDefault="00141A5A"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4.3. Cofinanciación</w:t>
            </w:r>
          </w:p>
        </w:tc>
        <w:tc>
          <w:tcPr>
            <w:tcW w:w="278" w:type="pct"/>
            <w:shd w:val="clear" w:color="auto" w:fill="auto"/>
            <w:noWrap/>
            <w:textDirection w:val="btLr"/>
            <w:vAlign w:val="center"/>
            <w:hideMark/>
          </w:tcPr>
          <w:p w14:paraId="40E27243" w14:textId="2394463C"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38</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372 </w:t>
            </w:r>
          </w:p>
        </w:tc>
        <w:tc>
          <w:tcPr>
            <w:tcW w:w="278" w:type="pct"/>
            <w:shd w:val="clear" w:color="auto" w:fill="auto"/>
            <w:noWrap/>
            <w:textDirection w:val="btLr"/>
            <w:vAlign w:val="center"/>
            <w:hideMark/>
          </w:tcPr>
          <w:p w14:paraId="4A463E25"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59 </w:t>
            </w:r>
          </w:p>
        </w:tc>
        <w:tc>
          <w:tcPr>
            <w:tcW w:w="278" w:type="pct"/>
            <w:shd w:val="clear" w:color="auto" w:fill="auto"/>
            <w:noWrap/>
            <w:textDirection w:val="btLr"/>
            <w:vAlign w:val="center"/>
            <w:hideMark/>
          </w:tcPr>
          <w:p w14:paraId="03CAE810"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61 </w:t>
            </w:r>
          </w:p>
        </w:tc>
        <w:tc>
          <w:tcPr>
            <w:tcW w:w="279" w:type="pct"/>
            <w:shd w:val="clear" w:color="auto" w:fill="auto"/>
            <w:noWrap/>
            <w:textDirection w:val="btLr"/>
            <w:vAlign w:val="center"/>
            <w:hideMark/>
          </w:tcPr>
          <w:p w14:paraId="1A356064"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62 </w:t>
            </w:r>
          </w:p>
        </w:tc>
        <w:tc>
          <w:tcPr>
            <w:tcW w:w="279" w:type="pct"/>
            <w:shd w:val="clear" w:color="auto" w:fill="auto"/>
            <w:noWrap/>
            <w:textDirection w:val="btLr"/>
            <w:vAlign w:val="center"/>
            <w:hideMark/>
          </w:tcPr>
          <w:p w14:paraId="0CBFA71C"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64 </w:t>
            </w:r>
          </w:p>
        </w:tc>
        <w:tc>
          <w:tcPr>
            <w:tcW w:w="279" w:type="pct"/>
            <w:shd w:val="clear" w:color="auto" w:fill="auto"/>
            <w:noWrap/>
            <w:textDirection w:val="btLr"/>
            <w:vAlign w:val="center"/>
            <w:hideMark/>
          </w:tcPr>
          <w:p w14:paraId="2F7A9B4A"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66 </w:t>
            </w:r>
          </w:p>
        </w:tc>
        <w:tc>
          <w:tcPr>
            <w:tcW w:w="279" w:type="pct"/>
            <w:shd w:val="clear" w:color="auto" w:fill="auto"/>
            <w:noWrap/>
            <w:textDirection w:val="btLr"/>
            <w:vAlign w:val="center"/>
            <w:hideMark/>
          </w:tcPr>
          <w:p w14:paraId="0DA42F9E"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68 </w:t>
            </w:r>
          </w:p>
        </w:tc>
        <w:tc>
          <w:tcPr>
            <w:tcW w:w="279" w:type="pct"/>
            <w:shd w:val="clear" w:color="auto" w:fill="auto"/>
            <w:noWrap/>
            <w:textDirection w:val="btLr"/>
            <w:vAlign w:val="center"/>
            <w:hideMark/>
          </w:tcPr>
          <w:p w14:paraId="6EC369AE"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70 </w:t>
            </w:r>
          </w:p>
        </w:tc>
        <w:tc>
          <w:tcPr>
            <w:tcW w:w="279" w:type="pct"/>
            <w:shd w:val="clear" w:color="auto" w:fill="auto"/>
            <w:noWrap/>
            <w:textDirection w:val="btLr"/>
            <w:vAlign w:val="center"/>
            <w:hideMark/>
          </w:tcPr>
          <w:p w14:paraId="59BA3BA2"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72 </w:t>
            </w:r>
          </w:p>
        </w:tc>
        <w:tc>
          <w:tcPr>
            <w:tcW w:w="279" w:type="pct"/>
            <w:shd w:val="clear" w:color="auto" w:fill="auto"/>
            <w:noWrap/>
            <w:textDirection w:val="btLr"/>
            <w:vAlign w:val="center"/>
            <w:hideMark/>
          </w:tcPr>
          <w:p w14:paraId="588EA69E"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74 </w:t>
            </w:r>
          </w:p>
        </w:tc>
        <w:tc>
          <w:tcPr>
            <w:tcW w:w="278" w:type="pct"/>
            <w:shd w:val="clear" w:color="auto" w:fill="auto"/>
            <w:noWrap/>
            <w:textDirection w:val="btLr"/>
            <w:vAlign w:val="center"/>
            <w:hideMark/>
          </w:tcPr>
          <w:p w14:paraId="739AE365" w14:textId="7777777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 xml:space="preserve">77 </w:t>
            </w:r>
          </w:p>
        </w:tc>
      </w:tr>
      <w:tr w:rsidR="009B1C7F" w:rsidRPr="00934BA3" w14:paraId="6BB9D7EA" w14:textId="77777777" w:rsidTr="004D4454">
        <w:trPr>
          <w:cantSplit/>
          <w:trHeight w:val="720"/>
        </w:trPr>
        <w:tc>
          <w:tcPr>
            <w:tcW w:w="1933" w:type="pct"/>
            <w:shd w:val="clear" w:color="auto" w:fill="C2D69B" w:themeFill="accent3" w:themeFillTint="99"/>
            <w:noWrap/>
            <w:vAlign w:val="center"/>
            <w:hideMark/>
          </w:tcPr>
          <w:p w14:paraId="1D53302E"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4.4. Otros</w:t>
            </w:r>
          </w:p>
        </w:tc>
        <w:tc>
          <w:tcPr>
            <w:tcW w:w="278" w:type="pct"/>
            <w:shd w:val="clear" w:color="auto" w:fill="auto"/>
            <w:noWrap/>
            <w:textDirection w:val="btLr"/>
            <w:vAlign w:val="center"/>
            <w:hideMark/>
          </w:tcPr>
          <w:p w14:paraId="1B6C23FD" w14:textId="4D7F7945"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8</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589 </w:t>
            </w:r>
          </w:p>
        </w:tc>
        <w:tc>
          <w:tcPr>
            <w:tcW w:w="278" w:type="pct"/>
            <w:shd w:val="clear" w:color="auto" w:fill="auto"/>
            <w:noWrap/>
            <w:textDirection w:val="btLr"/>
            <w:vAlign w:val="center"/>
            <w:hideMark/>
          </w:tcPr>
          <w:p w14:paraId="1EAD5B22" w14:textId="223DAEE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8</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867 </w:t>
            </w:r>
          </w:p>
        </w:tc>
        <w:tc>
          <w:tcPr>
            <w:tcW w:w="278" w:type="pct"/>
            <w:shd w:val="clear" w:color="auto" w:fill="auto"/>
            <w:noWrap/>
            <w:textDirection w:val="btLr"/>
            <w:vAlign w:val="center"/>
            <w:hideMark/>
          </w:tcPr>
          <w:p w14:paraId="7B8DDFFE" w14:textId="3F417ED9"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9</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031 </w:t>
            </w:r>
          </w:p>
        </w:tc>
        <w:tc>
          <w:tcPr>
            <w:tcW w:w="279" w:type="pct"/>
            <w:shd w:val="clear" w:color="auto" w:fill="auto"/>
            <w:noWrap/>
            <w:textDirection w:val="btLr"/>
            <w:vAlign w:val="center"/>
            <w:hideMark/>
          </w:tcPr>
          <w:p w14:paraId="0CD71FC4" w14:textId="3A7E0962"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9</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318 </w:t>
            </w:r>
          </w:p>
        </w:tc>
        <w:tc>
          <w:tcPr>
            <w:tcW w:w="279" w:type="pct"/>
            <w:shd w:val="clear" w:color="auto" w:fill="auto"/>
            <w:noWrap/>
            <w:textDirection w:val="btLr"/>
            <w:vAlign w:val="center"/>
            <w:hideMark/>
          </w:tcPr>
          <w:p w14:paraId="33EA6BDC" w14:textId="3C958523"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9</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614 </w:t>
            </w:r>
          </w:p>
        </w:tc>
        <w:tc>
          <w:tcPr>
            <w:tcW w:w="279" w:type="pct"/>
            <w:shd w:val="clear" w:color="auto" w:fill="auto"/>
            <w:noWrap/>
            <w:textDirection w:val="btLr"/>
            <w:vAlign w:val="center"/>
            <w:hideMark/>
          </w:tcPr>
          <w:p w14:paraId="43389F9A" w14:textId="4C492762"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9</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919 </w:t>
            </w:r>
          </w:p>
        </w:tc>
        <w:tc>
          <w:tcPr>
            <w:tcW w:w="279" w:type="pct"/>
            <w:shd w:val="clear" w:color="auto" w:fill="auto"/>
            <w:noWrap/>
            <w:textDirection w:val="btLr"/>
            <w:vAlign w:val="center"/>
            <w:hideMark/>
          </w:tcPr>
          <w:p w14:paraId="6E4FB820" w14:textId="0B899AE6"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10</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235 </w:t>
            </w:r>
          </w:p>
        </w:tc>
        <w:tc>
          <w:tcPr>
            <w:tcW w:w="279" w:type="pct"/>
            <w:shd w:val="clear" w:color="auto" w:fill="auto"/>
            <w:noWrap/>
            <w:textDirection w:val="btLr"/>
            <w:vAlign w:val="center"/>
            <w:hideMark/>
          </w:tcPr>
          <w:p w14:paraId="03579405" w14:textId="064BD939"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10</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561 </w:t>
            </w:r>
          </w:p>
        </w:tc>
        <w:tc>
          <w:tcPr>
            <w:tcW w:w="279" w:type="pct"/>
            <w:shd w:val="clear" w:color="auto" w:fill="auto"/>
            <w:noWrap/>
            <w:textDirection w:val="btLr"/>
            <w:vAlign w:val="center"/>
            <w:hideMark/>
          </w:tcPr>
          <w:p w14:paraId="51D648F9" w14:textId="6EC7DA81"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10</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898 </w:t>
            </w:r>
          </w:p>
        </w:tc>
        <w:tc>
          <w:tcPr>
            <w:tcW w:w="279" w:type="pct"/>
            <w:shd w:val="clear" w:color="auto" w:fill="auto"/>
            <w:noWrap/>
            <w:textDirection w:val="btLr"/>
            <w:vAlign w:val="center"/>
            <w:hideMark/>
          </w:tcPr>
          <w:p w14:paraId="24BA6B66" w14:textId="6EAD2FE7"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11</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247 </w:t>
            </w:r>
          </w:p>
        </w:tc>
        <w:tc>
          <w:tcPr>
            <w:tcW w:w="278" w:type="pct"/>
            <w:shd w:val="clear" w:color="auto" w:fill="auto"/>
            <w:noWrap/>
            <w:textDirection w:val="btLr"/>
            <w:vAlign w:val="center"/>
            <w:hideMark/>
          </w:tcPr>
          <w:p w14:paraId="1EB6F3F6" w14:textId="5F53A5DF" w:rsidR="00934BA3" w:rsidRPr="00D54630" w:rsidRDefault="00934BA3" w:rsidP="00934BA3">
            <w:pPr>
              <w:spacing w:after="0" w:line="240" w:lineRule="auto"/>
              <w:ind w:left="113" w:right="113"/>
              <w:jc w:val="right"/>
              <w:rPr>
                <w:rFonts w:ascii="Century Gothic" w:eastAsia="Times New Roman" w:hAnsi="Century Gothic" w:cs="Calibri"/>
                <w:sz w:val="16"/>
                <w:szCs w:val="16"/>
              </w:rPr>
            </w:pPr>
            <w:r w:rsidRPr="00D54630">
              <w:rPr>
                <w:rFonts w:ascii="Century Gothic" w:eastAsia="Times New Roman" w:hAnsi="Century Gothic" w:cs="Calibri"/>
                <w:sz w:val="16"/>
                <w:szCs w:val="16"/>
              </w:rPr>
              <w:t>11</w:t>
            </w:r>
            <w:r w:rsidR="004D4454" w:rsidRPr="00D54630">
              <w:rPr>
                <w:rFonts w:ascii="Century Gothic" w:eastAsia="Times New Roman" w:hAnsi="Century Gothic" w:cs="Calibri"/>
                <w:sz w:val="16"/>
                <w:szCs w:val="16"/>
              </w:rPr>
              <w:t>.</w:t>
            </w:r>
            <w:r w:rsidRPr="00D54630">
              <w:rPr>
                <w:rFonts w:ascii="Century Gothic" w:eastAsia="Times New Roman" w:hAnsi="Century Gothic" w:cs="Calibri"/>
                <w:sz w:val="16"/>
                <w:szCs w:val="16"/>
              </w:rPr>
              <w:t xml:space="preserve">607 </w:t>
            </w:r>
          </w:p>
        </w:tc>
      </w:tr>
      <w:tr w:rsidR="009B1C7F" w:rsidRPr="00934BA3" w14:paraId="74ECAAD9" w14:textId="77777777" w:rsidTr="004D4454">
        <w:trPr>
          <w:cantSplit/>
          <w:trHeight w:val="947"/>
        </w:trPr>
        <w:tc>
          <w:tcPr>
            <w:tcW w:w="1933" w:type="pct"/>
            <w:shd w:val="clear" w:color="auto" w:fill="C2D69B" w:themeFill="accent3" w:themeFillTint="99"/>
            <w:noWrap/>
            <w:vAlign w:val="center"/>
            <w:hideMark/>
          </w:tcPr>
          <w:p w14:paraId="539D2B03"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5. Gastos de inversión</w:t>
            </w:r>
          </w:p>
        </w:tc>
        <w:tc>
          <w:tcPr>
            <w:tcW w:w="278" w:type="pct"/>
            <w:shd w:val="clear" w:color="auto" w:fill="auto"/>
            <w:noWrap/>
            <w:textDirection w:val="btLr"/>
            <w:vAlign w:val="center"/>
            <w:hideMark/>
          </w:tcPr>
          <w:p w14:paraId="4F87E76F" w14:textId="1104362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702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591 </w:t>
            </w:r>
          </w:p>
        </w:tc>
        <w:tc>
          <w:tcPr>
            <w:tcW w:w="278" w:type="pct"/>
            <w:shd w:val="clear" w:color="auto" w:fill="auto"/>
            <w:noWrap/>
            <w:textDirection w:val="btLr"/>
            <w:vAlign w:val="center"/>
            <w:hideMark/>
          </w:tcPr>
          <w:p w14:paraId="2BC662E5" w14:textId="0ABDC71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624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241 </w:t>
            </w:r>
          </w:p>
        </w:tc>
        <w:tc>
          <w:tcPr>
            <w:tcW w:w="278" w:type="pct"/>
            <w:shd w:val="clear" w:color="auto" w:fill="auto"/>
            <w:noWrap/>
            <w:textDirection w:val="btLr"/>
            <w:vAlign w:val="center"/>
            <w:hideMark/>
          </w:tcPr>
          <w:p w14:paraId="74CCAF4C" w14:textId="78CB241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638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054 </w:t>
            </w:r>
          </w:p>
        </w:tc>
        <w:tc>
          <w:tcPr>
            <w:tcW w:w="279" w:type="pct"/>
            <w:shd w:val="clear" w:color="auto" w:fill="auto"/>
            <w:noWrap/>
            <w:textDirection w:val="btLr"/>
            <w:vAlign w:val="center"/>
            <w:hideMark/>
          </w:tcPr>
          <w:p w14:paraId="6B6DFB15" w14:textId="1A9A3DA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681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747 </w:t>
            </w:r>
          </w:p>
        </w:tc>
        <w:tc>
          <w:tcPr>
            <w:tcW w:w="279" w:type="pct"/>
            <w:shd w:val="clear" w:color="auto" w:fill="auto"/>
            <w:noWrap/>
            <w:textDirection w:val="btLr"/>
            <w:vAlign w:val="center"/>
            <w:hideMark/>
          </w:tcPr>
          <w:p w14:paraId="754633DC" w14:textId="06F9461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730</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799 </w:t>
            </w:r>
          </w:p>
        </w:tc>
        <w:tc>
          <w:tcPr>
            <w:tcW w:w="279" w:type="pct"/>
            <w:shd w:val="clear" w:color="auto" w:fill="auto"/>
            <w:noWrap/>
            <w:textDirection w:val="btLr"/>
            <w:vAlign w:val="center"/>
            <w:hideMark/>
          </w:tcPr>
          <w:p w14:paraId="21407A08" w14:textId="7D986E4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787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161 </w:t>
            </w:r>
          </w:p>
        </w:tc>
        <w:tc>
          <w:tcPr>
            <w:tcW w:w="279" w:type="pct"/>
            <w:shd w:val="clear" w:color="auto" w:fill="auto"/>
            <w:noWrap/>
            <w:textDirection w:val="btLr"/>
            <w:vAlign w:val="center"/>
            <w:hideMark/>
          </w:tcPr>
          <w:p w14:paraId="4196492B" w14:textId="0D6C278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851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126 </w:t>
            </w:r>
          </w:p>
        </w:tc>
        <w:tc>
          <w:tcPr>
            <w:tcW w:w="279" w:type="pct"/>
            <w:shd w:val="clear" w:color="auto" w:fill="auto"/>
            <w:noWrap/>
            <w:textDirection w:val="btLr"/>
            <w:vAlign w:val="center"/>
            <w:hideMark/>
          </w:tcPr>
          <w:p w14:paraId="3D81BC4E" w14:textId="7CA9EDA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923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308 </w:t>
            </w:r>
          </w:p>
        </w:tc>
        <w:tc>
          <w:tcPr>
            <w:tcW w:w="279" w:type="pct"/>
            <w:shd w:val="clear" w:color="auto" w:fill="auto"/>
            <w:noWrap/>
            <w:textDirection w:val="btLr"/>
            <w:vAlign w:val="center"/>
            <w:hideMark/>
          </w:tcPr>
          <w:p w14:paraId="3521D354" w14:textId="2160BD2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999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973 </w:t>
            </w:r>
          </w:p>
        </w:tc>
        <w:tc>
          <w:tcPr>
            <w:tcW w:w="279" w:type="pct"/>
            <w:shd w:val="clear" w:color="auto" w:fill="auto"/>
            <w:noWrap/>
            <w:textDirection w:val="btLr"/>
            <w:vAlign w:val="center"/>
            <w:hideMark/>
          </w:tcPr>
          <w:p w14:paraId="6DB512EE" w14:textId="7044AE8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087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583 </w:t>
            </w:r>
          </w:p>
        </w:tc>
        <w:tc>
          <w:tcPr>
            <w:tcW w:w="278" w:type="pct"/>
            <w:shd w:val="clear" w:color="auto" w:fill="auto"/>
            <w:noWrap/>
            <w:textDirection w:val="btLr"/>
            <w:vAlign w:val="center"/>
            <w:hideMark/>
          </w:tcPr>
          <w:p w14:paraId="56A4375C" w14:textId="7359C0AC"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186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106 </w:t>
            </w:r>
          </w:p>
        </w:tc>
      </w:tr>
      <w:tr w:rsidR="009B1C7F" w:rsidRPr="00934BA3" w14:paraId="41FE4B49" w14:textId="77777777" w:rsidTr="004D4454">
        <w:trPr>
          <w:cantSplit/>
          <w:trHeight w:val="833"/>
        </w:trPr>
        <w:tc>
          <w:tcPr>
            <w:tcW w:w="1933" w:type="pct"/>
            <w:shd w:val="clear" w:color="auto" w:fill="C2D69B" w:themeFill="accent3" w:themeFillTint="99"/>
            <w:noWrap/>
            <w:vAlign w:val="center"/>
            <w:hideMark/>
          </w:tcPr>
          <w:p w14:paraId="36632C49" w14:textId="5F583E90"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5.1.1.1. </w:t>
            </w:r>
            <w:r w:rsidRPr="00D54630">
              <w:rPr>
                <w:rFonts w:ascii="Century Gothic" w:eastAsia="Times New Roman" w:hAnsi="Century Gothic" w:cs="Calibri"/>
                <w:sz w:val="16"/>
                <w:szCs w:val="16"/>
              </w:rPr>
              <w:t xml:space="preserve">Formación </w:t>
            </w:r>
            <w:r w:rsidR="00D54630" w:rsidRPr="00D54630">
              <w:rPr>
                <w:rFonts w:ascii="Century Gothic" w:eastAsia="Times New Roman" w:hAnsi="Century Gothic" w:cs="Calibri"/>
                <w:sz w:val="16"/>
                <w:szCs w:val="16"/>
              </w:rPr>
              <w:t>bruta</w:t>
            </w:r>
            <w:r w:rsidRPr="00D54630">
              <w:rPr>
                <w:rFonts w:ascii="Century Gothic" w:eastAsia="Times New Roman" w:hAnsi="Century Gothic" w:cs="Calibri"/>
                <w:sz w:val="16"/>
                <w:szCs w:val="16"/>
              </w:rPr>
              <w:t xml:space="preserve"> de</w:t>
            </w:r>
            <w:r w:rsidRPr="00934BA3">
              <w:rPr>
                <w:rFonts w:ascii="Century Gothic" w:eastAsia="Times New Roman" w:hAnsi="Century Gothic" w:cs="Calibri"/>
                <w:sz w:val="16"/>
                <w:szCs w:val="16"/>
              </w:rPr>
              <w:t xml:space="preserve"> capital fijo</w:t>
            </w:r>
          </w:p>
        </w:tc>
        <w:tc>
          <w:tcPr>
            <w:tcW w:w="278" w:type="pct"/>
            <w:shd w:val="clear" w:color="auto" w:fill="auto"/>
            <w:noWrap/>
            <w:textDirection w:val="btLr"/>
            <w:vAlign w:val="center"/>
            <w:hideMark/>
          </w:tcPr>
          <w:p w14:paraId="15A6C41D" w14:textId="4D1B283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181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705 </w:t>
            </w:r>
          </w:p>
        </w:tc>
        <w:tc>
          <w:tcPr>
            <w:tcW w:w="278" w:type="pct"/>
            <w:shd w:val="clear" w:color="auto" w:fill="auto"/>
            <w:noWrap/>
            <w:textDirection w:val="btLr"/>
            <w:vAlign w:val="center"/>
            <w:hideMark/>
          </w:tcPr>
          <w:p w14:paraId="39BE4CF9" w14:textId="0958198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819 </w:t>
            </w:r>
          </w:p>
        </w:tc>
        <w:tc>
          <w:tcPr>
            <w:tcW w:w="278" w:type="pct"/>
            <w:shd w:val="clear" w:color="auto" w:fill="auto"/>
            <w:noWrap/>
            <w:textDirection w:val="btLr"/>
            <w:vAlign w:val="center"/>
            <w:hideMark/>
          </w:tcPr>
          <w:p w14:paraId="549BCE63" w14:textId="01D27D7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725 </w:t>
            </w:r>
          </w:p>
        </w:tc>
        <w:tc>
          <w:tcPr>
            <w:tcW w:w="279" w:type="pct"/>
            <w:shd w:val="clear" w:color="auto" w:fill="auto"/>
            <w:noWrap/>
            <w:textDirection w:val="btLr"/>
            <w:vAlign w:val="center"/>
            <w:hideMark/>
          </w:tcPr>
          <w:p w14:paraId="78499550" w14:textId="39EAB513"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429 </w:t>
            </w:r>
          </w:p>
        </w:tc>
        <w:tc>
          <w:tcPr>
            <w:tcW w:w="279" w:type="pct"/>
            <w:shd w:val="clear" w:color="auto" w:fill="auto"/>
            <w:noWrap/>
            <w:textDirection w:val="btLr"/>
            <w:vAlign w:val="center"/>
            <w:hideMark/>
          </w:tcPr>
          <w:p w14:paraId="39F206BD" w14:textId="11CA115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479 </w:t>
            </w:r>
          </w:p>
        </w:tc>
        <w:tc>
          <w:tcPr>
            <w:tcW w:w="279" w:type="pct"/>
            <w:shd w:val="clear" w:color="auto" w:fill="auto"/>
            <w:noWrap/>
            <w:textDirection w:val="btLr"/>
            <w:vAlign w:val="center"/>
            <w:hideMark/>
          </w:tcPr>
          <w:p w14:paraId="14F95110" w14:textId="0A9D723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735 </w:t>
            </w:r>
          </w:p>
        </w:tc>
        <w:tc>
          <w:tcPr>
            <w:tcW w:w="279" w:type="pct"/>
            <w:shd w:val="clear" w:color="auto" w:fill="auto"/>
            <w:noWrap/>
            <w:textDirection w:val="btLr"/>
            <w:vAlign w:val="center"/>
            <w:hideMark/>
          </w:tcPr>
          <w:p w14:paraId="3BA78278" w14:textId="543C340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107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426 </w:t>
            </w:r>
          </w:p>
        </w:tc>
        <w:tc>
          <w:tcPr>
            <w:tcW w:w="279" w:type="pct"/>
            <w:shd w:val="clear" w:color="auto" w:fill="auto"/>
            <w:noWrap/>
            <w:textDirection w:val="btLr"/>
            <w:vAlign w:val="center"/>
            <w:hideMark/>
          </w:tcPr>
          <w:p w14:paraId="2444FD27" w14:textId="08A35A3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124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573 </w:t>
            </w:r>
          </w:p>
        </w:tc>
        <w:tc>
          <w:tcPr>
            <w:tcW w:w="279" w:type="pct"/>
            <w:shd w:val="clear" w:color="auto" w:fill="auto"/>
            <w:noWrap/>
            <w:textDirection w:val="btLr"/>
            <w:vAlign w:val="center"/>
            <w:hideMark/>
          </w:tcPr>
          <w:p w14:paraId="05B0868E" w14:textId="39C2EC1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524 </w:t>
            </w:r>
          </w:p>
        </w:tc>
        <w:tc>
          <w:tcPr>
            <w:tcW w:w="279" w:type="pct"/>
            <w:shd w:val="clear" w:color="auto" w:fill="auto"/>
            <w:noWrap/>
            <w:textDirection w:val="btLr"/>
            <w:vAlign w:val="center"/>
            <w:hideMark/>
          </w:tcPr>
          <w:p w14:paraId="6026B0B4" w14:textId="32D6E91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149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159 </w:t>
            </w:r>
          </w:p>
        </w:tc>
        <w:tc>
          <w:tcPr>
            <w:tcW w:w="278" w:type="pct"/>
            <w:shd w:val="clear" w:color="auto" w:fill="auto"/>
            <w:noWrap/>
            <w:textDirection w:val="btLr"/>
            <w:vAlign w:val="center"/>
            <w:hideMark/>
          </w:tcPr>
          <w:p w14:paraId="4755CF4B" w14:textId="4B4E2BB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163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151 </w:t>
            </w:r>
          </w:p>
        </w:tc>
      </w:tr>
      <w:tr w:rsidR="009B1C7F" w:rsidRPr="00934BA3" w14:paraId="7BD371DF" w14:textId="77777777" w:rsidTr="004D4454">
        <w:trPr>
          <w:cantSplit/>
          <w:trHeight w:val="947"/>
        </w:trPr>
        <w:tc>
          <w:tcPr>
            <w:tcW w:w="1933" w:type="pct"/>
            <w:shd w:val="clear" w:color="auto" w:fill="C2D69B" w:themeFill="accent3" w:themeFillTint="99"/>
            <w:noWrap/>
            <w:vAlign w:val="center"/>
            <w:hideMark/>
          </w:tcPr>
          <w:p w14:paraId="539AFD98"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5.1.1.2. Otros</w:t>
            </w:r>
          </w:p>
        </w:tc>
        <w:tc>
          <w:tcPr>
            <w:tcW w:w="278" w:type="pct"/>
            <w:shd w:val="clear" w:color="auto" w:fill="auto"/>
            <w:noWrap/>
            <w:textDirection w:val="btLr"/>
            <w:vAlign w:val="center"/>
            <w:hideMark/>
          </w:tcPr>
          <w:p w14:paraId="7BFF9465" w14:textId="3CB60EA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520</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886 </w:t>
            </w:r>
          </w:p>
        </w:tc>
        <w:tc>
          <w:tcPr>
            <w:tcW w:w="278" w:type="pct"/>
            <w:shd w:val="clear" w:color="auto" w:fill="auto"/>
            <w:noWrap/>
            <w:textDirection w:val="btLr"/>
            <w:vAlign w:val="center"/>
            <w:hideMark/>
          </w:tcPr>
          <w:p w14:paraId="16ECE147" w14:textId="787B48B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563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422 </w:t>
            </w:r>
          </w:p>
        </w:tc>
        <w:tc>
          <w:tcPr>
            <w:tcW w:w="278" w:type="pct"/>
            <w:shd w:val="clear" w:color="auto" w:fill="auto"/>
            <w:noWrap/>
            <w:textDirection w:val="btLr"/>
            <w:vAlign w:val="center"/>
            <w:hideMark/>
          </w:tcPr>
          <w:p w14:paraId="188B1A91" w14:textId="6ECF135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571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328 </w:t>
            </w:r>
          </w:p>
        </w:tc>
        <w:tc>
          <w:tcPr>
            <w:tcW w:w="279" w:type="pct"/>
            <w:shd w:val="clear" w:color="auto" w:fill="auto"/>
            <w:noWrap/>
            <w:textDirection w:val="btLr"/>
            <w:vAlign w:val="center"/>
            <w:hideMark/>
          </w:tcPr>
          <w:p w14:paraId="2B86E1E0" w14:textId="79D1B8A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606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318 </w:t>
            </w:r>
          </w:p>
        </w:tc>
        <w:tc>
          <w:tcPr>
            <w:tcW w:w="279" w:type="pct"/>
            <w:shd w:val="clear" w:color="auto" w:fill="auto"/>
            <w:noWrap/>
            <w:textDirection w:val="btLr"/>
            <w:vAlign w:val="center"/>
            <w:hideMark/>
          </w:tcPr>
          <w:p w14:paraId="709426DD" w14:textId="4251D18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645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320 </w:t>
            </w:r>
          </w:p>
        </w:tc>
        <w:tc>
          <w:tcPr>
            <w:tcW w:w="279" w:type="pct"/>
            <w:shd w:val="clear" w:color="auto" w:fill="auto"/>
            <w:noWrap/>
            <w:textDirection w:val="btLr"/>
            <w:vAlign w:val="center"/>
            <w:hideMark/>
          </w:tcPr>
          <w:p w14:paraId="7EA3D9FA" w14:textId="2B9190D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688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425 </w:t>
            </w:r>
          </w:p>
        </w:tc>
        <w:tc>
          <w:tcPr>
            <w:tcW w:w="279" w:type="pct"/>
            <w:shd w:val="clear" w:color="auto" w:fill="auto"/>
            <w:noWrap/>
            <w:textDirection w:val="btLr"/>
            <w:vAlign w:val="center"/>
            <w:hideMark/>
          </w:tcPr>
          <w:p w14:paraId="6EEE4906" w14:textId="6B42B8E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743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700 </w:t>
            </w:r>
          </w:p>
        </w:tc>
        <w:tc>
          <w:tcPr>
            <w:tcW w:w="279" w:type="pct"/>
            <w:shd w:val="clear" w:color="auto" w:fill="auto"/>
            <w:noWrap/>
            <w:textDirection w:val="btLr"/>
            <w:vAlign w:val="center"/>
            <w:hideMark/>
          </w:tcPr>
          <w:p w14:paraId="46745919" w14:textId="29B0B7C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798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735 </w:t>
            </w:r>
          </w:p>
        </w:tc>
        <w:tc>
          <w:tcPr>
            <w:tcW w:w="279" w:type="pct"/>
            <w:shd w:val="clear" w:color="auto" w:fill="auto"/>
            <w:noWrap/>
            <w:textDirection w:val="btLr"/>
            <w:vAlign w:val="center"/>
            <w:hideMark/>
          </w:tcPr>
          <w:p w14:paraId="788AFFE7" w14:textId="79BB9B68"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863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449 </w:t>
            </w:r>
          </w:p>
        </w:tc>
        <w:tc>
          <w:tcPr>
            <w:tcW w:w="279" w:type="pct"/>
            <w:shd w:val="clear" w:color="auto" w:fill="auto"/>
            <w:noWrap/>
            <w:textDirection w:val="btLr"/>
            <w:vAlign w:val="center"/>
            <w:hideMark/>
          </w:tcPr>
          <w:p w14:paraId="0788295F" w14:textId="6C20F84B"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938</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424 </w:t>
            </w:r>
          </w:p>
        </w:tc>
        <w:tc>
          <w:tcPr>
            <w:tcW w:w="278" w:type="pct"/>
            <w:shd w:val="clear" w:color="auto" w:fill="auto"/>
            <w:noWrap/>
            <w:textDirection w:val="btLr"/>
            <w:vAlign w:val="center"/>
            <w:hideMark/>
          </w:tcPr>
          <w:p w14:paraId="0DA7DCEF" w14:textId="72CC888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022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955 </w:t>
            </w:r>
          </w:p>
        </w:tc>
      </w:tr>
      <w:tr w:rsidR="009B1C7F" w:rsidRPr="00934BA3" w14:paraId="7970B3CF" w14:textId="77777777" w:rsidTr="004D4454">
        <w:trPr>
          <w:cantSplit/>
          <w:trHeight w:val="947"/>
        </w:trPr>
        <w:tc>
          <w:tcPr>
            <w:tcW w:w="1933" w:type="pct"/>
            <w:shd w:val="clear" w:color="auto" w:fill="C2D69B" w:themeFill="accent3" w:themeFillTint="99"/>
            <w:noWrap/>
            <w:vAlign w:val="center"/>
            <w:hideMark/>
          </w:tcPr>
          <w:p w14:paraId="79C468ED"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6. Déficit o superávit total (3+4-5)</w:t>
            </w:r>
          </w:p>
        </w:tc>
        <w:tc>
          <w:tcPr>
            <w:tcW w:w="278" w:type="pct"/>
            <w:shd w:val="clear" w:color="auto" w:fill="auto"/>
            <w:noWrap/>
            <w:textDirection w:val="btLr"/>
            <w:vAlign w:val="center"/>
            <w:hideMark/>
          </w:tcPr>
          <w:p w14:paraId="7EFA421B" w14:textId="7452FF18"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083)</w:t>
            </w:r>
          </w:p>
        </w:tc>
        <w:tc>
          <w:tcPr>
            <w:tcW w:w="278" w:type="pct"/>
            <w:shd w:val="clear" w:color="auto" w:fill="auto"/>
            <w:noWrap/>
            <w:textDirection w:val="btLr"/>
            <w:vAlign w:val="center"/>
            <w:hideMark/>
          </w:tcPr>
          <w:p w14:paraId="61C7094E" w14:textId="435FBC7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(37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248)</w:t>
            </w:r>
          </w:p>
        </w:tc>
        <w:tc>
          <w:tcPr>
            <w:tcW w:w="278" w:type="pct"/>
            <w:shd w:val="clear" w:color="auto" w:fill="auto"/>
            <w:noWrap/>
            <w:textDirection w:val="btLr"/>
            <w:vAlign w:val="center"/>
            <w:hideMark/>
          </w:tcPr>
          <w:p w14:paraId="2BBCED26" w14:textId="5D507A4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331)</w:t>
            </w:r>
          </w:p>
        </w:tc>
        <w:tc>
          <w:tcPr>
            <w:tcW w:w="279" w:type="pct"/>
            <w:shd w:val="clear" w:color="auto" w:fill="auto"/>
            <w:noWrap/>
            <w:textDirection w:val="btLr"/>
            <w:vAlign w:val="center"/>
            <w:hideMark/>
          </w:tcPr>
          <w:p w14:paraId="09E28F4B" w14:textId="7CB7AA1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025)</w:t>
            </w:r>
          </w:p>
        </w:tc>
        <w:tc>
          <w:tcPr>
            <w:tcW w:w="279" w:type="pct"/>
            <w:shd w:val="clear" w:color="auto" w:fill="auto"/>
            <w:noWrap/>
            <w:textDirection w:val="btLr"/>
            <w:vAlign w:val="center"/>
            <w:hideMark/>
          </w:tcPr>
          <w:p w14:paraId="539FE478" w14:textId="2FC5ED8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424)</w:t>
            </w:r>
          </w:p>
        </w:tc>
        <w:tc>
          <w:tcPr>
            <w:tcW w:w="279" w:type="pct"/>
            <w:shd w:val="clear" w:color="auto" w:fill="auto"/>
            <w:noWrap/>
            <w:textDirection w:val="btLr"/>
            <w:vAlign w:val="center"/>
            <w:hideMark/>
          </w:tcPr>
          <w:p w14:paraId="380CC096" w14:textId="00B46C2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259)</w:t>
            </w:r>
          </w:p>
        </w:tc>
        <w:tc>
          <w:tcPr>
            <w:tcW w:w="279" w:type="pct"/>
            <w:shd w:val="clear" w:color="auto" w:fill="auto"/>
            <w:noWrap/>
            <w:textDirection w:val="btLr"/>
            <w:vAlign w:val="center"/>
            <w:hideMark/>
          </w:tcPr>
          <w:p w14:paraId="5C451108" w14:textId="72C6DE7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349)</w:t>
            </w:r>
          </w:p>
        </w:tc>
        <w:tc>
          <w:tcPr>
            <w:tcW w:w="279" w:type="pct"/>
            <w:shd w:val="clear" w:color="auto" w:fill="auto"/>
            <w:noWrap/>
            <w:textDirection w:val="btLr"/>
            <w:vAlign w:val="center"/>
            <w:hideMark/>
          </w:tcPr>
          <w:p w14:paraId="60AB583D" w14:textId="429D8A7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654)</w:t>
            </w:r>
          </w:p>
        </w:tc>
        <w:tc>
          <w:tcPr>
            <w:tcW w:w="279" w:type="pct"/>
            <w:shd w:val="clear" w:color="auto" w:fill="auto"/>
            <w:noWrap/>
            <w:textDirection w:val="btLr"/>
            <w:vAlign w:val="center"/>
            <w:hideMark/>
          </w:tcPr>
          <w:p w14:paraId="2865116D" w14:textId="7DC3A59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776)</w:t>
            </w:r>
          </w:p>
        </w:tc>
        <w:tc>
          <w:tcPr>
            <w:tcW w:w="279" w:type="pct"/>
            <w:shd w:val="clear" w:color="auto" w:fill="auto"/>
            <w:noWrap/>
            <w:textDirection w:val="btLr"/>
            <w:vAlign w:val="center"/>
            <w:hideMark/>
          </w:tcPr>
          <w:p w14:paraId="485A4057" w14:textId="777CDFA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378)</w:t>
            </w:r>
          </w:p>
        </w:tc>
        <w:tc>
          <w:tcPr>
            <w:tcW w:w="278" w:type="pct"/>
            <w:shd w:val="clear" w:color="auto" w:fill="auto"/>
            <w:noWrap/>
            <w:textDirection w:val="btLr"/>
            <w:vAlign w:val="center"/>
            <w:hideMark/>
          </w:tcPr>
          <w:p w14:paraId="496316DB" w14:textId="676F379A"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508)</w:t>
            </w:r>
          </w:p>
        </w:tc>
      </w:tr>
      <w:tr w:rsidR="009B1C7F" w:rsidRPr="00934BA3" w14:paraId="2404C6B3" w14:textId="77777777" w:rsidTr="004D4454">
        <w:trPr>
          <w:cantSplit/>
          <w:trHeight w:val="833"/>
        </w:trPr>
        <w:tc>
          <w:tcPr>
            <w:tcW w:w="1933" w:type="pct"/>
            <w:shd w:val="clear" w:color="auto" w:fill="C2D69B" w:themeFill="accent3" w:themeFillTint="99"/>
            <w:noWrap/>
            <w:vAlign w:val="center"/>
            <w:hideMark/>
          </w:tcPr>
          <w:p w14:paraId="73AF0DBF"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7. Financiamiento</w:t>
            </w:r>
          </w:p>
        </w:tc>
        <w:tc>
          <w:tcPr>
            <w:tcW w:w="278" w:type="pct"/>
            <w:shd w:val="clear" w:color="auto" w:fill="auto"/>
            <w:noWrap/>
            <w:textDirection w:val="btLr"/>
            <w:vAlign w:val="center"/>
            <w:hideMark/>
          </w:tcPr>
          <w:p w14:paraId="1DAF5AD7" w14:textId="2C24613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083 </w:t>
            </w:r>
          </w:p>
        </w:tc>
        <w:tc>
          <w:tcPr>
            <w:tcW w:w="278" w:type="pct"/>
            <w:shd w:val="clear" w:color="auto" w:fill="auto"/>
            <w:noWrap/>
            <w:textDirection w:val="btLr"/>
            <w:vAlign w:val="center"/>
            <w:hideMark/>
          </w:tcPr>
          <w:p w14:paraId="6B3CA6B8" w14:textId="7020368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37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248 </w:t>
            </w:r>
          </w:p>
        </w:tc>
        <w:tc>
          <w:tcPr>
            <w:tcW w:w="278" w:type="pct"/>
            <w:shd w:val="clear" w:color="auto" w:fill="auto"/>
            <w:noWrap/>
            <w:textDirection w:val="btLr"/>
            <w:vAlign w:val="center"/>
            <w:hideMark/>
          </w:tcPr>
          <w:p w14:paraId="10D4DF07" w14:textId="64C731F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331 </w:t>
            </w:r>
          </w:p>
        </w:tc>
        <w:tc>
          <w:tcPr>
            <w:tcW w:w="279" w:type="pct"/>
            <w:shd w:val="clear" w:color="auto" w:fill="auto"/>
            <w:noWrap/>
            <w:textDirection w:val="btLr"/>
            <w:vAlign w:val="center"/>
            <w:hideMark/>
          </w:tcPr>
          <w:p w14:paraId="517CBE86" w14:textId="0B6214E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025 </w:t>
            </w:r>
          </w:p>
        </w:tc>
        <w:tc>
          <w:tcPr>
            <w:tcW w:w="279" w:type="pct"/>
            <w:shd w:val="clear" w:color="auto" w:fill="auto"/>
            <w:noWrap/>
            <w:textDirection w:val="btLr"/>
            <w:vAlign w:val="center"/>
            <w:hideMark/>
          </w:tcPr>
          <w:p w14:paraId="39A5F040" w14:textId="5063FEC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424 </w:t>
            </w:r>
          </w:p>
        </w:tc>
        <w:tc>
          <w:tcPr>
            <w:tcW w:w="279" w:type="pct"/>
            <w:shd w:val="clear" w:color="auto" w:fill="auto"/>
            <w:noWrap/>
            <w:textDirection w:val="btLr"/>
            <w:vAlign w:val="center"/>
            <w:hideMark/>
          </w:tcPr>
          <w:p w14:paraId="2DFE8B5C" w14:textId="3969588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259 </w:t>
            </w:r>
          </w:p>
        </w:tc>
        <w:tc>
          <w:tcPr>
            <w:tcW w:w="279" w:type="pct"/>
            <w:shd w:val="clear" w:color="auto" w:fill="auto"/>
            <w:noWrap/>
            <w:textDirection w:val="btLr"/>
            <w:vAlign w:val="center"/>
            <w:hideMark/>
          </w:tcPr>
          <w:p w14:paraId="19352689" w14:textId="46B818B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349 </w:t>
            </w:r>
          </w:p>
        </w:tc>
        <w:tc>
          <w:tcPr>
            <w:tcW w:w="279" w:type="pct"/>
            <w:shd w:val="clear" w:color="auto" w:fill="auto"/>
            <w:noWrap/>
            <w:textDirection w:val="btLr"/>
            <w:vAlign w:val="center"/>
            <w:hideMark/>
          </w:tcPr>
          <w:p w14:paraId="27140EA4" w14:textId="4B25042D"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654 </w:t>
            </w:r>
          </w:p>
        </w:tc>
        <w:tc>
          <w:tcPr>
            <w:tcW w:w="279" w:type="pct"/>
            <w:shd w:val="clear" w:color="auto" w:fill="auto"/>
            <w:noWrap/>
            <w:textDirection w:val="btLr"/>
            <w:vAlign w:val="center"/>
            <w:hideMark/>
          </w:tcPr>
          <w:p w14:paraId="47827E3F" w14:textId="2B2DAEF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776 </w:t>
            </w:r>
          </w:p>
        </w:tc>
        <w:tc>
          <w:tcPr>
            <w:tcW w:w="279" w:type="pct"/>
            <w:shd w:val="clear" w:color="auto" w:fill="auto"/>
            <w:noWrap/>
            <w:textDirection w:val="btLr"/>
            <w:vAlign w:val="center"/>
            <w:hideMark/>
          </w:tcPr>
          <w:p w14:paraId="74321A77" w14:textId="361C21E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378 </w:t>
            </w:r>
          </w:p>
        </w:tc>
        <w:tc>
          <w:tcPr>
            <w:tcW w:w="278" w:type="pct"/>
            <w:shd w:val="clear" w:color="auto" w:fill="auto"/>
            <w:noWrap/>
            <w:textDirection w:val="btLr"/>
            <w:vAlign w:val="center"/>
            <w:hideMark/>
          </w:tcPr>
          <w:p w14:paraId="412E306E" w14:textId="4AAF28B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508 </w:t>
            </w:r>
          </w:p>
        </w:tc>
      </w:tr>
      <w:tr w:rsidR="009B1C7F" w:rsidRPr="00934BA3" w14:paraId="361565A9" w14:textId="77777777" w:rsidTr="004D4454">
        <w:trPr>
          <w:cantSplit/>
          <w:trHeight w:val="833"/>
        </w:trPr>
        <w:tc>
          <w:tcPr>
            <w:tcW w:w="1933" w:type="pct"/>
            <w:shd w:val="clear" w:color="auto" w:fill="C2D69B" w:themeFill="accent3" w:themeFillTint="99"/>
            <w:noWrap/>
            <w:vAlign w:val="center"/>
            <w:hideMark/>
          </w:tcPr>
          <w:p w14:paraId="66479997" w14:textId="77777777" w:rsidR="00934BA3" w:rsidRPr="00934BA3" w:rsidRDefault="00934BA3" w:rsidP="00934BA3">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7.1. Crédito neto</w:t>
            </w:r>
          </w:p>
        </w:tc>
        <w:tc>
          <w:tcPr>
            <w:tcW w:w="278" w:type="pct"/>
            <w:shd w:val="clear" w:color="auto" w:fill="auto"/>
            <w:noWrap/>
            <w:textDirection w:val="btLr"/>
            <w:vAlign w:val="center"/>
            <w:hideMark/>
          </w:tcPr>
          <w:p w14:paraId="63DC2A84" w14:textId="6ED44C99"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509 </w:t>
            </w:r>
          </w:p>
        </w:tc>
        <w:tc>
          <w:tcPr>
            <w:tcW w:w="278" w:type="pct"/>
            <w:shd w:val="clear" w:color="auto" w:fill="auto"/>
            <w:noWrap/>
            <w:textDirection w:val="btLr"/>
            <w:vAlign w:val="center"/>
            <w:hideMark/>
          </w:tcPr>
          <w:p w14:paraId="1058030A" w14:textId="41B5EFD1"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(11</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174)</w:t>
            </w:r>
          </w:p>
        </w:tc>
        <w:tc>
          <w:tcPr>
            <w:tcW w:w="278" w:type="pct"/>
            <w:shd w:val="clear" w:color="auto" w:fill="auto"/>
            <w:noWrap/>
            <w:textDirection w:val="btLr"/>
            <w:vAlign w:val="center"/>
            <w:hideMark/>
          </w:tcPr>
          <w:p w14:paraId="1B795E7E" w14:textId="4433C7B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149)</w:t>
            </w:r>
          </w:p>
        </w:tc>
        <w:tc>
          <w:tcPr>
            <w:tcW w:w="279" w:type="pct"/>
            <w:shd w:val="clear" w:color="auto" w:fill="auto"/>
            <w:noWrap/>
            <w:textDirection w:val="btLr"/>
            <w:vAlign w:val="center"/>
            <w:hideMark/>
          </w:tcPr>
          <w:p w14:paraId="1A2AC2AB" w14:textId="5D5BDD0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549)</w:t>
            </w:r>
          </w:p>
        </w:tc>
        <w:tc>
          <w:tcPr>
            <w:tcW w:w="279" w:type="pct"/>
            <w:shd w:val="clear" w:color="auto" w:fill="auto"/>
            <w:noWrap/>
            <w:textDirection w:val="btLr"/>
            <w:vAlign w:val="center"/>
            <w:hideMark/>
          </w:tcPr>
          <w:p w14:paraId="757AEB1E" w14:textId="7A99A4B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(13</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549)</w:t>
            </w:r>
          </w:p>
        </w:tc>
        <w:tc>
          <w:tcPr>
            <w:tcW w:w="279" w:type="pct"/>
            <w:shd w:val="clear" w:color="auto" w:fill="auto"/>
            <w:noWrap/>
            <w:textDirection w:val="btLr"/>
            <w:vAlign w:val="center"/>
            <w:hideMark/>
          </w:tcPr>
          <w:p w14:paraId="079AC54E" w14:textId="7EB4DA7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(12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144)</w:t>
            </w:r>
          </w:p>
        </w:tc>
        <w:tc>
          <w:tcPr>
            <w:tcW w:w="279" w:type="pct"/>
            <w:shd w:val="clear" w:color="auto" w:fill="auto"/>
            <w:noWrap/>
            <w:textDirection w:val="btLr"/>
            <w:vAlign w:val="center"/>
            <w:hideMark/>
          </w:tcPr>
          <w:p w14:paraId="578FE7EC" w14:textId="2F6184C3"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481)</w:t>
            </w:r>
          </w:p>
        </w:tc>
        <w:tc>
          <w:tcPr>
            <w:tcW w:w="279" w:type="pct"/>
            <w:shd w:val="clear" w:color="auto" w:fill="auto"/>
            <w:noWrap/>
            <w:textDirection w:val="btLr"/>
            <w:vAlign w:val="center"/>
            <w:hideMark/>
          </w:tcPr>
          <w:p w14:paraId="46C1377A" w14:textId="658A999B"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582)</w:t>
            </w:r>
          </w:p>
        </w:tc>
        <w:tc>
          <w:tcPr>
            <w:tcW w:w="279" w:type="pct"/>
            <w:shd w:val="clear" w:color="auto" w:fill="auto"/>
            <w:noWrap/>
            <w:textDirection w:val="btLr"/>
            <w:vAlign w:val="center"/>
            <w:hideMark/>
          </w:tcPr>
          <w:p w14:paraId="7D7A2EFD" w14:textId="093A0275"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 xml:space="preserve"> (4</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897)</w:t>
            </w:r>
          </w:p>
        </w:tc>
        <w:tc>
          <w:tcPr>
            <w:tcW w:w="279" w:type="pct"/>
            <w:shd w:val="clear" w:color="auto" w:fill="auto"/>
            <w:noWrap/>
            <w:textDirection w:val="btLr"/>
            <w:vAlign w:val="center"/>
            <w:hideMark/>
          </w:tcPr>
          <w:p w14:paraId="5369A0C9" w14:textId="044B54F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 xml:space="preserve"> (2</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746)</w:t>
            </w:r>
          </w:p>
        </w:tc>
        <w:tc>
          <w:tcPr>
            <w:tcW w:w="278" w:type="pct"/>
            <w:shd w:val="clear" w:color="auto" w:fill="auto"/>
            <w:noWrap/>
            <w:textDirection w:val="btLr"/>
            <w:vAlign w:val="center"/>
            <w:hideMark/>
          </w:tcPr>
          <w:p w14:paraId="164A290C" w14:textId="7777777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(80)</w:t>
            </w:r>
          </w:p>
        </w:tc>
      </w:tr>
      <w:tr w:rsidR="009B1C7F" w:rsidRPr="00934BA3" w14:paraId="0A3B65AE" w14:textId="77777777" w:rsidTr="004D4454">
        <w:trPr>
          <w:cantSplit/>
          <w:trHeight w:val="720"/>
        </w:trPr>
        <w:tc>
          <w:tcPr>
            <w:tcW w:w="1933" w:type="pct"/>
            <w:shd w:val="clear" w:color="auto" w:fill="C2D69B" w:themeFill="accent3" w:themeFillTint="99"/>
            <w:noWrap/>
            <w:vAlign w:val="center"/>
            <w:hideMark/>
          </w:tcPr>
          <w:p w14:paraId="6DE9D5FD"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7.1.1. Desembolsos (+)</w:t>
            </w:r>
          </w:p>
        </w:tc>
        <w:tc>
          <w:tcPr>
            <w:tcW w:w="278" w:type="pct"/>
            <w:shd w:val="clear" w:color="auto" w:fill="auto"/>
            <w:noWrap/>
            <w:textDirection w:val="btLr"/>
            <w:vAlign w:val="center"/>
            <w:hideMark/>
          </w:tcPr>
          <w:p w14:paraId="3EC343B2" w14:textId="7DAC4BAD"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26</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100 </w:t>
            </w:r>
          </w:p>
        </w:tc>
        <w:tc>
          <w:tcPr>
            <w:tcW w:w="278" w:type="pct"/>
            <w:shd w:val="clear" w:color="auto" w:fill="auto"/>
            <w:noWrap/>
            <w:textDirection w:val="btLr"/>
            <w:vAlign w:val="center"/>
            <w:hideMark/>
          </w:tcPr>
          <w:p w14:paraId="6408D602"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8" w:type="pct"/>
            <w:shd w:val="clear" w:color="auto" w:fill="auto"/>
            <w:noWrap/>
            <w:textDirection w:val="btLr"/>
            <w:vAlign w:val="center"/>
            <w:hideMark/>
          </w:tcPr>
          <w:p w14:paraId="4206FC78"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21105718"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0AEA02D9"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4E7BEB1D"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02F79ECA"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70936A65"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62659BAE"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9" w:type="pct"/>
            <w:shd w:val="clear" w:color="auto" w:fill="auto"/>
            <w:noWrap/>
            <w:textDirection w:val="btLr"/>
            <w:vAlign w:val="center"/>
            <w:hideMark/>
          </w:tcPr>
          <w:p w14:paraId="6F123DB2"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c>
          <w:tcPr>
            <w:tcW w:w="278" w:type="pct"/>
            <w:shd w:val="clear" w:color="auto" w:fill="auto"/>
            <w:noWrap/>
            <w:textDirection w:val="btLr"/>
            <w:vAlign w:val="center"/>
            <w:hideMark/>
          </w:tcPr>
          <w:p w14:paraId="29D5CD8D"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w:t>
            </w:r>
          </w:p>
        </w:tc>
      </w:tr>
      <w:tr w:rsidR="009B1C7F" w:rsidRPr="00934BA3" w14:paraId="5C389C14" w14:textId="77777777" w:rsidTr="004D4454">
        <w:trPr>
          <w:cantSplit/>
          <w:trHeight w:val="720"/>
        </w:trPr>
        <w:tc>
          <w:tcPr>
            <w:tcW w:w="1933" w:type="pct"/>
            <w:shd w:val="clear" w:color="auto" w:fill="C2D69B" w:themeFill="accent3" w:themeFillTint="99"/>
            <w:noWrap/>
            <w:vAlign w:val="center"/>
            <w:hideMark/>
          </w:tcPr>
          <w:p w14:paraId="23B87451" w14:textId="77777777" w:rsidR="00934BA3" w:rsidRPr="00934BA3" w:rsidRDefault="00934BA3" w:rsidP="00934BA3">
            <w:pPr>
              <w:spacing w:after="0" w:line="240" w:lineRule="auto"/>
              <w:rPr>
                <w:rFonts w:ascii="Century Gothic" w:eastAsia="Times New Roman" w:hAnsi="Century Gothic" w:cs="Calibri"/>
                <w:sz w:val="16"/>
                <w:szCs w:val="16"/>
              </w:rPr>
            </w:pPr>
            <w:r w:rsidRPr="00934BA3">
              <w:rPr>
                <w:rFonts w:ascii="Century Gothic" w:eastAsia="Times New Roman" w:hAnsi="Century Gothic" w:cs="Calibri"/>
                <w:sz w:val="16"/>
                <w:szCs w:val="16"/>
              </w:rPr>
              <w:t>7.1.2. Amortizaciones (-)</w:t>
            </w:r>
          </w:p>
        </w:tc>
        <w:tc>
          <w:tcPr>
            <w:tcW w:w="278" w:type="pct"/>
            <w:shd w:val="clear" w:color="auto" w:fill="auto"/>
            <w:noWrap/>
            <w:textDirection w:val="btLr"/>
            <w:vAlign w:val="center"/>
            <w:hideMark/>
          </w:tcPr>
          <w:p w14:paraId="7653126D" w14:textId="11605EF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7</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591 </w:t>
            </w:r>
          </w:p>
        </w:tc>
        <w:tc>
          <w:tcPr>
            <w:tcW w:w="278" w:type="pct"/>
            <w:shd w:val="clear" w:color="auto" w:fill="auto"/>
            <w:noWrap/>
            <w:textDirection w:val="btLr"/>
            <w:vAlign w:val="center"/>
            <w:hideMark/>
          </w:tcPr>
          <w:p w14:paraId="6BF6D8FB" w14:textId="749BB9E4"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11</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174 </w:t>
            </w:r>
          </w:p>
        </w:tc>
        <w:tc>
          <w:tcPr>
            <w:tcW w:w="278" w:type="pct"/>
            <w:shd w:val="clear" w:color="auto" w:fill="auto"/>
            <w:noWrap/>
            <w:textDirection w:val="btLr"/>
            <w:vAlign w:val="center"/>
            <w:hideMark/>
          </w:tcPr>
          <w:p w14:paraId="77EEF8E9" w14:textId="046F727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149 </w:t>
            </w:r>
          </w:p>
        </w:tc>
        <w:tc>
          <w:tcPr>
            <w:tcW w:w="279" w:type="pct"/>
            <w:shd w:val="clear" w:color="auto" w:fill="auto"/>
            <w:noWrap/>
            <w:textDirection w:val="btLr"/>
            <w:vAlign w:val="center"/>
            <w:hideMark/>
          </w:tcPr>
          <w:p w14:paraId="25CFF9DB" w14:textId="770D23C5"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549 </w:t>
            </w:r>
          </w:p>
        </w:tc>
        <w:tc>
          <w:tcPr>
            <w:tcW w:w="279" w:type="pct"/>
            <w:shd w:val="clear" w:color="auto" w:fill="auto"/>
            <w:noWrap/>
            <w:textDirection w:val="btLr"/>
            <w:vAlign w:val="center"/>
            <w:hideMark/>
          </w:tcPr>
          <w:p w14:paraId="36B12019" w14:textId="13C6F4A1"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13</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549 </w:t>
            </w:r>
          </w:p>
        </w:tc>
        <w:tc>
          <w:tcPr>
            <w:tcW w:w="279" w:type="pct"/>
            <w:shd w:val="clear" w:color="auto" w:fill="auto"/>
            <w:noWrap/>
            <w:textDirection w:val="btLr"/>
            <w:vAlign w:val="center"/>
            <w:hideMark/>
          </w:tcPr>
          <w:p w14:paraId="44293B3E" w14:textId="6360BA5C"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12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144 </w:t>
            </w:r>
          </w:p>
        </w:tc>
        <w:tc>
          <w:tcPr>
            <w:tcW w:w="279" w:type="pct"/>
            <w:shd w:val="clear" w:color="auto" w:fill="auto"/>
            <w:noWrap/>
            <w:textDirection w:val="btLr"/>
            <w:vAlign w:val="center"/>
            <w:hideMark/>
          </w:tcPr>
          <w:p w14:paraId="7CD2A365" w14:textId="1FB86BD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9</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481 </w:t>
            </w:r>
          </w:p>
        </w:tc>
        <w:tc>
          <w:tcPr>
            <w:tcW w:w="279" w:type="pct"/>
            <w:shd w:val="clear" w:color="auto" w:fill="auto"/>
            <w:noWrap/>
            <w:textDirection w:val="btLr"/>
            <w:vAlign w:val="center"/>
            <w:hideMark/>
          </w:tcPr>
          <w:p w14:paraId="37D34CC8" w14:textId="64EB48E0"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5</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582 </w:t>
            </w:r>
          </w:p>
        </w:tc>
        <w:tc>
          <w:tcPr>
            <w:tcW w:w="279" w:type="pct"/>
            <w:shd w:val="clear" w:color="auto" w:fill="auto"/>
            <w:noWrap/>
            <w:textDirection w:val="btLr"/>
            <w:vAlign w:val="center"/>
            <w:hideMark/>
          </w:tcPr>
          <w:p w14:paraId="40356E7F" w14:textId="0A27460E"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4</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897 </w:t>
            </w:r>
          </w:p>
        </w:tc>
        <w:tc>
          <w:tcPr>
            <w:tcW w:w="279" w:type="pct"/>
            <w:shd w:val="clear" w:color="auto" w:fill="auto"/>
            <w:noWrap/>
            <w:textDirection w:val="btLr"/>
            <w:vAlign w:val="center"/>
            <w:hideMark/>
          </w:tcPr>
          <w:p w14:paraId="5CDCCFCF" w14:textId="560058F2"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2</w:t>
            </w:r>
            <w:r w:rsidR="004D4454">
              <w:rPr>
                <w:rFonts w:ascii="Century Gothic" w:eastAsia="Times New Roman" w:hAnsi="Century Gothic" w:cs="Calibri"/>
                <w:sz w:val="16"/>
                <w:szCs w:val="16"/>
              </w:rPr>
              <w:t>.</w:t>
            </w:r>
            <w:r w:rsidRPr="00934BA3">
              <w:rPr>
                <w:rFonts w:ascii="Century Gothic" w:eastAsia="Times New Roman" w:hAnsi="Century Gothic" w:cs="Calibri"/>
                <w:sz w:val="16"/>
                <w:szCs w:val="16"/>
              </w:rPr>
              <w:t xml:space="preserve">746 </w:t>
            </w:r>
          </w:p>
        </w:tc>
        <w:tc>
          <w:tcPr>
            <w:tcW w:w="278" w:type="pct"/>
            <w:shd w:val="clear" w:color="auto" w:fill="auto"/>
            <w:noWrap/>
            <w:textDirection w:val="btLr"/>
            <w:vAlign w:val="center"/>
            <w:hideMark/>
          </w:tcPr>
          <w:p w14:paraId="1E1D1197" w14:textId="77777777" w:rsidR="00934BA3" w:rsidRPr="00934BA3" w:rsidRDefault="00934BA3" w:rsidP="00934BA3">
            <w:pPr>
              <w:spacing w:after="0" w:line="240" w:lineRule="auto"/>
              <w:ind w:left="113" w:right="113"/>
              <w:jc w:val="right"/>
              <w:rPr>
                <w:rFonts w:ascii="Century Gothic" w:eastAsia="Times New Roman" w:hAnsi="Century Gothic" w:cs="Calibri"/>
                <w:sz w:val="16"/>
                <w:szCs w:val="16"/>
              </w:rPr>
            </w:pPr>
            <w:r w:rsidRPr="00934BA3">
              <w:rPr>
                <w:rFonts w:ascii="Century Gothic" w:eastAsia="Times New Roman" w:hAnsi="Century Gothic" w:cs="Calibri"/>
                <w:sz w:val="16"/>
                <w:szCs w:val="16"/>
              </w:rPr>
              <w:t xml:space="preserve">80 </w:t>
            </w:r>
          </w:p>
        </w:tc>
      </w:tr>
      <w:tr w:rsidR="009B1C7F" w:rsidRPr="00934BA3" w14:paraId="5863489B" w14:textId="77777777" w:rsidTr="004D4454">
        <w:trPr>
          <w:cantSplit/>
          <w:trHeight w:val="720"/>
        </w:trPr>
        <w:tc>
          <w:tcPr>
            <w:tcW w:w="1933" w:type="pct"/>
            <w:shd w:val="clear" w:color="auto" w:fill="C2D69B" w:themeFill="accent3" w:themeFillTint="99"/>
            <w:noWrap/>
            <w:vAlign w:val="center"/>
            <w:hideMark/>
          </w:tcPr>
          <w:p w14:paraId="02C89D63" w14:textId="06BDA5DE" w:rsidR="00934BA3" w:rsidRPr="00934BA3" w:rsidRDefault="00934BA3" w:rsidP="004D4454">
            <w:pPr>
              <w:spacing w:after="0" w:line="240" w:lineRule="auto"/>
              <w:rPr>
                <w:rFonts w:ascii="Century Gothic" w:eastAsia="Times New Roman" w:hAnsi="Century Gothic" w:cs="Calibri"/>
                <w:bCs/>
                <w:sz w:val="16"/>
                <w:szCs w:val="16"/>
              </w:rPr>
            </w:pPr>
            <w:r w:rsidRPr="00934BA3">
              <w:rPr>
                <w:rFonts w:ascii="Century Gothic" w:eastAsia="Times New Roman" w:hAnsi="Century Gothic" w:cs="Calibri"/>
                <w:bCs/>
                <w:sz w:val="16"/>
                <w:szCs w:val="16"/>
              </w:rPr>
              <w:t>7.3. Variación de depósitos</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 </w:t>
            </w:r>
            <w:r w:rsidR="00141A5A" w:rsidRPr="00934BA3">
              <w:rPr>
                <w:rFonts w:ascii="Century Gothic" w:eastAsia="Times New Roman" w:hAnsi="Century Gothic" w:cs="Calibri"/>
                <w:bCs/>
                <w:sz w:val="16"/>
                <w:szCs w:val="16"/>
              </w:rPr>
              <w:t xml:space="preserve">RB </w:t>
            </w:r>
            <w:r w:rsidRPr="00934BA3">
              <w:rPr>
                <w:rFonts w:ascii="Century Gothic" w:eastAsia="Times New Roman" w:hAnsi="Century Gothic" w:cs="Calibri"/>
                <w:bCs/>
                <w:sz w:val="16"/>
                <w:szCs w:val="16"/>
              </w:rPr>
              <w:t>y otros</w:t>
            </w:r>
          </w:p>
        </w:tc>
        <w:tc>
          <w:tcPr>
            <w:tcW w:w="278" w:type="pct"/>
            <w:shd w:val="clear" w:color="auto" w:fill="auto"/>
            <w:noWrap/>
            <w:textDirection w:val="btLr"/>
            <w:vAlign w:val="center"/>
            <w:hideMark/>
          </w:tcPr>
          <w:p w14:paraId="654A8494" w14:textId="35BC88C4"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95</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573 </w:t>
            </w:r>
          </w:p>
        </w:tc>
        <w:tc>
          <w:tcPr>
            <w:tcW w:w="278" w:type="pct"/>
            <w:shd w:val="clear" w:color="auto" w:fill="auto"/>
            <w:noWrap/>
            <w:textDirection w:val="btLr"/>
            <w:vAlign w:val="center"/>
            <w:hideMark/>
          </w:tcPr>
          <w:p w14:paraId="76CD02A6" w14:textId="139B1F1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48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422 </w:t>
            </w:r>
          </w:p>
        </w:tc>
        <w:tc>
          <w:tcPr>
            <w:tcW w:w="278" w:type="pct"/>
            <w:shd w:val="clear" w:color="auto" w:fill="auto"/>
            <w:noWrap/>
            <w:textDirection w:val="btLr"/>
            <w:vAlign w:val="center"/>
            <w:hideMark/>
          </w:tcPr>
          <w:p w14:paraId="31EB85D4" w14:textId="627E364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480 </w:t>
            </w:r>
          </w:p>
        </w:tc>
        <w:tc>
          <w:tcPr>
            <w:tcW w:w="279" w:type="pct"/>
            <w:shd w:val="clear" w:color="auto" w:fill="auto"/>
            <w:noWrap/>
            <w:textDirection w:val="btLr"/>
            <w:vAlign w:val="center"/>
            <w:hideMark/>
          </w:tcPr>
          <w:p w14:paraId="3379E2AB" w14:textId="68B466E0"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574 </w:t>
            </w:r>
          </w:p>
        </w:tc>
        <w:tc>
          <w:tcPr>
            <w:tcW w:w="279" w:type="pct"/>
            <w:shd w:val="clear" w:color="auto" w:fill="auto"/>
            <w:noWrap/>
            <w:textDirection w:val="btLr"/>
            <w:vAlign w:val="center"/>
            <w:hideMark/>
          </w:tcPr>
          <w:p w14:paraId="65F98CFD" w14:textId="5EBD3987"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26</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973 </w:t>
            </w:r>
          </w:p>
        </w:tc>
        <w:tc>
          <w:tcPr>
            <w:tcW w:w="279" w:type="pct"/>
            <w:shd w:val="clear" w:color="auto" w:fill="auto"/>
            <w:noWrap/>
            <w:textDirection w:val="btLr"/>
            <w:vAlign w:val="center"/>
            <w:hideMark/>
          </w:tcPr>
          <w:p w14:paraId="31A2C211" w14:textId="0021831E"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403 </w:t>
            </w:r>
          </w:p>
        </w:tc>
        <w:tc>
          <w:tcPr>
            <w:tcW w:w="279" w:type="pct"/>
            <w:shd w:val="clear" w:color="auto" w:fill="auto"/>
            <w:noWrap/>
            <w:textDirection w:val="btLr"/>
            <w:vAlign w:val="center"/>
            <w:hideMark/>
          </w:tcPr>
          <w:p w14:paraId="4BFBDF31" w14:textId="114C0AE2"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27</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830 </w:t>
            </w:r>
          </w:p>
        </w:tc>
        <w:tc>
          <w:tcPr>
            <w:tcW w:w="279" w:type="pct"/>
            <w:shd w:val="clear" w:color="auto" w:fill="auto"/>
            <w:noWrap/>
            <w:textDirection w:val="btLr"/>
            <w:vAlign w:val="center"/>
            <w:hideMark/>
          </w:tcPr>
          <w:p w14:paraId="18AE2C8D" w14:textId="1145167A"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236 </w:t>
            </w:r>
          </w:p>
        </w:tc>
        <w:tc>
          <w:tcPr>
            <w:tcW w:w="279" w:type="pct"/>
            <w:shd w:val="clear" w:color="auto" w:fill="auto"/>
            <w:noWrap/>
            <w:textDirection w:val="btLr"/>
            <w:vAlign w:val="center"/>
            <w:hideMark/>
          </w:tcPr>
          <w:p w14:paraId="6CEFD737" w14:textId="0AF1045A"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28</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673 </w:t>
            </w:r>
          </w:p>
        </w:tc>
        <w:tc>
          <w:tcPr>
            <w:tcW w:w="279" w:type="pct"/>
            <w:shd w:val="clear" w:color="auto" w:fill="auto"/>
            <w:noWrap/>
            <w:textDirection w:val="btLr"/>
            <w:vAlign w:val="center"/>
            <w:hideMark/>
          </w:tcPr>
          <w:p w14:paraId="48204973" w14:textId="59FDFC9F"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124 </w:t>
            </w:r>
          </w:p>
        </w:tc>
        <w:tc>
          <w:tcPr>
            <w:tcW w:w="278" w:type="pct"/>
            <w:shd w:val="clear" w:color="auto" w:fill="auto"/>
            <w:noWrap/>
            <w:textDirection w:val="btLr"/>
            <w:vAlign w:val="center"/>
            <w:hideMark/>
          </w:tcPr>
          <w:p w14:paraId="19AE8CFB" w14:textId="19595216" w:rsidR="00934BA3" w:rsidRPr="00934BA3" w:rsidRDefault="00934BA3" w:rsidP="00934BA3">
            <w:pPr>
              <w:spacing w:after="0" w:line="240" w:lineRule="auto"/>
              <w:ind w:left="113" w:right="113"/>
              <w:jc w:val="right"/>
              <w:rPr>
                <w:rFonts w:ascii="Century Gothic" w:eastAsia="Times New Roman" w:hAnsi="Century Gothic" w:cs="Calibri"/>
                <w:bCs/>
                <w:sz w:val="16"/>
                <w:szCs w:val="16"/>
              </w:rPr>
            </w:pPr>
            <w:r w:rsidRPr="00934BA3">
              <w:rPr>
                <w:rFonts w:ascii="Century Gothic" w:eastAsia="Times New Roman" w:hAnsi="Century Gothic" w:cs="Calibri"/>
                <w:bCs/>
                <w:sz w:val="16"/>
                <w:szCs w:val="16"/>
              </w:rPr>
              <w:t>29</w:t>
            </w:r>
            <w:r w:rsidR="004D4454">
              <w:rPr>
                <w:rFonts w:ascii="Century Gothic" w:eastAsia="Times New Roman" w:hAnsi="Century Gothic" w:cs="Calibri"/>
                <w:bCs/>
                <w:sz w:val="16"/>
                <w:szCs w:val="16"/>
              </w:rPr>
              <w:t>.</w:t>
            </w:r>
            <w:r w:rsidRPr="00934BA3">
              <w:rPr>
                <w:rFonts w:ascii="Century Gothic" w:eastAsia="Times New Roman" w:hAnsi="Century Gothic" w:cs="Calibri"/>
                <w:bCs/>
                <w:sz w:val="16"/>
                <w:szCs w:val="16"/>
              </w:rPr>
              <w:t xml:space="preserve">588 </w:t>
            </w:r>
          </w:p>
        </w:tc>
      </w:tr>
    </w:tbl>
    <w:p w14:paraId="2670ACBC" w14:textId="77777777" w:rsidR="00C3599C" w:rsidRDefault="00C3599C" w:rsidP="00C3599C">
      <w:pPr>
        <w:jc w:val="both"/>
        <w:rPr>
          <w:rFonts w:ascii="Century Gothic" w:hAnsi="Century Gothic"/>
          <w:highlight w:val="yellow"/>
          <w:lang w:val="es-ES" w:eastAsia="en-US"/>
        </w:rPr>
      </w:pPr>
    </w:p>
    <w:tbl>
      <w:tblPr>
        <w:tblW w:w="4973" w:type="pct"/>
        <w:tblLayout w:type="fixed"/>
        <w:tblCellMar>
          <w:left w:w="70" w:type="dxa"/>
          <w:right w:w="70" w:type="dxa"/>
        </w:tblCellMar>
        <w:tblLook w:val="04A0" w:firstRow="1" w:lastRow="0" w:firstColumn="1" w:lastColumn="0" w:noHBand="0" w:noVBand="1"/>
      </w:tblPr>
      <w:tblGrid>
        <w:gridCol w:w="2626"/>
        <w:gridCol w:w="567"/>
        <w:gridCol w:w="567"/>
        <w:gridCol w:w="566"/>
        <w:gridCol w:w="566"/>
        <w:gridCol w:w="566"/>
        <w:gridCol w:w="568"/>
        <w:gridCol w:w="566"/>
        <w:gridCol w:w="566"/>
        <w:gridCol w:w="570"/>
        <w:gridCol w:w="566"/>
        <w:gridCol w:w="636"/>
      </w:tblGrid>
      <w:tr w:rsidR="00B62087" w:rsidRPr="009B1C7F" w14:paraId="1996BE0F" w14:textId="77777777" w:rsidTr="00B62087">
        <w:trPr>
          <w:cantSplit/>
          <w:trHeight w:val="386"/>
        </w:trPr>
        <w:tc>
          <w:tcPr>
            <w:tcW w:w="1470" w:type="pct"/>
            <w:tcBorders>
              <w:top w:val="single" w:sz="4" w:space="0" w:color="auto"/>
              <w:left w:val="single" w:sz="8" w:space="0" w:color="auto"/>
              <w:bottom w:val="single" w:sz="4" w:space="0" w:color="auto"/>
              <w:right w:val="single" w:sz="4" w:space="0" w:color="auto"/>
            </w:tcBorders>
            <w:shd w:val="clear" w:color="auto" w:fill="C2D69B" w:themeFill="accent3" w:themeFillTint="99"/>
            <w:noWrap/>
            <w:vAlign w:val="center"/>
            <w:hideMark/>
          </w:tcPr>
          <w:p w14:paraId="4B9F8030" w14:textId="3E977EB3" w:rsidR="00C3599C" w:rsidRPr="009B1C7F" w:rsidRDefault="00634F89" w:rsidP="00337B15">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Cuentas de financiamiento</w:t>
            </w:r>
          </w:p>
        </w:tc>
        <w:tc>
          <w:tcPr>
            <w:tcW w:w="31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1058DC0"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2019</w:t>
            </w:r>
          </w:p>
        </w:tc>
        <w:tc>
          <w:tcPr>
            <w:tcW w:w="31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0D1BD033"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2020</w:t>
            </w:r>
          </w:p>
        </w:tc>
        <w:tc>
          <w:tcPr>
            <w:tcW w:w="31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7F0EF902"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2021</w:t>
            </w:r>
          </w:p>
        </w:tc>
        <w:tc>
          <w:tcPr>
            <w:tcW w:w="317" w:type="pct"/>
            <w:tcBorders>
              <w:top w:val="single" w:sz="4" w:space="0" w:color="auto"/>
              <w:left w:val="nil"/>
              <w:bottom w:val="single" w:sz="4" w:space="0" w:color="auto"/>
              <w:right w:val="nil"/>
            </w:tcBorders>
            <w:shd w:val="clear" w:color="auto" w:fill="C2D69B" w:themeFill="accent3" w:themeFillTint="99"/>
            <w:noWrap/>
            <w:vAlign w:val="center"/>
            <w:hideMark/>
          </w:tcPr>
          <w:p w14:paraId="7C73C2AD"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2022</w:t>
            </w:r>
          </w:p>
        </w:tc>
        <w:tc>
          <w:tcPr>
            <w:tcW w:w="317"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000057EB"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2023</w:t>
            </w:r>
          </w:p>
        </w:tc>
        <w:tc>
          <w:tcPr>
            <w:tcW w:w="318"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28398998"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2024</w:t>
            </w:r>
          </w:p>
        </w:tc>
        <w:tc>
          <w:tcPr>
            <w:tcW w:w="31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260610A"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2025</w:t>
            </w:r>
          </w:p>
        </w:tc>
        <w:tc>
          <w:tcPr>
            <w:tcW w:w="31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06779594"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2026</w:t>
            </w:r>
          </w:p>
        </w:tc>
        <w:tc>
          <w:tcPr>
            <w:tcW w:w="319"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34B1F32F"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2027</w:t>
            </w:r>
          </w:p>
        </w:tc>
        <w:tc>
          <w:tcPr>
            <w:tcW w:w="31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29CB1031"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2028</w:t>
            </w:r>
          </w:p>
        </w:tc>
        <w:tc>
          <w:tcPr>
            <w:tcW w:w="356"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6E38F187"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2029</w:t>
            </w:r>
          </w:p>
        </w:tc>
      </w:tr>
      <w:tr w:rsidR="00B62087" w:rsidRPr="009B1C7F" w14:paraId="786716BB" w14:textId="77777777" w:rsidTr="00B62087">
        <w:trPr>
          <w:cantSplit/>
          <w:trHeight w:val="794"/>
        </w:trPr>
        <w:tc>
          <w:tcPr>
            <w:tcW w:w="1470" w:type="pct"/>
            <w:tcBorders>
              <w:top w:val="nil"/>
              <w:left w:val="single" w:sz="8" w:space="0" w:color="auto"/>
              <w:bottom w:val="single" w:sz="4" w:space="0" w:color="auto"/>
              <w:right w:val="single" w:sz="4" w:space="0" w:color="auto"/>
            </w:tcBorders>
            <w:shd w:val="clear" w:color="auto" w:fill="C2D69B" w:themeFill="accent3" w:themeFillTint="99"/>
            <w:noWrap/>
            <w:vAlign w:val="center"/>
            <w:hideMark/>
          </w:tcPr>
          <w:p w14:paraId="4705FC39" w14:textId="01069B26" w:rsidR="00C3599C" w:rsidRPr="009B1C7F" w:rsidRDefault="00634F89" w:rsidP="00337B15">
            <w:pPr>
              <w:spacing w:after="0" w:line="240" w:lineRule="auto"/>
              <w:rPr>
                <w:rFonts w:ascii="Century Gothic" w:eastAsia="Times New Roman" w:hAnsi="Century Gothic" w:cs="Calibri"/>
                <w:b/>
                <w:sz w:val="18"/>
                <w:szCs w:val="18"/>
              </w:rPr>
            </w:pPr>
            <w:r w:rsidRPr="009B1C7F">
              <w:rPr>
                <w:rFonts w:ascii="Century Gothic" w:eastAsia="Times New Roman" w:hAnsi="Century Gothic" w:cs="Calibri"/>
                <w:b/>
                <w:sz w:val="18"/>
                <w:szCs w:val="18"/>
              </w:rPr>
              <w:t>1. Crédito</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4BA9E814" w14:textId="35FAE15C"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26.100</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50392B25" w14:textId="77777777"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3C390927" w14:textId="77777777"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w:t>
            </w:r>
          </w:p>
        </w:tc>
        <w:tc>
          <w:tcPr>
            <w:tcW w:w="317" w:type="pct"/>
            <w:tcBorders>
              <w:top w:val="nil"/>
              <w:left w:val="nil"/>
              <w:bottom w:val="single" w:sz="4" w:space="0" w:color="auto"/>
              <w:right w:val="nil"/>
            </w:tcBorders>
            <w:shd w:val="clear" w:color="auto" w:fill="auto"/>
            <w:noWrap/>
            <w:textDirection w:val="btLr"/>
            <w:vAlign w:val="center"/>
            <w:hideMark/>
          </w:tcPr>
          <w:p w14:paraId="7320E76B" w14:textId="77777777"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w:t>
            </w:r>
          </w:p>
        </w:tc>
        <w:tc>
          <w:tcPr>
            <w:tcW w:w="317" w:type="pct"/>
            <w:tcBorders>
              <w:top w:val="nil"/>
              <w:left w:val="single" w:sz="4" w:space="0" w:color="auto"/>
              <w:bottom w:val="single" w:sz="4" w:space="0" w:color="auto"/>
              <w:right w:val="single" w:sz="4" w:space="0" w:color="auto"/>
            </w:tcBorders>
            <w:shd w:val="clear" w:color="auto" w:fill="auto"/>
            <w:noWrap/>
            <w:textDirection w:val="btLr"/>
            <w:vAlign w:val="center"/>
            <w:hideMark/>
          </w:tcPr>
          <w:p w14:paraId="505AF44C" w14:textId="1A090B63"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w:t>
            </w:r>
            <w:r w:rsidR="00C3599C" w:rsidRPr="009B1C7F">
              <w:rPr>
                <w:rFonts w:ascii="Century Gothic" w:eastAsia="Times New Roman" w:hAnsi="Century Gothic" w:cs="Calibri"/>
                <w:sz w:val="18"/>
                <w:szCs w:val="18"/>
              </w:rPr>
              <w:t xml:space="preserve"> </w:t>
            </w:r>
          </w:p>
        </w:tc>
        <w:tc>
          <w:tcPr>
            <w:tcW w:w="318" w:type="pct"/>
            <w:tcBorders>
              <w:top w:val="nil"/>
              <w:left w:val="nil"/>
              <w:bottom w:val="single" w:sz="4" w:space="0" w:color="auto"/>
              <w:right w:val="single" w:sz="4" w:space="0" w:color="auto"/>
            </w:tcBorders>
            <w:shd w:val="clear" w:color="auto" w:fill="auto"/>
            <w:noWrap/>
            <w:textDirection w:val="btLr"/>
            <w:vAlign w:val="center"/>
            <w:hideMark/>
          </w:tcPr>
          <w:p w14:paraId="4C5AEE30" w14:textId="28EB64E3"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xml:space="preserve">-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57707476" w14:textId="51628522"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w:t>
            </w:r>
            <w:r w:rsidR="00C3599C" w:rsidRPr="009B1C7F">
              <w:rPr>
                <w:rFonts w:ascii="Century Gothic" w:eastAsia="Times New Roman" w:hAnsi="Century Gothic" w:cs="Calibri"/>
                <w:sz w:val="18"/>
                <w:szCs w:val="18"/>
              </w:rPr>
              <w:t xml:space="preserve">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1030C895" w14:textId="7927C50B"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w:t>
            </w:r>
            <w:r w:rsidR="00C3599C" w:rsidRPr="009B1C7F">
              <w:rPr>
                <w:rFonts w:ascii="Century Gothic" w:eastAsia="Times New Roman" w:hAnsi="Century Gothic" w:cs="Calibri"/>
                <w:sz w:val="18"/>
                <w:szCs w:val="18"/>
              </w:rPr>
              <w:t xml:space="preserve"> </w:t>
            </w:r>
          </w:p>
        </w:tc>
        <w:tc>
          <w:tcPr>
            <w:tcW w:w="319" w:type="pct"/>
            <w:tcBorders>
              <w:top w:val="nil"/>
              <w:left w:val="nil"/>
              <w:bottom w:val="single" w:sz="4" w:space="0" w:color="auto"/>
              <w:right w:val="single" w:sz="4" w:space="0" w:color="auto"/>
            </w:tcBorders>
            <w:shd w:val="clear" w:color="auto" w:fill="auto"/>
            <w:noWrap/>
            <w:textDirection w:val="btLr"/>
            <w:vAlign w:val="center"/>
            <w:hideMark/>
          </w:tcPr>
          <w:p w14:paraId="3A8BBD51" w14:textId="400D6EC1"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xml:space="preserve">-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1DEAA751" w14:textId="03745DD5"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xml:space="preserve">- </w:t>
            </w:r>
          </w:p>
        </w:tc>
        <w:tc>
          <w:tcPr>
            <w:tcW w:w="356" w:type="pct"/>
            <w:tcBorders>
              <w:top w:val="nil"/>
              <w:left w:val="nil"/>
              <w:bottom w:val="single" w:sz="4" w:space="0" w:color="auto"/>
              <w:right w:val="single" w:sz="4" w:space="0" w:color="auto"/>
            </w:tcBorders>
            <w:shd w:val="clear" w:color="auto" w:fill="auto"/>
            <w:noWrap/>
            <w:textDirection w:val="btLr"/>
            <w:vAlign w:val="center"/>
            <w:hideMark/>
          </w:tcPr>
          <w:p w14:paraId="4E218E90" w14:textId="7B24A7A6"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 xml:space="preserve">- </w:t>
            </w:r>
          </w:p>
        </w:tc>
      </w:tr>
      <w:tr w:rsidR="00B62087" w:rsidRPr="009B1C7F" w14:paraId="18EDEA7E" w14:textId="77777777" w:rsidTr="00B62087">
        <w:trPr>
          <w:cantSplit/>
          <w:trHeight w:val="794"/>
        </w:trPr>
        <w:tc>
          <w:tcPr>
            <w:tcW w:w="1470" w:type="pct"/>
            <w:tcBorders>
              <w:top w:val="nil"/>
              <w:left w:val="single" w:sz="8" w:space="0" w:color="auto"/>
              <w:bottom w:val="single" w:sz="4" w:space="0" w:color="auto"/>
              <w:right w:val="single" w:sz="4" w:space="0" w:color="auto"/>
            </w:tcBorders>
            <w:shd w:val="clear" w:color="auto" w:fill="C2D69B" w:themeFill="accent3" w:themeFillTint="99"/>
            <w:noWrap/>
            <w:vAlign w:val="center"/>
            <w:hideMark/>
          </w:tcPr>
          <w:p w14:paraId="25DFFDC5" w14:textId="19C0BA2E" w:rsidR="00C3599C" w:rsidRPr="009B1C7F" w:rsidRDefault="00634F89" w:rsidP="00337B15">
            <w:pPr>
              <w:spacing w:after="0" w:line="240" w:lineRule="auto"/>
              <w:rPr>
                <w:rFonts w:ascii="Century Gothic" w:eastAsia="Times New Roman" w:hAnsi="Century Gothic" w:cs="Calibri"/>
                <w:b/>
                <w:sz w:val="18"/>
                <w:szCs w:val="18"/>
              </w:rPr>
            </w:pPr>
            <w:r w:rsidRPr="009B1C7F">
              <w:rPr>
                <w:rFonts w:ascii="Century Gothic" w:eastAsia="Times New Roman" w:hAnsi="Century Gothic" w:cs="Calibri"/>
                <w:b/>
                <w:sz w:val="18"/>
                <w:szCs w:val="18"/>
              </w:rPr>
              <w:lastRenderedPageBreak/>
              <w:t>2. Recursos del balance + venta de activos</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1D172F62" w14:textId="5EC63643" w:rsidR="00C3599C" w:rsidRPr="009B1C7F" w:rsidRDefault="00C3599C"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95</w:t>
            </w:r>
            <w:r w:rsidR="00337B15" w:rsidRPr="009B1C7F">
              <w:rPr>
                <w:rFonts w:ascii="Century Gothic" w:eastAsia="Times New Roman" w:hAnsi="Century Gothic" w:cs="Calibri"/>
                <w:sz w:val="18"/>
                <w:szCs w:val="18"/>
              </w:rPr>
              <w:t>.</w:t>
            </w:r>
            <w:r w:rsidRPr="009B1C7F">
              <w:rPr>
                <w:rFonts w:ascii="Century Gothic" w:eastAsia="Times New Roman" w:hAnsi="Century Gothic" w:cs="Calibri"/>
                <w:sz w:val="18"/>
                <w:szCs w:val="18"/>
              </w:rPr>
              <w:t xml:space="preserve">573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1D817AA6" w14:textId="1BDD7C62"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48.</w:t>
            </w:r>
            <w:r w:rsidR="00C3599C" w:rsidRPr="009B1C7F">
              <w:rPr>
                <w:rFonts w:ascii="Century Gothic" w:eastAsia="Times New Roman" w:hAnsi="Century Gothic" w:cs="Calibri"/>
                <w:sz w:val="18"/>
                <w:szCs w:val="18"/>
              </w:rPr>
              <w:t xml:space="preserve">422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0B4B070D" w14:textId="4498E36B"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26.</w:t>
            </w:r>
            <w:r w:rsidR="00C3599C" w:rsidRPr="009B1C7F">
              <w:rPr>
                <w:rFonts w:ascii="Century Gothic" w:eastAsia="Times New Roman" w:hAnsi="Century Gothic" w:cs="Calibri"/>
                <w:sz w:val="18"/>
                <w:szCs w:val="18"/>
              </w:rPr>
              <w:t xml:space="preserve">480 </w:t>
            </w:r>
          </w:p>
        </w:tc>
        <w:tc>
          <w:tcPr>
            <w:tcW w:w="317" w:type="pct"/>
            <w:tcBorders>
              <w:top w:val="nil"/>
              <w:left w:val="nil"/>
              <w:bottom w:val="single" w:sz="4" w:space="0" w:color="auto"/>
              <w:right w:val="nil"/>
            </w:tcBorders>
            <w:shd w:val="clear" w:color="auto" w:fill="auto"/>
            <w:noWrap/>
            <w:textDirection w:val="btLr"/>
            <w:vAlign w:val="center"/>
            <w:hideMark/>
          </w:tcPr>
          <w:p w14:paraId="585A41E8" w14:textId="4ADBB0DE"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26.</w:t>
            </w:r>
            <w:r w:rsidR="00C3599C" w:rsidRPr="009B1C7F">
              <w:rPr>
                <w:rFonts w:ascii="Century Gothic" w:eastAsia="Times New Roman" w:hAnsi="Century Gothic" w:cs="Calibri"/>
                <w:sz w:val="18"/>
                <w:szCs w:val="18"/>
              </w:rPr>
              <w:t xml:space="preserve">574 </w:t>
            </w:r>
          </w:p>
        </w:tc>
        <w:tc>
          <w:tcPr>
            <w:tcW w:w="317" w:type="pct"/>
            <w:tcBorders>
              <w:top w:val="nil"/>
              <w:left w:val="single" w:sz="4" w:space="0" w:color="auto"/>
              <w:bottom w:val="single" w:sz="4" w:space="0" w:color="auto"/>
              <w:right w:val="single" w:sz="4" w:space="0" w:color="auto"/>
            </w:tcBorders>
            <w:shd w:val="clear" w:color="auto" w:fill="auto"/>
            <w:noWrap/>
            <w:textDirection w:val="btLr"/>
            <w:vAlign w:val="center"/>
            <w:hideMark/>
          </w:tcPr>
          <w:p w14:paraId="199F465D" w14:textId="1B3BC772"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26.</w:t>
            </w:r>
            <w:r w:rsidR="00C3599C" w:rsidRPr="009B1C7F">
              <w:rPr>
                <w:rFonts w:ascii="Century Gothic" w:eastAsia="Times New Roman" w:hAnsi="Century Gothic" w:cs="Calibri"/>
                <w:sz w:val="18"/>
                <w:szCs w:val="18"/>
              </w:rPr>
              <w:t xml:space="preserve">973 </w:t>
            </w:r>
          </w:p>
        </w:tc>
        <w:tc>
          <w:tcPr>
            <w:tcW w:w="318" w:type="pct"/>
            <w:tcBorders>
              <w:top w:val="nil"/>
              <w:left w:val="nil"/>
              <w:bottom w:val="single" w:sz="4" w:space="0" w:color="auto"/>
              <w:right w:val="single" w:sz="4" w:space="0" w:color="auto"/>
            </w:tcBorders>
            <w:shd w:val="clear" w:color="auto" w:fill="auto"/>
            <w:noWrap/>
            <w:textDirection w:val="btLr"/>
            <w:vAlign w:val="center"/>
            <w:hideMark/>
          </w:tcPr>
          <w:p w14:paraId="0E5B128A" w14:textId="1FCC38F8"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27.</w:t>
            </w:r>
            <w:r w:rsidR="00C3599C" w:rsidRPr="009B1C7F">
              <w:rPr>
                <w:rFonts w:ascii="Century Gothic" w:eastAsia="Times New Roman" w:hAnsi="Century Gothic" w:cs="Calibri"/>
                <w:sz w:val="18"/>
                <w:szCs w:val="18"/>
              </w:rPr>
              <w:t xml:space="preserve">403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56E2E6D0" w14:textId="2BBA93DD"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27.</w:t>
            </w:r>
            <w:r w:rsidR="00C3599C" w:rsidRPr="009B1C7F">
              <w:rPr>
                <w:rFonts w:ascii="Century Gothic" w:eastAsia="Times New Roman" w:hAnsi="Century Gothic" w:cs="Calibri"/>
                <w:sz w:val="18"/>
                <w:szCs w:val="18"/>
              </w:rPr>
              <w:t xml:space="preserve">830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59BD999F" w14:textId="11DE6400"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28.</w:t>
            </w:r>
            <w:r w:rsidR="00C3599C" w:rsidRPr="009B1C7F">
              <w:rPr>
                <w:rFonts w:ascii="Century Gothic" w:eastAsia="Times New Roman" w:hAnsi="Century Gothic" w:cs="Calibri"/>
                <w:sz w:val="18"/>
                <w:szCs w:val="18"/>
              </w:rPr>
              <w:t xml:space="preserve">236 </w:t>
            </w:r>
          </w:p>
        </w:tc>
        <w:tc>
          <w:tcPr>
            <w:tcW w:w="319" w:type="pct"/>
            <w:tcBorders>
              <w:top w:val="nil"/>
              <w:left w:val="nil"/>
              <w:bottom w:val="single" w:sz="4" w:space="0" w:color="auto"/>
              <w:right w:val="single" w:sz="4" w:space="0" w:color="auto"/>
            </w:tcBorders>
            <w:shd w:val="clear" w:color="auto" w:fill="auto"/>
            <w:noWrap/>
            <w:textDirection w:val="btLr"/>
            <w:vAlign w:val="center"/>
            <w:hideMark/>
          </w:tcPr>
          <w:p w14:paraId="59BB3D5B" w14:textId="30F9CB9E"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28.</w:t>
            </w:r>
            <w:r w:rsidR="00C3599C" w:rsidRPr="009B1C7F">
              <w:rPr>
                <w:rFonts w:ascii="Century Gothic" w:eastAsia="Times New Roman" w:hAnsi="Century Gothic" w:cs="Calibri"/>
                <w:sz w:val="18"/>
                <w:szCs w:val="18"/>
              </w:rPr>
              <w:t xml:space="preserve">673 </w:t>
            </w:r>
          </w:p>
        </w:tc>
        <w:tc>
          <w:tcPr>
            <w:tcW w:w="317" w:type="pct"/>
            <w:tcBorders>
              <w:top w:val="nil"/>
              <w:left w:val="nil"/>
              <w:bottom w:val="single" w:sz="4" w:space="0" w:color="auto"/>
              <w:right w:val="single" w:sz="4" w:space="0" w:color="auto"/>
            </w:tcBorders>
            <w:shd w:val="clear" w:color="auto" w:fill="auto"/>
            <w:noWrap/>
            <w:textDirection w:val="btLr"/>
            <w:vAlign w:val="center"/>
            <w:hideMark/>
          </w:tcPr>
          <w:p w14:paraId="7F2DA8AB" w14:textId="0D97247E"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29.</w:t>
            </w:r>
            <w:r w:rsidR="00C3599C" w:rsidRPr="009B1C7F">
              <w:rPr>
                <w:rFonts w:ascii="Century Gothic" w:eastAsia="Times New Roman" w:hAnsi="Century Gothic" w:cs="Calibri"/>
                <w:sz w:val="18"/>
                <w:szCs w:val="18"/>
              </w:rPr>
              <w:t xml:space="preserve">124 </w:t>
            </w:r>
          </w:p>
        </w:tc>
        <w:tc>
          <w:tcPr>
            <w:tcW w:w="356" w:type="pct"/>
            <w:tcBorders>
              <w:top w:val="nil"/>
              <w:left w:val="nil"/>
              <w:bottom w:val="single" w:sz="4" w:space="0" w:color="auto"/>
              <w:right w:val="single" w:sz="4" w:space="0" w:color="auto"/>
            </w:tcBorders>
            <w:shd w:val="clear" w:color="auto" w:fill="auto"/>
            <w:noWrap/>
            <w:textDirection w:val="btLr"/>
            <w:vAlign w:val="center"/>
            <w:hideMark/>
          </w:tcPr>
          <w:p w14:paraId="15AC9572" w14:textId="6A449EBE" w:rsidR="00C3599C" w:rsidRPr="009B1C7F" w:rsidRDefault="00337B15" w:rsidP="009B1C7F">
            <w:pPr>
              <w:spacing w:after="0" w:line="240" w:lineRule="auto"/>
              <w:ind w:left="113" w:right="113"/>
              <w:jc w:val="right"/>
              <w:rPr>
                <w:rFonts w:ascii="Century Gothic" w:eastAsia="Times New Roman" w:hAnsi="Century Gothic" w:cs="Calibri"/>
                <w:sz w:val="18"/>
                <w:szCs w:val="18"/>
              </w:rPr>
            </w:pPr>
            <w:r w:rsidRPr="009B1C7F">
              <w:rPr>
                <w:rFonts w:ascii="Century Gothic" w:eastAsia="Times New Roman" w:hAnsi="Century Gothic" w:cs="Calibri"/>
                <w:sz w:val="18"/>
                <w:szCs w:val="18"/>
              </w:rPr>
              <w:t>29.</w:t>
            </w:r>
            <w:r w:rsidR="00C3599C" w:rsidRPr="009B1C7F">
              <w:rPr>
                <w:rFonts w:ascii="Century Gothic" w:eastAsia="Times New Roman" w:hAnsi="Century Gothic" w:cs="Calibri"/>
                <w:sz w:val="18"/>
                <w:szCs w:val="18"/>
              </w:rPr>
              <w:t xml:space="preserve">588 </w:t>
            </w:r>
          </w:p>
        </w:tc>
      </w:tr>
    </w:tbl>
    <w:p w14:paraId="3853D7A6" w14:textId="77777777" w:rsidR="00337B15" w:rsidRDefault="00337B1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6"/>
        <w:gridCol w:w="544"/>
        <w:gridCol w:w="544"/>
        <w:gridCol w:w="544"/>
        <w:gridCol w:w="544"/>
        <w:gridCol w:w="544"/>
        <w:gridCol w:w="544"/>
        <w:gridCol w:w="544"/>
        <w:gridCol w:w="544"/>
        <w:gridCol w:w="575"/>
        <w:gridCol w:w="594"/>
        <w:gridCol w:w="591"/>
      </w:tblGrid>
      <w:tr w:rsidR="009B1C7F" w:rsidRPr="009B1C7F" w14:paraId="166FF7A8" w14:textId="77777777" w:rsidTr="00B62087">
        <w:trPr>
          <w:cantSplit/>
          <w:trHeight w:val="421"/>
        </w:trPr>
        <w:tc>
          <w:tcPr>
            <w:tcW w:w="899" w:type="pct"/>
            <w:shd w:val="clear" w:color="auto" w:fill="C2D69B" w:themeFill="accent3" w:themeFillTint="99"/>
            <w:noWrap/>
            <w:vAlign w:val="center"/>
            <w:hideMark/>
          </w:tcPr>
          <w:p w14:paraId="5C479507" w14:textId="219CE2A8" w:rsidR="00C3599C" w:rsidRPr="009B1C7F" w:rsidRDefault="00634F89"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Resultado presupuestal</w:t>
            </w:r>
          </w:p>
        </w:tc>
        <w:tc>
          <w:tcPr>
            <w:tcW w:w="361" w:type="pct"/>
            <w:shd w:val="clear" w:color="auto" w:fill="C2D69B" w:themeFill="accent3" w:themeFillTint="99"/>
            <w:noWrap/>
            <w:vAlign w:val="center"/>
            <w:hideMark/>
          </w:tcPr>
          <w:p w14:paraId="412D0E80"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2019</w:t>
            </w:r>
          </w:p>
        </w:tc>
        <w:tc>
          <w:tcPr>
            <w:tcW w:w="361" w:type="pct"/>
            <w:shd w:val="clear" w:color="auto" w:fill="C2D69B" w:themeFill="accent3" w:themeFillTint="99"/>
            <w:noWrap/>
            <w:vAlign w:val="center"/>
            <w:hideMark/>
          </w:tcPr>
          <w:p w14:paraId="78921FFC"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2020</w:t>
            </w:r>
          </w:p>
        </w:tc>
        <w:tc>
          <w:tcPr>
            <w:tcW w:w="361" w:type="pct"/>
            <w:shd w:val="clear" w:color="auto" w:fill="C2D69B" w:themeFill="accent3" w:themeFillTint="99"/>
            <w:noWrap/>
            <w:vAlign w:val="center"/>
            <w:hideMark/>
          </w:tcPr>
          <w:p w14:paraId="18E1FE6F"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2021</w:t>
            </w:r>
          </w:p>
        </w:tc>
        <w:tc>
          <w:tcPr>
            <w:tcW w:w="361" w:type="pct"/>
            <w:shd w:val="clear" w:color="auto" w:fill="C2D69B" w:themeFill="accent3" w:themeFillTint="99"/>
            <w:noWrap/>
            <w:vAlign w:val="center"/>
            <w:hideMark/>
          </w:tcPr>
          <w:p w14:paraId="30EAB3C7"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2022</w:t>
            </w:r>
          </w:p>
        </w:tc>
        <w:tc>
          <w:tcPr>
            <w:tcW w:w="361" w:type="pct"/>
            <w:shd w:val="clear" w:color="auto" w:fill="C2D69B" w:themeFill="accent3" w:themeFillTint="99"/>
            <w:noWrap/>
            <w:vAlign w:val="center"/>
            <w:hideMark/>
          </w:tcPr>
          <w:p w14:paraId="36FFAFC3"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2023</w:t>
            </w:r>
          </w:p>
        </w:tc>
        <w:tc>
          <w:tcPr>
            <w:tcW w:w="361" w:type="pct"/>
            <w:shd w:val="clear" w:color="auto" w:fill="C2D69B" w:themeFill="accent3" w:themeFillTint="99"/>
            <w:noWrap/>
            <w:vAlign w:val="center"/>
            <w:hideMark/>
          </w:tcPr>
          <w:p w14:paraId="0A0696D9"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2024</w:t>
            </w:r>
          </w:p>
        </w:tc>
        <w:tc>
          <w:tcPr>
            <w:tcW w:w="361" w:type="pct"/>
            <w:shd w:val="clear" w:color="auto" w:fill="C2D69B" w:themeFill="accent3" w:themeFillTint="99"/>
            <w:noWrap/>
            <w:vAlign w:val="center"/>
            <w:hideMark/>
          </w:tcPr>
          <w:p w14:paraId="39D5AF7D"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2025</w:t>
            </w:r>
          </w:p>
        </w:tc>
        <w:tc>
          <w:tcPr>
            <w:tcW w:w="394" w:type="pct"/>
            <w:shd w:val="clear" w:color="auto" w:fill="C2D69B" w:themeFill="accent3" w:themeFillTint="99"/>
            <w:noWrap/>
            <w:vAlign w:val="center"/>
            <w:hideMark/>
          </w:tcPr>
          <w:p w14:paraId="55BA3224"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2026</w:t>
            </w:r>
          </w:p>
        </w:tc>
        <w:tc>
          <w:tcPr>
            <w:tcW w:w="394" w:type="pct"/>
            <w:shd w:val="clear" w:color="auto" w:fill="C2D69B" w:themeFill="accent3" w:themeFillTint="99"/>
            <w:noWrap/>
            <w:vAlign w:val="center"/>
            <w:hideMark/>
          </w:tcPr>
          <w:p w14:paraId="63225FD9"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2027</w:t>
            </w:r>
          </w:p>
        </w:tc>
        <w:tc>
          <w:tcPr>
            <w:tcW w:w="394" w:type="pct"/>
            <w:shd w:val="clear" w:color="auto" w:fill="C2D69B" w:themeFill="accent3" w:themeFillTint="99"/>
            <w:noWrap/>
            <w:vAlign w:val="center"/>
            <w:hideMark/>
          </w:tcPr>
          <w:p w14:paraId="38C400B1"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2028</w:t>
            </w:r>
          </w:p>
        </w:tc>
        <w:tc>
          <w:tcPr>
            <w:tcW w:w="394" w:type="pct"/>
            <w:shd w:val="clear" w:color="auto" w:fill="C2D69B" w:themeFill="accent3" w:themeFillTint="99"/>
            <w:noWrap/>
            <w:vAlign w:val="center"/>
            <w:hideMark/>
          </w:tcPr>
          <w:p w14:paraId="525B5F9D" w14:textId="77777777" w:rsidR="00C3599C" w:rsidRPr="009B1C7F" w:rsidRDefault="00C3599C" w:rsidP="00B62087">
            <w:pPr>
              <w:spacing w:after="0" w:line="240" w:lineRule="auto"/>
              <w:jc w:val="center"/>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2029</w:t>
            </w:r>
          </w:p>
        </w:tc>
      </w:tr>
      <w:tr w:rsidR="00337B15" w:rsidRPr="009B1C7F" w14:paraId="361B1F33" w14:textId="77777777" w:rsidTr="009B1C7F">
        <w:trPr>
          <w:cantSplit/>
          <w:trHeight w:val="1060"/>
        </w:trPr>
        <w:tc>
          <w:tcPr>
            <w:tcW w:w="899" w:type="pct"/>
            <w:shd w:val="clear" w:color="auto" w:fill="C2D69B" w:themeFill="accent3" w:themeFillTint="99"/>
            <w:noWrap/>
            <w:vAlign w:val="center"/>
            <w:hideMark/>
          </w:tcPr>
          <w:p w14:paraId="607CB7E7" w14:textId="6BDC8263" w:rsidR="00C3599C" w:rsidRPr="009B1C7F" w:rsidRDefault="00634F89" w:rsidP="009B1C7F">
            <w:pPr>
              <w:spacing w:after="0" w:line="240" w:lineRule="auto"/>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Ingresos totales</w:t>
            </w:r>
          </w:p>
        </w:tc>
        <w:tc>
          <w:tcPr>
            <w:tcW w:w="361" w:type="pct"/>
            <w:shd w:val="clear" w:color="auto" w:fill="auto"/>
            <w:noWrap/>
            <w:textDirection w:val="btLr"/>
            <w:vAlign w:val="center"/>
            <w:hideMark/>
          </w:tcPr>
          <w:p w14:paraId="2BA80AE3" w14:textId="55DE58FD"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793</w:t>
            </w:r>
            <w:r w:rsidR="004D4454">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138 </w:t>
            </w:r>
          </w:p>
        </w:tc>
        <w:tc>
          <w:tcPr>
            <w:tcW w:w="361" w:type="pct"/>
            <w:shd w:val="clear" w:color="auto" w:fill="auto"/>
            <w:noWrap/>
            <w:textDirection w:val="btLr"/>
            <w:vAlign w:val="center"/>
            <w:hideMark/>
          </w:tcPr>
          <w:p w14:paraId="68B66481" w14:textId="74C346A2"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721</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959 </w:t>
            </w:r>
          </w:p>
        </w:tc>
        <w:tc>
          <w:tcPr>
            <w:tcW w:w="361" w:type="pct"/>
            <w:shd w:val="clear" w:color="auto" w:fill="auto"/>
            <w:noWrap/>
            <w:textDirection w:val="btLr"/>
            <w:vAlign w:val="center"/>
            <w:hideMark/>
          </w:tcPr>
          <w:p w14:paraId="383A91FD" w14:textId="7320611C"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741.</w:t>
            </w:r>
            <w:r w:rsidR="00C3599C" w:rsidRPr="009B1C7F">
              <w:rPr>
                <w:rFonts w:ascii="Century Gothic" w:eastAsia="Times New Roman" w:hAnsi="Century Gothic" w:cs="Calibri"/>
                <w:bCs/>
                <w:sz w:val="18"/>
                <w:szCs w:val="18"/>
              </w:rPr>
              <w:t xml:space="preserve">113 </w:t>
            </w:r>
          </w:p>
        </w:tc>
        <w:tc>
          <w:tcPr>
            <w:tcW w:w="361" w:type="pct"/>
            <w:shd w:val="clear" w:color="auto" w:fill="auto"/>
            <w:noWrap/>
            <w:textDirection w:val="btLr"/>
            <w:vAlign w:val="center"/>
            <w:hideMark/>
          </w:tcPr>
          <w:p w14:paraId="39FF6AAE" w14:textId="6172306E"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787.</w:t>
            </w:r>
            <w:r w:rsidR="00C3599C" w:rsidRPr="009B1C7F">
              <w:rPr>
                <w:rFonts w:ascii="Century Gothic" w:eastAsia="Times New Roman" w:hAnsi="Century Gothic" w:cs="Calibri"/>
                <w:bCs/>
                <w:sz w:val="18"/>
                <w:szCs w:val="18"/>
              </w:rPr>
              <w:t xml:space="preserve">062 </w:t>
            </w:r>
          </w:p>
        </w:tc>
        <w:tc>
          <w:tcPr>
            <w:tcW w:w="361" w:type="pct"/>
            <w:shd w:val="clear" w:color="auto" w:fill="auto"/>
            <w:noWrap/>
            <w:textDirection w:val="btLr"/>
            <w:vAlign w:val="center"/>
            <w:hideMark/>
          </w:tcPr>
          <w:p w14:paraId="16AC71E6" w14:textId="4C758C7F"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839.</w:t>
            </w:r>
            <w:r w:rsidR="00C3599C" w:rsidRPr="009B1C7F">
              <w:rPr>
                <w:rFonts w:ascii="Century Gothic" w:eastAsia="Times New Roman" w:hAnsi="Century Gothic" w:cs="Calibri"/>
                <w:bCs/>
                <w:sz w:val="18"/>
                <w:szCs w:val="18"/>
              </w:rPr>
              <w:t xml:space="preserve">093 </w:t>
            </w:r>
          </w:p>
        </w:tc>
        <w:tc>
          <w:tcPr>
            <w:tcW w:w="361" w:type="pct"/>
            <w:shd w:val="clear" w:color="auto" w:fill="auto"/>
            <w:noWrap/>
            <w:textDirection w:val="btLr"/>
            <w:vAlign w:val="center"/>
            <w:hideMark/>
          </w:tcPr>
          <w:p w14:paraId="709A527A" w14:textId="47E85546"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897.</w:t>
            </w:r>
            <w:r w:rsidR="00C3599C" w:rsidRPr="009B1C7F">
              <w:rPr>
                <w:rFonts w:ascii="Century Gothic" w:eastAsia="Times New Roman" w:hAnsi="Century Gothic" w:cs="Calibri"/>
                <w:bCs/>
                <w:sz w:val="18"/>
                <w:szCs w:val="18"/>
              </w:rPr>
              <w:t xml:space="preserve">043 </w:t>
            </w:r>
          </w:p>
        </w:tc>
        <w:tc>
          <w:tcPr>
            <w:tcW w:w="361" w:type="pct"/>
            <w:shd w:val="clear" w:color="auto" w:fill="auto"/>
            <w:noWrap/>
            <w:textDirection w:val="btLr"/>
            <w:vAlign w:val="center"/>
            <w:hideMark/>
          </w:tcPr>
          <w:p w14:paraId="6B5B0EEC" w14:textId="29E032E4"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962.</w:t>
            </w:r>
            <w:r w:rsidR="00C3599C" w:rsidRPr="009B1C7F">
              <w:rPr>
                <w:rFonts w:ascii="Century Gothic" w:eastAsia="Times New Roman" w:hAnsi="Century Gothic" w:cs="Calibri"/>
                <w:bCs/>
                <w:sz w:val="18"/>
                <w:szCs w:val="18"/>
              </w:rPr>
              <w:t xml:space="preserve">207 </w:t>
            </w:r>
          </w:p>
        </w:tc>
        <w:tc>
          <w:tcPr>
            <w:tcW w:w="394" w:type="pct"/>
            <w:shd w:val="clear" w:color="auto" w:fill="auto"/>
            <w:noWrap/>
            <w:textDirection w:val="btLr"/>
            <w:vAlign w:val="center"/>
            <w:hideMark/>
          </w:tcPr>
          <w:p w14:paraId="1F5876A3" w14:textId="3B82CC67"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1.034.</w:t>
            </w:r>
            <w:r w:rsidR="00C3599C" w:rsidRPr="009B1C7F">
              <w:rPr>
                <w:rFonts w:ascii="Century Gothic" w:eastAsia="Times New Roman" w:hAnsi="Century Gothic" w:cs="Calibri"/>
                <w:bCs/>
                <w:sz w:val="18"/>
                <w:szCs w:val="18"/>
              </w:rPr>
              <w:t xml:space="preserve">875 </w:t>
            </w:r>
          </w:p>
        </w:tc>
        <w:tc>
          <w:tcPr>
            <w:tcW w:w="394" w:type="pct"/>
            <w:shd w:val="clear" w:color="auto" w:fill="auto"/>
            <w:noWrap/>
            <w:textDirection w:val="btLr"/>
            <w:vAlign w:val="center"/>
            <w:hideMark/>
          </w:tcPr>
          <w:p w14:paraId="1FCC0B48" w14:textId="79A481AA"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1.116.</w:t>
            </w:r>
            <w:r w:rsidR="00C3599C" w:rsidRPr="009B1C7F">
              <w:rPr>
                <w:rFonts w:ascii="Century Gothic" w:eastAsia="Times New Roman" w:hAnsi="Century Gothic" w:cs="Calibri"/>
                <w:bCs/>
                <w:sz w:val="18"/>
                <w:szCs w:val="18"/>
              </w:rPr>
              <w:t xml:space="preserve">116 </w:t>
            </w:r>
          </w:p>
        </w:tc>
        <w:tc>
          <w:tcPr>
            <w:tcW w:w="394" w:type="pct"/>
            <w:shd w:val="clear" w:color="auto" w:fill="auto"/>
            <w:noWrap/>
            <w:textDirection w:val="btLr"/>
            <w:vAlign w:val="center"/>
            <w:hideMark/>
          </w:tcPr>
          <w:p w14:paraId="71D9883E" w14:textId="51934522"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w:t>
            </w:r>
            <w:r w:rsidR="00C3599C" w:rsidRPr="009B1C7F">
              <w:rPr>
                <w:rFonts w:ascii="Century Gothic" w:eastAsia="Times New Roman" w:hAnsi="Century Gothic" w:cs="Calibri"/>
                <w:bCs/>
                <w:sz w:val="18"/>
                <w:szCs w:val="18"/>
              </w:rPr>
              <w:t>207</w:t>
            </w:r>
            <w:r w:rsidRPr="009B1C7F">
              <w:rPr>
                <w:rFonts w:ascii="Century Gothic" w:eastAsia="Times New Roman" w:hAnsi="Century Gothic" w:cs="Calibri"/>
                <w:bCs/>
                <w:sz w:val="18"/>
                <w:szCs w:val="18"/>
              </w:rPr>
              <w:t>.</w:t>
            </w:r>
            <w:r w:rsidR="00C3599C" w:rsidRPr="009B1C7F">
              <w:rPr>
                <w:rFonts w:ascii="Century Gothic" w:eastAsia="Times New Roman" w:hAnsi="Century Gothic" w:cs="Calibri"/>
                <w:bCs/>
                <w:sz w:val="18"/>
                <w:szCs w:val="18"/>
              </w:rPr>
              <w:t xml:space="preserve">064 </w:t>
            </w:r>
          </w:p>
        </w:tc>
        <w:tc>
          <w:tcPr>
            <w:tcW w:w="394" w:type="pct"/>
            <w:shd w:val="clear" w:color="auto" w:fill="auto"/>
            <w:noWrap/>
            <w:textDirection w:val="btLr"/>
            <w:vAlign w:val="center"/>
            <w:hideMark/>
          </w:tcPr>
          <w:p w14:paraId="414CB07A" w14:textId="1F8F49D8"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w:t>
            </w:r>
            <w:r w:rsidR="00C3599C" w:rsidRPr="009B1C7F">
              <w:rPr>
                <w:rFonts w:ascii="Century Gothic" w:eastAsia="Times New Roman" w:hAnsi="Century Gothic" w:cs="Calibri"/>
                <w:bCs/>
                <w:sz w:val="18"/>
                <w:szCs w:val="18"/>
              </w:rPr>
              <w:t>309</w:t>
            </w:r>
            <w:r w:rsidRPr="009B1C7F">
              <w:rPr>
                <w:rFonts w:ascii="Century Gothic" w:eastAsia="Times New Roman" w:hAnsi="Century Gothic" w:cs="Calibri"/>
                <w:bCs/>
                <w:sz w:val="18"/>
                <w:szCs w:val="18"/>
              </w:rPr>
              <w:t>.</w:t>
            </w:r>
            <w:r w:rsidR="00C3599C" w:rsidRPr="009B1C7F">
              <w:rPr>
                <w:rFonts w:ascii="Century Gothic" w:eastAsia="Times New Roman" w:hAnsi="Century Gothic" w:cs="Calibri"/>
                <w:bCs/>
                <w:sz w:val="18"/>
                <w:szCs w:val="18"/>
              </w:rPr>
              <w:t xml:space="preserve">048 </w:t>
            </w:r>
          </w:p>
        </w:tc>
      </w:tr>
      <w:tr w:rsidR="00337B15" w:rsidRPr="009B1C7F" w14:paraId="0B014DB7" w14:textId="77777777" w:rsidTr="009B1C7F">
        <w:trPr>
          <w:cantSplit/>
          <w:trHeight w:val="1060"/>
        </w:trPr>
        <w:tc>
          <w:tcPr>
            <w:tcW w:w="899" w:type="pct"/>
            <w:shd w:val="clear" w:color="auto" w:fill="C2D69B" w:themeFill="accent3" w:themeFillTint="99"/>
            <w:noWrap/>
            <w:vAlign w:val="center"/>
            <w:hideMark/>
          </w:tcPr>
          <w:p w14:paraId="4988AA10" w14:textId="0F6C3AAB" w:rsidR="00C3599C" w:rsidRPr="009B1C7F" w:rsidRDefault="00634F89" w:rsidP="009B1C7F">
            <w:pPr>
              <w:spacing w:after="0" w:line="240" w:lineRule="auto"/>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Gastos totales</w:t>
            </w:r>
          </w:p>
        </w:tc>
        <w:tc>
          <w:tcPr>
            <w:tcW w:w="361" w:type="pct"/>
            <w:shd w:val="clear" w:color="auto" w:fill="auto"/>
            <w:noWrap/>
            <w:textDirection w:val="btLr"/>
            <w:vAlign w:val="center"/>
            <w:hideMark/>
          </w:tcPr>
          <w:p w14:paraId="1AF10D0B" w14:textId="4364A066"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793</w:t>
            </w:r>
            <w:r w:rsidR="004D4454">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138 </w:t>
            </w:r>
          </w:p>
        </w:tc>
        <w:tc>
          <w:tcPr>
            <w:tcW w:w="361" w:type="pct"/>
            <w:shd w:val="clear" w:color="auto" w:fill="auto"/>
            <w:noWrap/>
            <w:textDirection w:val="btLr"/>
            <w:vAlign w:val="center"/>
            <w:hideMark/>
          </w:tcPr>
          <w:p w14:paraId="2C8E21AF" w14:textId="77EB7BC8"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721.</w:t>
            </w:r>
            <w:r w:rsidR="00C3599C" w:rsidRPr="009B1C7F">
              <w:rPr>
                <w:rFonts w:ascii="Century Gothic" w:eastAsia="Times New Roman" w:hAnsi="Century Gothic" w:cs="Calibri"/>
                <w:bCs/>
                <w:sz w:val="18"/>
                <w:szCs w:val="18"/>
              </w:rPr>
              <w:t xml:space="preserve">959 </w:t>
            </w:r>
          </w:p>
        </w:tc>
        <w:tc>
          <w:tcPr>
            <w:tcW w:w="361" w:type="pct"/>
            <w:shd w:val="clear" w:color="auto" w:fill="auto"/>
            <w:noWrap/>
            <w:textDirection w:val="btLr"/>
            <w:vAlign w:val="center"/>
            <w:hideMark/>
          </w:tcPr>
          <w:p w14:paraId="63AF0360" w14:textId="1B15C437"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741</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113 </w:t>
            </w:r>
          </w:p>
        </w:tc>
        <w:tc>
          <w:tcPr>
            <w:tcW w:w="361" w:type="pct"/>
            <w:shd w:val="clear" w:color="auto" w:fill="auto"/>
            <w:noWrap/>
            <w:textDirection w:val="btLr"/>
            <w:vAlign w:val="center"/>
            <w:hideMark/>
          </w:tcPr>
          <w:p w14:paraId="4C215AAF" w14:textId="0B762F87"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787</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062 </w:t>
            </w:r>
          </w:p>
        </w:tc>
        <w:tc>
          <w:tcPr>
            <w:tcW w:w="361" w:type="pct"/>
            <w:shd w:val="clear" w:color="auto" w:fill="auto"/>
            <w:noWrap/>
            <w:textDirection w:val="btLr"/>
            <w:vAlign w:val="center"/>
            <w:hideMark/>
          </w:tcPr>
          <w:p w14:paraId="36A0B920" w14:textId="5F577F9E"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839</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094 </w:t>
            </w:r>
          </w:p>
        </w:tc>
        <w:tc>
          <w:tcPr>
            <w:tcW w:w="361" w:type="pct"/>
            <w:shd w:val="clear" w:color="auto" w:fill="auto"/>
            <w:noWrap/>
            <w:textDirection w:val="btLr"/>
            <w:vAlign w:val="center"/>
            <w:hideMark/>
          </w:tcPr>
          <w:p w14:paraId="4EEADA63" w14:textId="2740E6D7"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897.</w:t>
            </w:r>
            <w:r w:rsidR="00C3599C" w:rsidRPr="009B1C7F">
              <w:rPr>
                <w:rFonts w:ascii="Century Gothic" w:eastAsia="Times New Roman" w:hAnsi="Century Gothic" w:cs="Calibri"/>
                <w:bCs/>
                <w:sz w:val="18"/>
                <w:szCs w:val="18"/>
              </w:rPr>
              <w:t xml:space="preserve">043 </w:t>
            </w:r>
          </w:p>
        </w:tc>
        <w:tc>
          <w:tcPr>
            <w:tcW w:w="361" w:type="pct"/>
            <w:shd w:val="clear" w:color="auto" w:fill="auto"/>
            <w:noWrap/>
            <w:textDirection w:val="btLr"/>
            <w:vAlign w:val="center"/>
            <w:hideMark/>
          </w:tcPr>
          <w:p w14:paraId="22C8F909" w14:textId="0BB9068E"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962</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207 </w:t>
            </w:r>
          </w:p>
        </w:tc>
        <w:tc>
          <w:tcPr>
            <w:tcW w:w="394" w:type="pct"/>
            <w:shd w:val="clear" w:color="auto" w:fill="auto"/>
            <w:noWrap/>
            <w:textDirection w:val="btLr"/>
            <w:vAlign w:val="center"/>
            <w:hideMark/>
          </w:tcPr>
          <w:p w14:paraId="1306856B" w14:textId="405DCF09"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w:t>
            </w:r>
            <w:r w:rsidR="00C3599C" w:rsidRPr="009B1C7F">
              <w:rPr>
                <w:rFonts w:ascii="Century Gothic" w:eastAsia="Times New Roman" w:hAnsi="Century Gothic" w:cs="Calibri"/>
                <w:bCs/>
                <w:sz w:val="18"/>
                <w:szCs w:val="18"/>
              </w:rPr>
              <w:t>034</w:t>
            </w:r>
            <w:r w:rsidRPr="009B1C7F">
              <w:rPr>
                <w:rFonts w:ascii="Century Gothic" w:eastAsia="Times New Roman" w:hAnsi="Century Gothic" w:cs="Calibri"/>
                <w:bCs/>
                <w:sz w:val="18"/>
                <w:szCs w:val="18"/>
              </w:rPr>
              <w:t>.</w:t>
            </w:r>
            <w:r w:rsidR="00C3599C" w:rsidRPr="009B1C7F">
              <w:rPr>
                <w:rFonts w:ascii="Century Gothic" w:eastAsia="Times New Roman" w:hAnsi="Century Gothic" w:cs="Calibri"/>
                <w:bCs/>
                <w:sz w:val="18"/>
                <w:szCs w:val="18"/>
              </w:rPr>
              <w:t xml:space="preserve">875 </w:t>
            </w:r>
          </w:p>
        </w:tc>
        <w:tc>
          <w:tcPr>
            <w:tcW w:w="394" w:type="pct"/>
            <w:shd w:val="clear" w:color="auto" w:fill="auto"/>
            <w:noWrap/>
            <w:textDirection w:val="btLr"/>
            <w:vAlign w:val="center"/>
            <w:hideMark/>
          </w:tcPr>
          <w:p w14:paraId="7C3927B8" w14:textId="28EB7FF4" w:rsidR="00C3599C" w:rsidRPr="009B1C7F" w:rsidRDefault="00C3599C"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116</w:t>
            </w:r>
            <w:r w:rsidR="00337B15" w:rsidRPr="009B1C7F">
              <w:rPr>
                <w:rFonts w:ascii="Century Gothic" w:eastAsia="Times New Roman" w:hAnsi="Century Gothic" w:cs="Calibri"/>
                <w:bCs/>
                <w:sz w:val="18"/>
                <w:szCs w:val="18"/>
              </w:rPr>
              <w:t>.</w:t>
            </w:r>
            <w:r w:rsidRPr="009B1C7F">
              <w:rPr>
                <w:rFonts w:ascii="Century Gothic" w:eastAsia="Times New Roman" w:hAnsi="Century Gothic" w:cs="Calibri"/>
                <w:bCs/>
                <w:sz w:val="18"/>
                <w:szCs w:val="18"/>
              </w:rPr>
              <w:t xml:space="preserve">116 </w:t>
            </w:r>
          </w:p>
        </w:tc>
        <w:tc>
          <w:tcPr>
            <w:tcW w:w="394" w:type="pct"/>
            <w:shd w:val="clear" w:color="auto" w:fill="auto"/>
            <w:noWrap/>
            <w:textDirection w:val="btLr"/>
            <w:vAlign w:val="center"/>
            <w:hideMark/>
          </w:tcPr>
          <w:p w14:paraId="37B5B37B" w14:textId="7F66821F"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1.207.</w:t>
            </w:r>
            <w:r w:rsidR="00C3599C" w:rsidRPr="009B1C7F">
              <w:rPr>
                <w:rFonts w:ascii="Century Gothic" w:eastAsia="Times New Roman" w:hAnsi="Century Gothic" w:cs="Calibri"/>
                <w:bCs/>
                <w:sz w:val="18"/>
                <w:szCs w:val="18"/>
              </w:rPr>
              <w:t xml:space="preserve">064 </w:t>
            </w:r>
          </w:p>
        </w:tc>
        <w:tc>
          <w:tcPr>
            <w:tcW w:w="394" w:type="pct"/>
            <w:shd w:val="clear" w:color="auto" w:fill="auto"/>
            <w:noWrap/>
            <w:textDirection w:val="btLr"/>
            <w:vAlign w:val="center"/>
            <w:hideMark/>
          </w:tcPr>
          <w:p w14:paraId="50B35644" w14:textId="3BB5DF6D" w:rsidR="00C3599C" w:rsidRPr="009B1C7F" w:rsidRDefault="00337B15" w:rsidP="009B1C7F">
            <w:pPr>
              <w:spacing w:after="0" w:line="240" w:lineRule="auto"/>
              <w:ind w:left="113" w:right="113"/>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1.309.</w:t>
            </w:r>
            <w:r w:rsidR="00C3599C" w:rsidRPr="009B1C7F">
              <w:rPr>
                <w:rFonts w:ascii="Century Gothic" w:eastAsia="Times New Roman" w:hAnsi="Century Gothic" w:cs="Calibri"/>
                <w:bCs/>
                <w:sz w:val="18"/>
                <w:szCs w:val="18"/>
              </w:rPr>
              <w:t xml:space="preserve">048 </w:t>
            </w:r>
          </w:p>
        </w:tc>
      </w:tr>
      <w:tr w:rsidR="00337B15" w:rsidRPr="009B1C7F" w14:paraId="42AD993B" w14:textId="77777777" w:rsidTr="009B1C7F">
        <w:trPr>
          <w:cantSplit/>
          <w:trHeight w:val="204"/>
        </w:trPr>
        <w:tc>
          <w:tcPr>
            <w:tcW w:w="899" w:type="pct"/>
            <w:shd w:val="clear" w:color="auto" w:fill="C2D69B" w:themeFill="accent3" w:themeFillTint="99"/>
            <w:noWrap/>
            <w:vAlign w:val="center"/>
            <w:hideMark/>
          </w:tcPr>
          <w:p w14:paraId="4C0F253E" w14:textId="1C455AC6" w:rsidR="00C3599C" w:rsidRPr="009B1C7F" w:rsidRDefault="00337B15" w:rsidP="009B1C7F">
            <w:pPr>
              <w:spacing w:after="0" w:line="240" w:lineRule="auto"/>
              <w:rPr>
                <w:rFonts w:ascii="Century Gothic" w:eastAsia="Times New Roman" w:hAnsi="Century Gothic" w:cs="Calibri"/>
                <w:b/>
                <w:bCs/>
                <w:sz w:val="18"/>
                <w:szCs w:val="18"/>
              </w:rPr>
            </w:pPr>
            <w:r w:rsidRPr="009B1C7F">
              <w:rPr>
                <w:rFonts w:ascii="Century Gothic" w:eastAsia="Times New Roman" w:hAnsi="Century Gothic" w:cs="Calibri"/>
                <w:b/>
                <w:bCs/>
                <w:sz w:val="18"/>
                <w:szCs w:val="18"/>
              </w:rPr>
              <w:t>Déficit</w:t>
            </w:r>
            <w:r w:rsidR="00634F89" w:rsidRPr="009B1C7F">
              <w:rPr>
                <w:rFonts w:ascii="Century Gothic" w:eastAsia="Times New Roman" w:hAnsi="Century Gothic" w:cs="Calibri"/>
                <w:b/>
                <w:bCs/>
                <w:sz w:val="18"/>
                <w:szCs w:val="18"/>
              </w:rPr>
              <w:t xml:space="preserve"> o </w:t>
            </w:r>
            <w:r w:rsidRPr="009B1C7F">
              <w:rPr>
                <w:rFonts w:ascii="Century Gothic" w:eastAsia="Times New Roman" w:hAnsi="Century Gothic" w:cs="Calibri"/>
                <w:b/>
                <w:bCs/>
                <w:sz w:val="18"/>
                <w:szCs w:val="18"/>
              </w:rPr>
              <w:t>superávit</w:t>
            </w:r>
            <w:r w:rsidR="00634F89" w:rsidRPr="009B1C7F">
              <w:rPr>
                <w:rFonts w:ascii="Century Gothic" w:eastAsia="Times New Roman" w:hAnsi="Century Gothic" w:cs="Calibri"/>
                <w:b/>
                <w:bCs/>
                <w:sz w:val="18"/>
                <w:szCs w:val="18"/>
              </w:rPr>
              <w:t xml:space="preserve"> presupuestal</w:t>
            </w:r>
          </w:p>
        </w:tc>
        <w:tc>
          <w:tcPr>
            <w:tcW w:w="361" w:type="pct"/>
            <w:shd w:val="clear" w:color="auto" w:fill="auto"/>
            <w:noWrap/>
            <w:vAlign w:val="center"/>
            <w:hideMark/>
          </w:tcPr>
          <w:p w14:paraId="7C14AB77" w14:textId="1A1BB1F3"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(0)</w:t>
            </w:r>
          </w:p>
        </w:tc>
        <w:tc>
          <w:tcPr>
            <w:tcW w:w="361" w:type="pct"/>
            <w:shd w:val="clear" w:color="auto" w:fill="auto"/>
            <w:noWrap/>
            <w:vAlign w:val="center"/>
            <w:hideMark/>
          </w:tcPr>
          <w:p w14:paraId="4002DC4E" w14:textId="338678D7"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0 </w:t>
            </w:r>
          </w:p>
        </w:tc>
        <w:tc>
          <w:tcPr>
            <w:tcW w:w="361" w:type="pct"/>
            <w:shd w:val="clear" w:color="auto" w:fill="auto"/>
            <w:noWrap/>
            <w:vAlign w:val="center"/>
            <w:hideMark/>
          </w:tcPr>
          <w:p w14:paraId="48CA81B7" w14:textId="6E097AB6"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(0)</w:t>
            </w:r>
          </w:p>
        </w:tc>
        <w:tc>
          <w:tcPr>
            <w:tcW w:w="361" w:type="pct"/>
            <w:shd w:val="clear" w:color="auto" w:fill="auto"/>
            <w:noWrap/>
            <w:vAlign w:val="center"/>
            <w:hideMark/>
          </w:tcPr>
          <w:p w14:paraId="1BDF1A1B" w14:textId="235CB5DD"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0 </w:t>
            </w:r>
          </w:p>
        </w:tc>
        <w:tc>
          <w:tcPr>
            <w:tcW w:w="361" w:type="pct"/>
            <w:shd w:val="clear" w:color="auto" w:fill="auto"/>
            <w:noWrap/>
            <w:vAlign w:val="center"/>
            <w:hideMark/>
          </w:tcPr>
          <w:p w14:paraId="58F9425E" w14:textId="1376947D"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 (0)</w:t>
            </w:r>
          </w:p>
        </w:tc>
        <w:tc>
          <w:tcPr>
            <w:tcW w:w="361" w:type="pct"/>
            <w:shd w:val="clear" w:color="auto" w:fill="auto"/>
            <w:noWrap/>
            <w:vAlign w:val="center"/>
            <w:hideMark/>
          </w:tcPr>
          <w:p w14:paraId="6D73F1B4" w14:textId="7DEE1AB7"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0 </w:t>
            </w:r>
          </w:p>
        </w:tc>
        <w:tc>
          <w:tcPr>
            <w:tcW w:w="361" w:type="pct"/>
            <w:shd w:val="clear" w:color="auto" w:fill="auto"/>
            <w:noWrap/>
            <w:vAlign w:val="center"/>
            <w:hideMark/>
          </w:tcPr>
          <w:p w14:paraId="140C7344" w14:textId="079EC7EF"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 (0)</w:t>
            </w:r>
          </w:p>
        </w:tc>
        <w:tc>
          <w:tcPr>
            <w:tcW w:w="394" w:type="pct"/>
            <w:shd w:val="clear" w:color="auto" w:fill="auto"/>
            <w:noWrap/>
            <w:vAlign w:val="center"/>
            <w:hideMark/>
          </w:tcPr>
          <w:p w14:paraId="3CAEA855" w14:textId="0D714D57"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0 </w:t>
            </w:r>
          </w:p>
        </w:tc>
        <w:tc>
          <w:tcPr>
            <w:tcW w:w="394" w:type="pct"/>
            <w:shd w:val="clear" w:color="auto" w:fill="auto"/>
            <w:noWrap/>
            <w:vAlign w:val="center"/>
            <w:hideMark/>
          </w:tcPr>
          <w:p w14:paraId="137C9A4D" w14:textId="33645801"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0 </w:t>
            </w:r>
          </w:p>
        </w:tc>
        <w:tc>
          <w:tcPr>
            <w:tcW w:w="394" w:type="pct"/>
            <w:shd w:val="clear" w:color="auto" w:fill="auto"/>
            <w:noWrap/>
            <w:vAlign w:val="center"/>
            <w:hideMark/>
          </w:tcPr>
          <w:p w14:paraId="2E383226" w14:textId="2AA9AF6C"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(0)</w:t>
            </w:r>
          </w:p>
        </w:tc>
        <w:tc>
          <w:tcPr>
            <w:tcW w:w="394" w:type="pct"/>
            <w:shd w:val="clear" w:color="auto" w:fill="auto"/>
            <w:noWrap/>
            <w:vAlign w:val="center"/>
            <w:hideMark/>
          </w:tcPr>
          <w:p w14:paraId="3CE89BCB" w14:textId="699CF7DF" w:rsidR="00C3599C" w:rsidRPr="009B1C7F" w:rsidRDefault="00C3599C" w:rsidP="009B1C7F">
            <w:pPr>
              <w:spacing w:after="0" w:line="240" w:lineRule="auto"/>
              <w:jc w:val="right"/>
              <w:rPr>
                <w:rFonts w:ascii="Century Gothic" w:eastAsia="Times New Roman" w:hAnsi="Century Gothic" w:cs="Calibri"/>
                <w:bCs/>
                <w:sz w:val="18"/>
                <w:szCs w:val="18"/>
              </w:rPr>
            </w:pPr>
            <w:r w:rsidRPr="009B1C7F">
              <w:rPr>
                <w:rFonts w:ascii="Century Gothic" w:eastAsia="Times New Roman" w:hAnsi="Century Gothic" w:cs="Calibri"/>
                <w:bCs/>
                <w:sz w:val="18"/>
                <w:szCs w:val="18"/>
              </w:rPr>
              <w:t xml:space="preserve">0 </w:t>
            </w:r>
          </w:p>
        </w:tc>
      </w:tr>
    </w:tbl>
    <w:p w14:paraId="18DC4826" w14:textId="45DB8701" w:rsidR="00C3599C" w:rsidRPr="00A439A1" w:rsidRDefault="009B1C7F" w:rsidP="009B1C7F">
      <w:pPr>
        <w:jc w:val="center"/>
        <w:rPr>
          <w:rFonts w:ascii="Century Gothic" w:hAnsi="Century Gothic"/>
          <w:sz w:val="20"/>
          <w:lang w:val="es-ES" w:eastAsia="en-US"/>
        </w:rPr>
      </w:pPr>
      <w:r w:rsidRPr="00A439A1">
        <w:rPr>
          <w:rFonts w:ascii="Century Gothic" w:hAnsi="Century Gothic"/>
          <w:sz w:val="20"/>
          <w:lang w:val="es-ES" w:eastAsia="en-US"/>
        </w:rPr>
        <w:t>Fuente: Secretaría de Hacienda, 2018</w:t>
      </w:r>
    </w:p>
    <w:p w14:paraId="3D4DF6B5" w14:textId="77777777" w:rsidR="003C01E5" w:rsidRPr="00A439A1" w:rsidRDefault="00F17097" w:rsidP="00A36864">
      <w:pPr>
        <w:pStyle w:val="Ttulo1"/>
        <w:jc w:val="both"/>
        <w:rPr>
          <w:b w:val="0"/>
          <w:lang w:val="es-ES"/>
        </w:rPr>
      </w:pPr>
      <w:bookmarkStart w:id="106" w:name="_Toc532565945"/>
      <w:r w:rsidRPr="00A439A1">
        <w:rPr>
          <w:b w:val="0"/>
          <w:lang w:val="es-ES"/>
        </w:rPr>
        <w:t xml:space="preserve">Metas de superávit primario, </w:t>
      </w:r>
      <w:r w:rsidR="00896530" w:rsidRPr="00A439A1">
        <w:rPr>
          <w:b w:val="0"/>
          <w:lang w:val="es-ES"/>
        </w:rPr>
        <w:t>nivel de deuda pública y análisis de sostenibilidad</w:t>
      </w:r>
      <w:r w:rsidR="00677466" w:rsidRPr="00A439A1">
        <w:rPr>
          <w:b w:val="0"/>
          <w:lang w:val="es-ES"/>
        </w:rPr>
        <w:t>.</w:t>
      </w:r>
      <w:bookmarkEnd w:id="106"/>
    </w:p>
    <w:p w14:paraId="72FE417C" w14:textId="77777777" w:rsidR="00677466" w:rsidRPr="00A439A1" w:rsidRDefault="00896530" w:rsidP="009931F5">
      <w:pPr>
        <w:pStyle w:val="Ttulo2"/>
        <w:rPr>
          <w:rStyle w:val="Ttulo2Car"/>
          <w:bCs/>
          <w:lang w:val="es-ES"/>
        </w:rPr>
      </w:pPr>
      <w:bookmarkStart w:id="107" w:name="_Toc532565946"/>
      <w:r w:rsidRPr="00A439A1">
        <w:rPr>
          <w:rStyle w:val="Ttulo2Car"/>
          <w:bCs/>
          <w:lang w:val="es-ES"/>
        </w:rPr>
        <w:t>Metas de superávit primario</w:t>
      </w:r>
      <w:r w:rsidR="00677466" w:rsidRPr="00A439A1">
        <w:rPr>
          <w:rStyle w:val="Ttulo2Car"/>
          <w:bCs/>
          <w:lang w:val="es-ES"/>
        </w:rPr>
        <w:t>.</w:t>
      </w:r>
      <w:bookmarkEnd w:id="107"/>
    </w:p>
    <w:p w14:paraId="4EEE259F" w14:textId="59D13B96" w:rsidR="008954F2" w:rsidRDefault="001B58B4" w:rsidP="00485156">
      <w:pPr>
        <w:jc w:val="both"/>
        <w:rPr>
          <w:rFonts w:ascii="Century Gothic" w:hAnsi="Century Gothic"/>
          <w:lang w:val="es-ES"/>
        </w:rPr>
      </w:pPr>
      <w:r w:rsidRPr="00A439A1">
        <w:rPr>
          <w:rFonts w:ascii="Century Gothic" w:hAnsi="Century Gothic"/>
          <w:lang w:val="es-ES"/>
        </w:rPr>
        <w:t xml:space="preserve">De acuerdo a lo establecido en la </w:t>
      </w:r>
      <w:r w:rsidR="00A439A1" w:rsidRPr="00A439A1">
        <w:rPr>
          <w:rFonts w:ascii="Century Gothic" w:hAnsi="Century Gothic"/>
          <w:lang w:val="es-ES"/>
        </w:rPr>
        <w:t xml:space="preserve">Ley </w:t>
      </w:r>
      <w:r w:rsidRPr="00A439A1">
        <w:rPr>
          <w:rFonts w:ascii="Century Gothic" w:hAnsi="Century Gothic"/>
          <w:lang w:val="es-ES"/>
        </w:rPr>
        <w:t xml:space="preserve">819 de 2003, se debe establecer las metas anuales de superávit primario, para determinar la sostenibilidad de la deuda, </w:t>
      </w:r>
      <w:r w:rsidR="00A439A1" w:rsidRPr="00A439A1">
        <w:rPr>
          <w:rFonts w:ascii="Century Gothic" w:hAnsi="Century Gothic"/>
          <w:lang w:val="es-ES"/>
        </w:rPr>
        <w:t>la misma</w:t>
      </w:r>
      <w:r w:rsidR="00D54630">
        <w:rPr>
          <w:rFonts w:ascii="Century Gothic" w:hAnsi="Century Gothic"/>
          <w:lang w:val="es-ES"/>
        </w:rPr>
        <w:t>,</w:t>
      </w:r>
      <w:r w:rsidR="00A439A1" w:rsidRPr="00A439A1">
        <w:rPr>
          <w:rFonts w:ascii="Century Gothic" w:hAnsi="Century Gothic"/>
          <w:lang w:val="es-ES"/>
        </w:rPr>
        <w:t xml:space="preserve"> </w:t>
      </w:r>
      <w:r w:rsidRPr="00A439A1">
        <w:rPr>
          <w:rFonts w:ascii="Century Gothic" w:hAnsi="Century Gothic"/>
          <w:lang w:val="es-ES"/>
        </w:rPr>
        <w:t>se realiza en un escenario de diez años, encontrando que para la vigencia 2019 se presenta un d</w:t>
      </w:r>
      <w:r w:rsidR="00A439A1" w:rsidRPr="00A439A1">
        <w:rPr>
          <w:rFonts w:ascii="Century Gothic" w:hAnsi="Century Gothic"/>
          <w:lang w:val="es-ES"/>
        </w:rPr>
        <w:t>éficit primario por valor de $9.</w:t>
      </w:r>
      <w:r w:rsidRPr="00A439A1">
        <w:rPr>
          <w:rFonts w:ascii="Century Gothic" w:hAnsi="Century Gothic"/>
          <w:lang w:val="es-ES"/>
        </w:rPr>
        <w:t xml:space="preserve">682 millones de pesos, </w:t>
      </w:r>
      <w:r w:rsidR="00A439A1" w:rsidRPr="00A439A1">
        <w:rPr>
          <w:rFonts w:ascii="Century Gothic" w:hAnsi="Century Gothic"/>
          <w:lang w:val="es-ES"/>
        </w:rPr>
        <w:t>esto indica que los recursos para cubrir los intereses de la deuda contratada son insuficientes, sin embargo, a partir del año 2020 se observa que dicho déficit es compensado con superávit</w:t>
      </w:r>
      <w:r w:rsidRPr="00A439A1">
        <w:rPr>
          <w:rFonts w:ascii="Century Gothic" w:hAnsi="Century Gothic"/>
          <w:lang w:val="es-ES"/>
        </w:rPr>
        <w:t xml:space="preserve">. </w:t>
      </w:r>
      <w:r w:rsidR="00A439A1" w:rsidRPr="00A439A1">
        <w:rPr>
          <w:rFonts w:ascii="Century Gothic" w:hAnsi="Century Gothic"/>
          <w:lang w:val="es-ES"/>
        </w:rPr>
        <w:t xml:space="preserve">Al diligenciar </w:t>
      </w:r>
      <w:r w:rsidRPr="00A439A1">
        <w:rPr>
          <w:rFonts w:ascii="Century Gothic" w:hAnsi="Century Gothic"/>
          <w:lang w:val="es-ES"/>
        </w:rPr>
        <w:t>el formato del DNP, se observa que en los gastos de inversión se suman las cuotas partes, los bonos pensionales y el aporte al Fondo Nacional de Contingencias</w:t>
      </w:r>
      <w:r w:rsidR="0061114E" w:rsidRPr="00A439A1">
        <w:rPr>
          <w:rFonts w:ascii="Century Gothic" w:hAnsi="Century Gothic"/>
          <w:lang w:val="es-ES"/>
        </w:rPr>
        <w:t>.</w:t>
      </w:r>
    </w:p>
    <w:p w14:paraId="212635D5" w14:textId="6F9328DD" w:rsidR="00541BC1" w:rsidRPr="00ED1968" w:rsidRDefault="00541BC1" w:rsidP="0061114E">
      <w:pPr>
        <w:pStyle w:val="Epgrafe"/>
        <w:spacing w:after="0" w:line="276" w:lineRule="auto"/>
        <w:jc w:val="center"/>
        <w:rPr>
          <w:rFonts w:ascii="Century Gothic" w:hAnsi="Century Gothic"/>
          <w:b w:val="0"/>
          <w:color w:val="auto"/>
          <w:sz w:val="22"/>
          <w:szCs w:val="22"/>
          <w:lang w:val="es-ES"/>
        </w:rPr>
      </w:pPr>
      <w:bookmarkStart w:id="108" w:name="_Toc532570549"/>
      <w:r w:rsidRPr="00ED1968">
        <w:rPr>
          <w:rFonts w:ascii="Century Gothic" w:hAnsi="Century Gothic"/>
          <w:b w:val="0"/>
          <w:color w:val="auto"/>
          <w:sz w:val="22"/>
          <w:szCs w:val="22"/>
          <w:lang w:val="es-ES"/>
        </w:rPr>
        <w:t xml:space="preserve">Tabla </w:t>
      </w:r>
      <w:r w:rsidR="00A83A24" w:rsidRPr="00ED1968">
        <w:rPr>
          <w:rFonts w:ascii="Century Gothic" w:hAnsi="Century Gothic"/>
          <w:b w:val="0"/>
          <w:color w:val="auto"/>
          <w:sz w:val="22"/>
          <w:szCs w:val="22"/>
          <w:lang w:val="es-ES"/>
        </w:rPr>
        <w:fldChar w:fldCharType="begin"/>
      </w:r>
      <w:r w:rsidRPr="00ED1968">
        <w:rPr>
          <w:rFonts w:ascii="Century Gothic" w:hAnsi="Century Gothic"/>
          <w:b w:val="0"/>
          <w:color w:val="auto"/>
          <w:sz w:val="22"/>
          <w:szCs w:val="22"/>
          <w:lang w:val="es-ES"/>
        </w:rPr>
        <w:instrText xml:space="preserve"> SEQ Tabla \* ARABIC </w:instrText>
      </w:r>
      <w:r w:rsidR="00A83A24" w:rsidRPr="00ED1968">
        <w:rPr>
          <w:rFonts w:ascii="Century Gothic" w:hAnsi="Century Gothic"/>
          <w:b w:val="0"/>
          <w:color w:val="auto"/>
          <w:sz w:val="22"/>
          <w:szCs w:val="22"/>
          <w:lang w:val="es-ES"/>
        </w:rPr>
        <w:fldChar w:fldCharType="separate"/>
      </w:r>
      <w:r w:rsidR="00ED1968">
        <w:rPr>
          <w:rFonts w:ascii="Century Gothic" w:hAnsi="Century Gothic"/>
          <w:b w:val="0"/>
          <w:noProof/>
          <w:color w:val="auto"/>
          <w:sz w:val="22"/>
          <w:szCs w:val="22"/>
          <w:lang w:val="es-ES"/>
        </w:rPr>
        <w:t>58</w:t>
      </w:r>
      <w:r w:rsidR="00A83A24" w:rsidRPr="00ED1968">
        <w:rPr>
          <w:rFonts w:ascii="Century Gothic" w:hAnsi="Century Gothic"/>
          <w:b w:val="0"/>
          <w:color w:val="auto"/>
          <w:sz w:val="22"/>
          <w:szCs w:val="22"/>
          <w:lang w:val="es-ES"/>
        </w:rPr>
        <w:fldChar w:fldCharType="end"/>
      </w:r>
      <w:r w:rsidRPr="00ED1968">
        <w:rPr>
          <w:rFonts w:ascii="Century Gothic" w:hAnsi="Century Gothic"/>
          <w:b w:val="0"/>
          <w:color w:val="auto"/>
          <w:sz w:val="22"/>
          <w:szCs w:val="22"/>
          <w:lang w:val="es-ES"/>
        </w:rPr>
        <w:t>. Superávit primario</w:t>
      </w:r>
      <w:r w:rsidR="002B6BA6" w:rsidRPr="00ED1968">
        <w:rPr>
          <w:rFonts w:ascii="Century Gothic" w:hAnsi="Century Gothic"/>
          <w:b w:val="0"/>
          <w:color w:val="auto"/>
          <w:sz w:val="22"/>
          <w:szCs w:val="22"/>
          <w:lang w:val="es-ES"/>
        </w:rPr>
        <w:t xml:space="preserve">. </w:t>
      </w:r>
      <w:r w:rsidR="00904221" w:rsidRPr="00ED1968">
        <w:rPr>
          <w:rFonts w:ascii="Century Gothic" w:hAnsi="Century Gothic"/>
          <w:b w:val="0"/>
          <w:color w:val="auto"/>
          <w:sz w:val="22"/>
          <w:szCs w:val="22"/>
          <w:lang w:val="es-ES"/>
        </w:rPr>
        <w:t>Ley</w:t>
      </w:r>
      <w:r w:rsidR="002B6BA6" w:rsidRPr="00ED1968">
        <w:rPr>
          <w:rFonts w:ascii="Century Gothic" w:hAnsi="Century Gothic"/>
          <w:b w:val="0"/>
          <w:color w:val="auto"/>
          <w:sz w:val="22"/>
          <w:szCs w:val="22"/>
          <w:lang w:val="es-ES"/>
        </w:rPr>
        <w:t xml:space="preserve"> 819 de 2003 (millones</w:t>
      </w:r>
      <w:r w:rsidR="00877C43">
        <w:rPr>
          <w:rFonts w:ascii="Century Gothic" w:hAnsi="Century Gothic"/>
          <w:b w:val="0"/>
          <w:color w:val="auto"/>
          <w:sz w:val="22"/>
          <w:szCs w:val="22"/>
          <w:lang w:val="es-ES"/>
        </w:rPr>
        <w:t xml:space="preserve"> de pesos</w:t>
      </w:r>
      <w:r w:rsidR="002B6BA6" w:rsidRPr="00ED1968">
        <w:rPr>
          <w:rFonts w:ascii="Century Gothic" w:hAnsi="Century Gothic"/>
          <w:b w:val="0"/>
          <w:color w:val="auto"/>
          <w:sz w:val="22"/>
          <w:szCs w:val="22"/>
          <w:lang w:val="es-ES"/>
        </w:rPr>
        <w:t>)</w:t>
      </w:r>
      <w:bookmarkEnd w:id="1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0"/>
        <w:gridCol w:w="398"/>
        <w:gridCol w:w="398"/>
        <w:gridCol w:w="398"/>
        <w:gridCol w:w="398"/>
        <w:gridCol w:w="398"/>
        <w:gridCol w:w="398"/>
        <w:gridCol w:w="398"/>
        <w:gridCol w:w="398"/>
        <w:gridCol w:w="398"/>
        <w:gridCol w:w="398"/>
        <w:gridCol w:w="398"/>
      </w:tblGrid>
      <w:tr w:rsidR="001B58B4" w:rsidRPr="00ED1968" w14:paraId="3539C5BE" w14:textId="77777777" w:rsidTr="00BB1221">
        <w:trPr>
          <w:cantSplit/>
          <w:trHeight w:val="680"/>
          <w:tblHeader/>
        </w:trPr>
        <w:tc>
          <w:tcPr>
            <w:tcW w:w="0" w:type="auto"/>
            <w:shd w:val="clear" w:color="auto" w:fill="C2D69B" w:themeFill="accent3" w:themeFillTint="99"/>
            <w:vAlign w:val="center"/>
            <w:hideMark/>
          </w:tcPr>
          <w:p w14:paraId="48544632" w14:textId="666285C2" w:rsidR="001B58B4" w:rsidRPr="00BB1221" w:rsidRDefault="001B58B4" w:rsidP="00ED1968">
            <w:pPr>
              <w:spacing w:after="0" w:line="240" w:lineRule="auto"/>
              <w:jc w:val="center"/>
              <w:rPr>
                <w:rFonts w:ascii="Century Gothic" w:eastAsia="Times New Roman" w:hAnsi="Century Gothic" w:cs="Calibri"/>
                <w:b/>
                <w:bCs/>
                <w:sz w:val="20"/>
                <w:szCs w:val="20"/>
              </w:rPr>
            </w:pPr>
            <w:r w:rsidRPr="00BB1221">
              <w:rPr>
                <w:rFonts w:ascii="Century Gothic" w:eastAsia="Times New Roman" w:hAnsi="Century Gothic" w:cs="Calibri"/>
                <w:b/>
                <w:bCs/>
                <w:sz w:val="20"/>
                <w:szCs w:val="20"/>
              </w:rPr>
              <w:t>Superávit primario</w:t>
            </w:r>
          </w:p>
        </w:tc>
        <w:tc>
          <w:tcPr>
            <w:tcW w:w="0" w:type="auto"/>
            <w:shd w:val="clear" w:color="auto" w:fill="C2D69B" w:themeFill="accent3" w:themeFillTint="99"/>
            <w:textDirection w:val="btLr"/>
            <w:vAlign w:val="center"/>
            <w:hideMark/>
          </w:tcPr>
          <w:p w14:paraId="6415C494"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2019</w:t>
            </w:r>
          </w:p>
        </w:tc>
        <w:tc>
          <w:tcPr>
            <w:tcW w:w="0" w:type="auto"/>
            <w:shd w:val="clear" w:color="auto" w:fill="C2D69B" w:themeFill="accent3" w:themeFillTint="99"/>
            <w:textDirection w:val="btLr"/>
            <w:vAlign w:val="center"/>
            <w:hideMark/>
          </w:tcPr>
          <w:p w14:paraId="3223487E"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2020</w:t>
            </w:r>
          </w:p>
        </w:tc>
        <w:tc>
          <w:tcPr>
            <w:tcW w:w="0" w:type="auto"/>
            <w:shd w:val="clear" w:color="auto" w:fill="C2D69B" w:themeFill="accent3" w:themeFillTint="99"/>
            <w:textDirection w:val="btLr"/>
            <w:vAlign w:val="center"/>
            <w:hideMark/>
          </w:tcPr>
          <w:p w14:paraId="0EA0E4BD"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2021</w:t>
            </w:r>
          </w:p>
        </w:tc>
        <w:tc>
          <w:tcPr>
            <w:tcW w:w="0" w:type="auto"/>
            <w:shd w:val="clear" w:color="auto" w:fill="C2D69B" w:themeFill="accent3" w:themeFillTint="99"/>
            <w:textDirection w:val="btLr"/>
            <w:vAlign w:val="center"/>
            <w:hideMark/>
          </w:tcPr>
          <w:p w14:paraId="4D73EDC4"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2022</w:t>
            </w:r>
          </w:p>
        </w:tc>
        <w:tc>
          <w:tcPr>
            <w:tcW w:w="0" w:type="auto"/>
            <w:shd w:val="clear" w:color="auto" w:fill="C2D69B" w:themeFill="accent3" w:themeFillTint="99"/>
            <w:textDirection w:val="btLr"/>
            <w:vAlign w:val="center"/>
            <w:hideMark/>
          </w:tcPr>
          <w:p w14:paraId="73756080"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2023</w:t>
            </w:r>
          </w:p>
        </w:tc>
        <w:tc>
          <w:tcPr>
            <w:tcW w:w="0" w:type="auto"/>
            <w:shd w:val="clear" w:color="auto" w:fill="C2D69B" w:themeFill="accent3" w:themeFillTint="99"/>
            <w:textDirection w:val="btLr"/>
            <w:vAlign w:val="center"/>
            <w:hideMark/>
          </w:tcPr>
          <w:p w14:paraId="790408B4"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2024</w:t>
            </w:r>
          </w:p>
        </w:tc>
        <w:tc>
          <w:tcPr>
            <w:tcW w:w="0" w:type="auto"/>
            <w:shd w:val="clear" w:color="auto" w:fill="C2D69B" w:themeFill="accent3" w:themeFillTint="99"/>
            <w:textDirection w:val="btLr"/>
            <w:vAlign w:val="center"/>
            <w:hideMark/>
          </w:tcPr>
          <w:p w14:paraId="2ACEEB7C"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2025</w:t>
            </w:r>
          </w:p>
        </w:tc>
        <w:tc>
          <w:tcPr>
            <w:tcW w:w="0" w:type="auto"/>
            <w:shd w:val="clear" w:color="auto" w:fill="C2D69B" w:themeFill="accent3" w:themeFillTint="99"/>
            <w:textDirection w:val="btLr"/>
            <w:vAlign w:val="center"/>
            <w:hideMark/>
          </w:tcPr>
          <w:p w14:paraId="5F2CC4E5"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2026</w:t>
            </w:r>
          </w:p>
        </w:tc>
        <w:tc>
          <w:tcPr>
            <w:tcW w:w="0" w:type="auto"/>
            <w:shd w:val="clear" w:color="auto" w:fill="C2D69B" w:themeFill="accent3" w:themeFillTint="99"/>
            <w:textDirection w:val="btLr"/>
            <w:vAlign w:val="center"/>
            <w:hideMark/>
          </w:tcPr>
          <w:p w14:paraId="538A5EA8"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2027</w:t>
            </w:r>
          </w:p>
        </w:tc>
        <w:tc>
          <w:tcPr>
            <w:tcW w:w="0" w:type="auto"/>
            <w:shd w:val="clear" w:color="auto" w:fill="C2D69B" w:themeFill="accent3" w:themeFillTint="99"/>
            <w:textDirection w:val="btLr"/>
            <w:vAlign w:val="center"/>
            <w:hideMark/>
          </w:tcPr>
          <w:p w14:paraId="7E5E2839"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2028</w:t>
            </w:r>
          </w:p>
        </w:tc>
        <w:tc>
          <w:tcPr>
            <w:tcW w:w="0" w:type="auto"/>
            <w:shd w:val="clear" w:color="auto" w:fill="C2D69B" w:themeFill="accent3" w:themeFillTint="99"/>
            <w:textDirection w:val="btLr"/>
            <w:vAlign w:val="center"/>
            <w:hideMark/>
          </w:tcPr>
          <w:p w14:paraId="7D3A00B3" w14:textId="77777777" w:rsidR="001B58B4" w:rsidRPr="00ED1968" w:rsidRDefault="001B58B4" w:rsidP="005F2558">
            <w:pPr>
              <w:spacing w:after="0" w:line="240" w:lineRule="auto"/>
              <w:ind w:left="113" w:right="113"/>
              <w:jc w:val="center"/>
              <w:rPr>
                <w:rFonts w:ascii="Century Gothic" w:eastAsia="Times New Roman" w:hAnsi="Century Gothic" w:cs="Calibri"/>
                <w:b/>
                <w:bCs/>
                <w:sz w:val="20"/>
                <w:szCs w:val="20"/>
              </w:rPr>
            </w:pPr>
            <w:r w:rsidRPr="00ED1968">
              <w:rPr>
                <w:rFonts w:ascii="Century Gothic" w:eastAsia="Times New Roman" w:hAnsi="Century Gothic" w:cs="Calibri"/>
                <w:b/>
                <w:bCs/>
                <w:sz w:val="20"/>
                <w:szCs w:val="20"/>
              </w:rPr>
              <w:t>2029</w:t>
            </w:r>
          </w:p>
        </w:tc>
      </w:tr>
      <w:tr w:rsidR="001B58B4" w:rsidRPr="00ED1968" w14:paraId="04F35E73" w14:textId="77777777" w:rsidTr="00BB1221">
        <w:trPr>
          <w:cantSplit/>
          <w:trHeight w:val="1134"/>
        </w:trPr>
        <w:tc>
          <w:tcPr>
            <w:tcW w:w="0" w:type="auto"/>
            <w:shd w:val="clear" w:color="auto" w:fill="C2D69B" w:themeFill="accent3" w:themeFillTint="99"/>
            <w:vAlign w:val="center"/>
            <w:hideMark/>
          </w:tcPr>
          <w:p w14:paraId="0463E777" w14:textId="0B923562" w:rsidR="001B58B4" w:rsidRPr="00BB1221" w:rsidRDefault="001B58B4" w:rsidP="005F2558">
            <w:pPr>
              <w:spacing w:after="0" w:line="240" w:lineRule="auto"/>
              <w:rPr>
                <w:rFonts w:ascii="Century Gothic" w:eastAsia="Times New Roman" w:hAnsi="Century Gothic" w:cs="Calibri"/>
                <w:b/>
                <w:sz w:val="20"/>
                <w:szCs w:val="20"/>
              </w:rPr>
            </w:pPr>
            <w:r w:rsidRPr="00BB1221">
              <w:rPr>
                <w:rFonts w:ascii="Century Gothic" w:eastAsia="Times New Roman" w:hAnsi="Century Gothic" w:cs="Calibri"/>
                <w:b/>
                <w:sz w:val="20"/>
                <w:szCs w:val="20"/>
              </w:rPr>
              <w:t>Ingresos corrientes</w:t>
            </w:r>
          </w:p>
        </w:tc>
        <w:tc>
          <w:tcPr>
            <w:tcW w:w="0" w:type="auto"/>
            <w:shd w:val="clear" w:color="auto" w:fill="auto"/>
            <w:noWrap/>
            <w:textDirection w:val="btLr"/>
            <w:vAlign w:val="center"/>
            <w:hideMark/>
          </w:tcPr>
          <w:p w14:paraId="07B360C1" w14:textId="02808774"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628.</w:t>
            </w:r>
            <w:r w:rsidR="001B58B4" w:rsidRPr="00ED1968">
              <w:rPr>
                <w:rFonts w:ascii="Century Gothic" w:eastAsia="Times New Roman" w:hAnsi="Century Gothic" w:cs="Calibri"/>
                <w:color w:val="000000"/>
                <w:sz w:val="20"/>
                <w:szCs w:val="20"/>
              </w:rPr>
              <w:t xml:space="preserve">383 </w:t>
            </w:r>
          </w:p>
        </w:tc>
        <w:tc>
          <w:tcPr>
            <w:tcW w:w="0" w:type="auto"/>
            <w:shd w:val="clear" w:color="auto" w:fill="auto"/>
            <w:noWrap/>
            <w:textDirection w:val="btLr"/>
            <w:vAlign w:val="center"/>
            <w:hideMark/>
          </w:tcPr>
          <w:p w14:paraId="07937926" w14:textId="7EFC3500"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668.</w:t>
            </w:r>
            <w:r w:rsidR="001B58B4" w:rsidRPr="00ED1968">
              <w:rPr>
                <w:rFonts w:ascii="Century Gothic" w:eastAsia="Times New Roman" w:hAnsi="Century Gothic" w:cs="Calibri"/>
                <w:color w:val="000000"/>
                <w:sz w:val="20"/>
                <w:szCs w:val="20"/>
              </w:rPr>
              <w:t xml:space="preserve">619 </w:t>
            </w:r>
          </w:p>
        </w:tc>
        <w:tc>
          <w:tcPr>
            <w:tcW w:w="0" w:type="auto"/>
            <w:shd w:val="clear" w:color="auto" w:fill="auto"/>
            <w:noWrap/>
            <w:textDirection w:val="btLr"/>
            <w:vAlign w:val="center"/>
            <w:hideMark/>
          </w:tcPr>
          <w:p w14:paraId="3F9B60A6" w14:textId="21C16C7F"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709.</w:t>
            </w:r>
            <w:r w:rsidR="001B58B4" w:rsidRPr="00ED1968">
              <w:rPr>
                <w:rFonts w:ascii="Century Gothic" w:eastAsia="Times New Roman" w:hAnsi="Century Gothic" w:cs="Calibri"/>
                <w:color w:val="000000"/>
                <w:sz w:val="20"/>
                <w:szCs w:val="20"/>
              </w:rPr>
              <w:t xml:space="preserve">681 </w:t>
            </w:r>
          </w:p>
        </w:tc>
        <w:tc>
          <w:tcPr>
            <w:tcW w:w="0" w:type="auto"/>
            <w:shd w:val="clear" w:color="auto" w:fill="auto"/>
            <w:noWrap/>
            <w:textDirection w:val="btLr"/>
            <w:vAlign w:val="center"/>
            <w:hideMark/>
          </w:tcPr>
          <w:p w14:paraId="46D7A2D6" w14:textId="598CF765"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755.</w:t>
            </w:r>
            <w:r w:rsidR="001B58B4" w:rsidRPr="00ED1968">
              <w:rPr>
                <w:rFonts w:ascii="Century Gothic" w:eastAsia="Times New Roman" w:hAnsi="Century Gothic" w:cs="Calibri"/>
                <w:color w:val="000000"/>
                <w:sz w:val="20"/>
                <w:szCs w:val="20"/>
              </w:rPr>
              <w:t xml:space="preserve">384 </w:t>
            </w:r>
          </w:p>
        </w:tc>
        <w:tc>
          <w:tcPr>
            <w:tcW w:w="0" w:type="auto"/>
            <w:shd w:val="clear" w:color="auto" w:fill="auto"/>
            <w:noWrap/>
            <w:textDirection w:val="btLr"/>
            <w:vAlign w:val="center"/>
            <w:hideMark/>
          </w:tcPr>
          <w:p w14:paraId="598EC01C" w14:textId="58D265DE"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806.</w:t>
            </w:r>
            <w:r w:rsidR="001B58B4" w:rsidRPr="00ED1968">
              <w:rPr>
                <w:rFonts w:ascii="Century Gothic" w:eastAsia="Times New Roman" w:hAnsi="Century Gothic" w:cs="Calibri"/>
                <w:color w:val="000000"/>
                <w:sz w:val="20"/>
                <w:szCs w:val="20"/>
              </w:rPr>
              <w:t xml:space="preserve">860 </w:t>
            </w:r>
          </w:p>
        </w:tc>
        <w:tc>
          <w:tcPr>
            <w:tcW w:w="0" w:type="auto"/>
            <w:shd w:val="clear" w:color="auto" w:fill="auto"/>
            <w:noWrap/>
            <w:textDirection w:val="btLr"/>
            <w:vAlign w:val="center"/>
            <w:hideMark/>
          </w:tcPr>
          <w:p w14:paraId="546CE03E" w14:textId="147AC5FE"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864.</w:t>
            </w:r>
            <w:r w:rsidR="001B58B4" w:rsidRPr="00ED1968">
              <w:rPr>
                <w:rFonts w:ascii="Century Gothic" w:eastAsia="Times New Roman" w:hAnsi="Century Gothic" w:cs="Calibri"/>
                <w:color w:val="000000"/>
                <w:sz w:val="20"/>
                <w:szCs w:val="20"/>
              </w:rPr>
              <w:t xml:space="preserve">218 </w:t>
            </w:r>
          </w:p>
        </w:tc>
        <w:tc>
          <w:tcPr>
            <w:tcW w:w="0" w:type="auto"/>
            <w:shd w:val="clear" w:color="auto" w:fill="auto"/>
            <w:noWrap/>
            <w:textDirection w:val="btLr"/>
            <w:vAlign w:val="center"/>
            <w:hideMark/>
          </w:tcPr>
          <w:p w14:paraId="6FE37DD7" w14:textId="7563DD6C"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928.</w:t>
            </w:r>
            <w:r w:rsidR="001B58B4" w:rsidRPr="00ED1968">
              <w:rPr>
                <w:rFonts w:ascii="Century Gothic" w:eastAsia="Times New Roman" w:hAnsi="Century Gothic" w:cs="Calibri"/>
                <w:color w:val="000000"/>
                <w:sz w:val="20"/>
                <w:szCs w:val="20"/>
              </w:rPr>
              <w:t xml:space="preserve">788 </w:t>
            </w:r>
          </w:p>
        </w:tc>
        <w:tc>
          <w:tcPr>
            <w:tcW w:w="0" w:type="auto"/>
            <w:shd w:val="clear" w:color="auto" w:fill="auto"/>
            <w:noWrap/>
            <w:textDirection w:val="btLr"/>
            <w:vAlign w:val="center"/>
            <w:hideMark/>
          </w:tcPr>
          <w:p w14:paraId="055FA0B6" w14:textId="360E46A2"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1.000.</w:t>
            </w:r>
            <w:r w:rsidR="001B58B4" w:rsidRPr="00ED1968">
              <w:rPr>
                <w:rFonts w:ascii="Century Gothic" w:eastAsia="Times New Roman" w:hAnsi="Century Gothic" w:cs="Calibri"/>
                <w:color w:val="000000"/>
                <w:sz w:val="20"/>
                <w:szCs w:val="20"/>
              </w:rPr>
              <w:t xml:space="preserve">877 </w:t>
            </w:r>
          </w:p>
        </w:tc>
        <w:tc>
          <w:tcPr>
            <w:tcW w:w="0" w:type="auto"/>
            <w:shd w:val="clear" w:color="auto" w:fill="auto"/>
            <w:noWrap/>
            <w:textDirection w:val="btLr"/>
            <w:vAlign w:val="center"/>
            <w:hideMark/>
          </w:tcPr>
          <w:p w14:paraId="40A5267B" w14:textId="2B085EDC" w:rsidR="001B58B4" w:rsidRPr="00ED1968" w:rsidRDefault="001B58B4" w:rsidP="00BB1221">
            <w:pPr>
              <w:spacing w:after="0" w:line="240" w:lineRule="auto"/>
              <w:ind w:left="113" w:right="113"/>
              <w:jc w:val="right"/>
              <w:rPr>
                <w:rFonts w:ascii="Century Gothic" w:eastAsia="Times New Roman" w:hAnsi="Century Gothic" w:cs="Calibri"/>
                <w:color w:val="000000"/>
                <w:sz w:val="20"/>
                <w:szCs w:val="20"/>
              </w:rPr>
            </w:pPr>
            <w:r w:rsidRPr="00ED1968">
              <w:rPr>
                <w:rFonts w:ascii="Century Gothic" w:eastAsia="Times New Roman" w:hAnsi="Century Gothic" w:cs="Calibri"/>
                <w:color w:val="000000"/>
                <w:sz w:val="20"/>
                <w:szCs w:val="20"/>
              </w:rPr>
              <w:t>1</w:t>
            </w:r>
            <w:r w:rsidR="00ED1968">
              <w:rPr>
                <w:rFonts w:ascii="Century Gothic" w:eastAsia="Times New Roman" w:hAnsi="Century Gothic" w:cs="Calibri"/>
                <w:color w:val="000000"/>
                <w:sz w:val="20"/>
                <w:szCs w:val="20"/>
              </w:rPr>
              <w:t>.081.</w:t>
            </w:r>
            <w:r w:rsidRPr="00ED1968">
              <w:rPr>
                <w:rFonts w:ascii="Century Gothic" w:eastAsia="Times New Roman" w:hAnsi="Century Gothic" w:cs="Calibri"/>
                <w:color w:val="000000"/>
                <w:sz w:val="20"/>
                <w:szCs w:val="20"/>
              </w:rPr>
              <w:t xml:space="preserve">502 </w:t>
            </w:r>
          </w:p>
        </w:tc>
        <w:tc>
          <w:tcPr>
            <w:tcW w:w="0" w:type="auto"/>
            <w:shd w:val="clear" w:color="auto" w:fill="auto"/>
            <w:noWrap/>
            <w:textDirection w:val="btLr"/>
            <w:vAlign w:val="center"/>
            <w:hideMark/>
          </w:tcPr>
          <w:p w14:paraId="1AC217A6" w14:textId="118C02B9"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1.171.</w:t>
            </w:r>
            <w:r w:rsidR="001B58B4" w:rsidRPr="00ED1968">
              <w:rPr>
                <w:rFonts w:ascii="Century Gothic" w:eastAsia="Times New Roman" w:hAnsi="Century Gothic" w:cs="Calibri"/>
                <w:color w:val="000000"/>
                <w:sz w:val="20"/>
                <w:szCs w:val="20"/>
              </w:rPr>
              <w:t xml:space="preserve">815 </w:t>
            </w:r>
          </w:p>
        </w:tc>
        <w:tc>
          <w:tcPr>
            <w:tcW w:w="0" w:type="auto"/>
            <w:shd w:val="clear" w:color="auto" w:fill="auto"/>
            <w:noWrap/>
            <w:textDirection w:val="btLr"/>
            <w:vAlign w:val="center"/>
            <w:hideMark/>
          </w:tcPr>
          <w:p w14:paraId="2312026A" w14:textId="49F38D60"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1.273.</w:t>
            </w:r>
            <w:r w:rsidR="001B58B4" w:rsidRPr="00ED1968">
              <w:rPr>
                <w:rFonts w:ascii="Century Gothic" w:eastAsia="Times New Roman" w:hAnsi="Century Gothic" w:cs="Calibri"/>
                <w:color w:val="000000"/>
                <w:sz w:val="20"/>
                <w:szCs w:val="20"/>
              </w:rPr>
              <w:t xml:space="preserve">145 </w:t>
            </w:r>
          </w:p>
        </w:tc>
      </w:tr>
      <w:tr w:rsidR="001B58B4" w:rsidRPr="00ED1968" w14:paraId="15A16895" w14:textId="77777777" w:rsidTr="00BB1221">
        <w:trPr>
          <w:cantSplit/>
          <w:trHeight w:val="947"/>
        </w:trPr>
        <w:tc>
          <w:tcPr>
            <w:tcW w:w="0" w:type="auto"/>
            <w:shd w:val="clear" w:color="auto" w:fill="C2D69B" w:themeFill="accent3" w:themeFillTint="99"/>
            <w:vAlign w:val="center"/>
            <w:hideMark/>
          </w:tcPr>
          <w:p w14:paraId="077B0F43" w14:textId="16EF0173" w:rsidR="001B58B4" w:rsidRPr="00BB1221" w:rsidRDefault="001B58B4" w:rsidP="005F2558">
            <w:pPr>
              <w:spacing w:after="0" w:line="240" w:lineRule="auto"/>
              <w:rPr>
                <w:rFonts w:ascii="Century Gothic" w:eastAsia="Times New Roman" w:hAnsi="Century Gothic" w:cs="Calibri"/>
                <w:b/>
                <w:sz w:val="20"/>
                <w:szCs w:val="20"/>
              </w:rPr>
            </w:pPr>
            <w:r w:rsidRPr="00BB1221">
              <w:rPr>
                <w:rFonts w:ascii="Century Gothic" w:eastAsia="Times New Roman" w:hAnsi="Century Gothic" w:cs="Calibri"/>
                <w:b/>
                <w:sz w:val="20"/>
                <w:szCs w:val="20"/>
              </w:rPr>
              <w:t>Recursos de capital</w:t>
            </w:r>
          </w:p>
        </w:tc>
        <w:tc>
          <w:tcPr>
            <w:tcW w:w="0" w:type="auto"/>
            <w:shd w:val="clear" w:color="auto" w:fill="auto"/>
            <w:noWrap/>
            <w:textDirection w:val="btLr"/>
            <w:vAlign w:val="center"/>
            <w:hideMark/>
          </w:tcPr>
          <w:p w14:paraId="17053AA2" w14:textId="04A381D2"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137.</w:t>
            </w:r>
            <w:r w:rsidR="001B58B4" w:rsidRPr="00ED1968">
              <w:rPr>
                <w:rFonts w:ascii="Century Gothic" w:eastAsia="Times New Roman" w:hAnsi="Century Gothic" w:cs="Calibri"/>
                <w:color w:val="000000"/>
                <w:sz w:val="20"/>
                <w:szCs w:val="20"/>
              </w:rPr>
              <w:t xml:space="preserve">614 </w:t>
            </w:r>
          </w:p>
        </w:tc>
        <w:tc>
          <w:tcPr>
            <w:tcW w:w="0" w:type="auto"/>
            <w:shd w:val="clear" w:color="auto" w:fill="auto"/>
            <w:noWrap/>
            <w:textDirection w:val="btLr"/>
            <w:vAlign w:val="center"/>
            <w:hideMark/>
          </w:tcPr>
          <w:p w14:paraId="3EA722A8" w14:textId="07F54E75"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53.</w:t>
            </w:r>
            <w:r w:rsidR="001B58B4" w:rsidRPr="00ED1968">
              <w:rPr>
                <w:rFonts w:ascii="Century Gothic" w:eastAsia="Times New Roman" w:hAnsi="Century Gothic" w:cs="Calibri"/>
                <w:color w:val="000000"/>
                <w:sz w:val="20"/>
                <w:szCs w:val="20"/>
              </w:rPr>
              <w:t xml:space="preserve">299 </w:t>
            </w:r>
          </w:p>
        </w:tc>
        <w:tc>
          <w:tcPr>
            <w:tcW w:w="0" w:type="auto"/>
            <w:shd w:val="clear" w:color="auto" w:fill="auto"/>
            <w:noWrap/>
            <w:textDirection w:val="btLr"/>
            <w:vAlign w:val="center"/>
            <w:hideMark/>
          </w:tcPr>
          <w:p w14:paraId="2CE95DA6" w14:textId="1B80C769"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31.</w:t>
            </w:r>
            <w:r w:rsidR="001B58B4" w:rsidRPr="00ED1968">
              <w:rPr>
                <w:rFonts w:ascii="Century Gothic" w:eastAsia="Times New Roman" w:hAnsi="Century Gothic" w:cs="Calibri"/>
                <w:color w:val="000000"/>
                <w:sz w:val="20"/>
                <w:szCs w:val="20"/>
              </w:rPr>
              <w:t xml:space="preserve">389 </w:t>
            </w:r>
          </w:p>
        </w:tc>
        <w:tc>
          <w:tcPr>
            <w:tcW w:w="0" w:type="auto"/>
            <w:shd w:val="clear" w:color="auto" w:fill="auto"/>
            <w:noWrap/>
            <w:textDirection w:val="btLr"/>
            <w:vAlign w:val="center"/>
            <w:hideMark/>
          </w:tcPr>
          <w:p w14:paraId="0FBA823F" w14:textId="50F1F6A2"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31.</w:t>
            </w:r>
            <w:r w:rsidR="001B58B4" w:rsidRPr="00ED1968">
              <w:rPr>
                <w:rFonts w:ascii="Century Gothic" w:eastAsia="Times New Roman" w:hAnsi="Century Gothic" w:cs="Calibri"/>
                <w:color w:val="000000"/>
                <w:sz w:val="20"/>
                <w:szCs w:val="20"/>
              </w:rPr>
              <w:t xml:space="preserve">634 </w:t>
            </w:r>
          </w:p>
        </w:tc>
        <w:tc>
          <w:tcPr>
            <w:tcW w:w="0" w:type="auto"/>
            <w:shd w:val="clear" w:color="auto" w:fill="auto"/>
            <w:noWrap/>
            <w:textDirection w:val="btLr"/>
            <w:vAlign w:val="center"/>
            <w:hideMark/>
          </w:tcPr>
          <w:p w14:paraId="012375AB" w14:textId="1DCFBD68"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32.</w:t>
            </w:r>
            <w:r w:rsidR="001B58B4" w:rsidRPr="00ED1968">
              <w:rPr>
                <w:rFonts w:ascii="Century Gothic" w:eastAsia="Times New Roman" w:hAnsi="Century Gothic" w:cs="Calibri"/>
                <w:color w:val="000000"/>
                <w:sz w:val="20"/>
                <w:szCs w:val="20"/>
              </w:rPr>
              <w:t xml:space="preserve">189 </w:t>
            </w:r>
          </w:p>
        </w:tc>
        <w:tc>
          <w:tcPr>
            <w:tcW w:w="0" w:type="auto"/>
            <w:shd w:val="clear" w:color="auto" w:fill="auto"/>
            <w:noWrap/>
            <w:textDirection w:val="btLr"/>
            <w:vAlign w:val="center"/>
            <w:hideMark/>
          </w:tcPr>
          <w:p w14:paraId="4865DF3D" w14:textId="2477D3E9"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32.</w:t>
            </w:r>
            <w:r w:rsidR="001B58B4" w:rsidRPr="00ED1968">
              <w:rPr>
                <w:rFonts w:ascii="Century Gothic" w:eastAsia="Times New Roman" w:hAnsi="Century Gothic" w:cs="Calibri"/>
                <w:color w:val="000000"/>
                <w:sz w:val="20"/>
                <w:szCs w:val="20"/>
              </w:rPr>
              <w:t xml:space="preserve">779 </w:t>
            </w:r>
          </w:p>
        </w:tc>
        <w:tc>
          <w:tcPr>
            <w:tcW w:w="0" w:type="auto"/>
            <w:shd w:val="clear" w:color="auto" w:fill="auto"/>
            <w:noWrap/>
            <w:textDirection w:val="btLr"/>
            <w:vAlign w:val="center"/>
            <w:hideMark/>
          </w:tcPr>
          <w:p w14:paraId="0731F0E5" w14:textId="76EBBC2E"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33.</w:t>
            </w:r>
            <w:r w:rsidR="001B58B4" w:rsidRPr="00ED1968">
              <w:rPr>
                <w:rFonts w:ascii="Century Gothic" w:eastAsia="Times New Roman" w:hAnsi="Century Gothic" w:cs="Calibri"/>
                <w:color w:val="000000"/>
                <w:sz w:val="20"/>
                <w:szCs w:val="20"/>
              </w:rPr>
              <w:t xml:space="preserve">371 </w:t>
            </w:r>
          </w:p>
        </w:tc>
        <w:tc>
          <w:tcPr>
            <w:tcW w:w="0" w:type="auto"/>
            <w:shd w:val="clear" w:color="auto" w:fill="auto"/>
            <w:noWrap/>
            <w:textDirection w:val="btLr"/>
            <w:vAlign w:val="center"/>
            <w:hideMark/>
          </w:tcPr>
          <w:p w14:paraId="21F335F1" w14:textId="6525BC66"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33.</w:t>
            </w:r>
            <w:r w:rsidR="001B58B4" w:rsidRPr="00ED1968">
              <w:rPr>
                <w:rFonts w:ascii="Century Gothic" w:eastAsia="Times New Roman" w:hAnsi="Century Gothic" w:cs="Calibri"/>
                <w:color w:val="000000"/>
                <w:sz w:val="20"/>
                <w:szCs w:val="20"/>
              </w:rPr>
              <w:t xml:space="preserve">949 </w:t>
            </w:r>
          </w:p>
        </w:tc>
        <w:tc>
          <w:tcPr>
            <w:tcW w:w="0" w:type="auto"/>
            <w:shd w:val="clear" w:color="auto" w:fill="auto"/>
            <w:noWrap/>
            <w:textDirection w:val="btLr"/>
            <w:vAlign w:val="center"/>
            <w:hideMark/>
          </w:tcPr>
          <w:p w14:paraId="0A693399" w14:textId="13A9AFA0"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34.</w:t>
            </w:r>
            <w:r w:rsidR="001B58B4" w:rsidRPr="00ED1968">
              <w:rPr>
                <w:rFonts w:ascii="Century Gothic" w:eastAsia="Times New Roman" w:hAnsi="Century Gothic" w:cs="Calibri"/>
                <w:color w:val="000000"/>
                <w:sz w:val="20"/>
                <w:szCs w:val="20"/>
              </w:rPr>
              <w:t xml:space="preserve">563 </w:t>
            </w:r>
          </w:p>
        </w:tc>
        <w:tc>
          <w:tcPr>
            <w:tcW w:w="0" w:type="auto"/>
            <w:shd w:val="clear" w:color="auto" w:fill="auto"/>
            <w:noWrap/>
            <w:textDirection w:val="btLr"/>
            <w:vAlign w:val="center"/>
            <w:hideMark/>
          </w:tcPr>
          <w:p w14:paraId="00ED2E48" w14:textId="69FF4A80"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35.</w:t>
            </w:r>
            <w:r w:rsidR="001B58B4" w:rsidRPr="00ED1968">
              <w:rPr>
                <w:rFonts w:ascii="Century Gothic" w:eastAsia="Times New Roman" w:hAnsi="Century Gothic" w:cs="Calibri"/>
                <w:color w:val="000000"/>
                <w:sz w:val="20"/>
                <w:szCs w:val="20"/>
              </w:rPr>
              <w:t xml:space="preserve">197 </w:t>
            </w:r>
          </w:p>
        </w:tc>
        <w:tc>
          <w:tcPr>
            <w:tcW w:w="0" w:type="auto"/>
            <w:shd w:val="clear" w:color="auto" w:fill="auto"/>
            <w:noWrap/>
            <w:textDirection w:val="btLr"/>
            <w:vAlign w:val="center"/>
            <w:hideMark/>
          </w:tcPr>
          <w:p w14:paraId="26152E64" w14:textId="66F9862B"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35.</w:t>
            </w:r>
            <w:r w:rsidR="001B58B4" w:rsidRPr="00ED1968">
              <w:rPr>
                <w:rFonts w:ascii="Century Gothic" w:eastAsia="Times New Roman" w:hAnsi="Century Gothic" w:cs="Calibri"/>
                <w:color w:val="000000"/>
                <w:sz w:val="20"/>
                <w:szCs w:val="20"/>
              </w:rPr>
              <w:t xml:space="preserve">850 </w:t>
            </w:r>
          </w:p>
        </w:tc>
      </w:tr>
      <w:tr w:rsidR="001B58B4" w:rsidRPr="00ED1968" w14:paraId="5295D150" w14:textId="77777777" w:rsidTr="00BB1221">
        <w:trPr>
          <w:cantSplit/>
          <w:trHeight w:val="947"/>
        </w:trPr>
        <w:tc>
          <w:tcPr>
            <w:tcW w:w="0" w:type="auto"/>
            <w:shd w:val="clear" w:color="auto" w:fill="C2D69B" w:themeFill="accent3" w:themeFillTint="99"/>
            <w:vAlign w:val="center"/>
            <w:hideMark/>
          </w:tcPr>
          <w:p w14:paraId="6C35C839" w14:textId="1B569C79" w:rsidR="001B58B4" w:rsidRPr="00BB1221" w:rsidRDefault="001B58B4" w:rsidP="005F2558">
            <w:pPr>
              <w:spacing w:after="0" w:line="240" w:lineRule="auto"/>
              <w:rPr>
                <w:rFonts w:ascii="Century Gothic" w:eastAsia="Times New Roman" w:hAnsi="Century Gothic" w:cs="Calibri"/>
                <w:b/>
                <w:sz w:val="20"/>
                <w:szCs w:val="20"/>
              </w:rPr>
            </w:pPr>
            <w:r w:rsidRPr="00BB1221">
              <w:rPr>
                <w:rFonts w:ascii="Century Gothic" w:eastAsia="Times New Roman" w:hAnsi="Century Gothic" w:cs="Calibri"/>
                <w:b/>
                <w:sz w:val="20"/>
                <w:szCs w:val="20"/>
              </w:rPr>
              <w:lastRenderedPageBreak/>
              <w:t>Gastos de funcionamiento</w:t>
            </w:r>
          </w:p>
        </w:tc>
        <w:tc>
          <w:tcPr>
            <w:tcW w:w="0" w:type="auto"/>
            <w:shd w:val="clear" w:color="auto" w:fill="auto"/>
            <w:noWrap/>
            <w:textDirection w:val="btLr"/>
            <w:vAlign w:val="center"/>
            <w:hideMark/>
          </w:tcPr>
          <w:p w14:paraId="664F1BB8" w14:textId="46BD27D6"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69.</w:t>
            </w:r>
            <w:r w:rsidR="001B58B4" w:rsidRPr="00ED1968">
              <w:rPr>
                <w:rFonts w:ascii="Century Gothic" w:eastAsia="Times New Roman" w:hAnsi="Century Gothic" w:cs="Calibri"/>
                <w:color w:val="000000"/>
                <w:sz w:val="20"/>
                <w:szCs w:val="20"/>
              </w:rPr>
              <w:t xml:space="preserve">996 </w:t>
            </w:r>
          </w:p>
        </w:tc>
        <w:tc>
          <w:tcPr>
            <w:tcW w:w="0" w:type="auto"/>
            <w:shd w:val="clear" w:color="auto" w:fill="auto"/>
            <w:noWrap/>
            <w:textDirection w:val="btLr"/>
            <w:vAlign w:val="center"/>
            <w:hideMark/>
          </w:tcPr>
          <w:p w14:paraId="03E73E62" w14:textId="05A7284D"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73.</w:t>
            </w:r>
            <w:r w:rsidR="001B58B4" w:rsidRPr="00ED1968">
              <w:rPr>
                <w:rFonts w:ascii="Century Gothic" w:eastAsia="Times New Roman" w:hAnsi="Century Gothic" w:cs="Calibri"/>
                <w:color w:val="000000"/>
                <w:sz w:val="20"/>
                <w:szCs w:val="20"/>
              </w:rPr>
              <w:t xml:space="preserve">485 </w:t>
            </w:r>
          </w:p>
        </w:tc>
        <w:tc>
          <w:tcPr>
            <w:tcW w:w="0" w:type="auto"/>
            <w:shd w:val="clear" w:color="auto" w:fill="auto"/>
            <w:noWrap/>
            <w:textDirection w:val="btLr"/>
            <w:vAlign w:val="center"/>
            <w:hideMark/>
          </w:tcPr>
          <w:p w14:paraId="5950F597" w14:textId="3CF45C1F"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77.</w:t>
            </w:r>
            <w:r w:rsidR="001B58B4" w:rsidRPr="00ED1968">
              <w:rPr>
                <w:rFonts w:ascii="Century Gothic" w:eastAsia="Times New Roman" w:hAnsi="Century Gothic" w:cs="Calibri"/>
                <w:color w:val="000000"/>
                <w:sz w:val="20"/>
                <w:szCs w:val="20"/>
              </w:rPr>
              <w:t xml:space="preserve">214 </w:t>
            </w:r>
          </w:p>
        </w:tc>
        <w:tc>
          <w:tcPr>
            <w:tcW w:w="0" w:type="auto"/>
            <w:shd w:val="clear" w:color="auto" w:fill="auto"/>
            <w:noWrap/>
            <w:textDirection w:val="btLr"/>
            <w:vAlign w:val="center"/>
            <w:hideMark/>
          </w:tcPr>
          <w:p w14:paraId="11EA8058" w14:textId="5426EB3A"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81.</w:t>
            </w:r>
            <w:r w:rsidR="001B58B4" w:rsidRPr="00ED1968">
              <w:rPr>
                <w:rFonts w:ascii="Century Gothic" w:eastAsia="Times New Roman" w:hAnsi="Century Gothic" w:cs="Calibri"/>
                <w:color w:val="000000"/>
                <w:sz w:val="20"/>
                <w:szCs w:val="20"/>
              </w:rPr>
              <w:t xml:space="preserve">543 </w:t>
            </w:r>
          </w:p>
        </w:tc>
        <w:tc>
          <w:tcPr>
            <w:tcW w:w="0" w:type="auto"/>
            <w:shd w:val="clear" w:color="auto" w:fill="auto"/>
            <w:noWrap/>
            <w:textDirection w:val="btLr"/>
            <w:vAlign w:val="center"/>
            <w:hideMark/>
          </w:tcPr>
          <w:p w14:paraId="6C4A6551" w14:textId="67A46F58"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85.</w:t>
            </w:r>
            <w:r w:rsidR="001B58B4" w:rsidRPr="00ED1968">
              <w:rPr>
                <w:rFonts w:ascii="Century Gothic" w:eastAsia="Times New Roman" w:hAnsi="Century Gothic" w:cs="Calibri"/>
                <w:color w:val="000000"/>
                <w:sz w:val="20"/>
                <w:szCs w:val="20"/>
              </w:rPr>
              <w:t xml:space="preserve">962 </w:t>
            </w:r>
          </w:p>
        </w:tc>
        <w:tc>
          <w:tcPr>
            <w:tcW w:w="0" w:type="auto"/>
            <w:shd w:val="clear" w:color="auto" w:fill="auto"/>
            <w:noWrap/>
            <w:textDirection w:val="btLr"/>
            <w:vAlign w:val="center"/>
            <w:hideMark/>
          </w:tcPr>
          <w:p w14:paraId="7D1DBAD9" w14:textId="4DD3F505"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90.</w:t>
            </w:r>
            <w:r w:rsidR="001B58B4" w:rsidRPr="00ED1968">
              <w:rPr>
                <w:rFonts w:ascii="Century Gothic" w:eastAsia="Times New Roman" w:hAnsi="Century Gothic" w:cs="Calibri"/>
                <w:color w:val="000000"/>
                <w:sz w:val="20"/>
                <w:szCs w:val="20"/>
              </w:rPr>
              <w:t xml:space="preserve">372 </w:t>
            </w:r>
          </w:p>
        </w:tc>
        <w:tc>
          <w:tcPr>
            <w:tcW w:w="0" w:type="auto"/>
            <w:shd w:val="clear" w:color="auto" w:fill="auto"/>
            <w:noWrap/>
            <w:textDirection w:val="btLr"/>
            <w:vAlign w:val="center"/>
            <w:hideMark/>
          </w:tcPr>
          <w:p w14:paraId="789622B8" w14:textId="5C40E6CA"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95.</w:t>
            </w:r>
            <w:r w:rsidR="001B58B4" w:rsidRPr="00ED1968">
              <w:rPr>
                <w:rFonts w:ascii="Century Gothic" w:eastAsia="Times New Roman" w:hAnsi="Century Gothic" w:cs="Calibri"/>
                <w:color w:val="000000"/>
                <w:sz w:val="20"/>
                <w:szCs w:val="20"/>
              </w:rPr>
              <w:t xml:space="preserve">427 </w:t>
            </w:r>
          </w:p>
        </w:tc>
        <w:tc>
          <w:tcPr>
            <w:tcW w:w="0" w:type="auto"/>
            <w:shd w:val="clear" w:color="auto" w:fill="auto"/>
            <w:noWrap/>
            <w:textDirection w:val="btLr"/>
            <w:vAlign w:val="center"/>
            <w:hideMark/>
          </w:tcPr>
          <w:p w14:paraId="32BEF1D8" w14:textId="7E006A95"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100.</w:t>
            </w:r>
            <w:r w:rsidR="001B58B4" w:rsidRPr="00ED1968">
              <w:rPr>
                <w:rFonts w:ascii="Century Gothic" w:eastAsia="Times New Roman" w:hAnsi="Century Gothic" w:cs="Calibri"/>
                <w:color w:val="000000"/>
                <w:sz w:val="20"/>
                <w:szCs w:val="20"/>
              </w:rPr>
              <w:t xml:space="preserve">681 </w:t>
            </w:r>
          </w:p>
        </w:tc>
        <w:tc>
          <w:tcPr>
            <w:tcW w:w="0" w:type="auto"/>
            <w:shd w:val="clear" w:color="auto" w:fill="auto"/>
            <w:noWrap/>
            <w:textDirection w:val="btLr"/>
            <w:vAlign w:val="center"/>
            <w:hideMark/>
          </w:tcPr>
          <w:p w14:paraId="6250AED4" w14:textId="2C857446"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106.</w:t>
            </w:r>
            <w:r w:rsidR="001B58B4" w:rsidRPr="00ED1968">
              <w:rPr>
                <w:rFonts w:ascii="Century Gothic" w:eastAsia="Times New Roman" w:hAnsi="Century Gothic" w:cs="Calibri"/>
                <w:color w:val="000000"/>
                <w:sz w:val="20"/>
                <w:szCs w:val="20"/>
              </w:rPr>
              <w:t xml:space="preserve">564 </w:t>
            </w:r>
          </w:p>
        </w:tc>
        <w:tc>
          <w:tcPr>
            <w:tcW w:w="0" w:type="auto"/>
            <w:shd w:val="clear" w:color="auto" w:fill="auto"/>
            <w:noWrap/>
            <w:textDirection w:val="btLr"/>
            <w:vAlign w:val="center"/>
            <w:hideMark/>
          </w:tcPr>
          <w:p w14:paraId="4C4FE02B" w14:textId="45269E6D"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112.</w:t>
            </w:r>
            <w:r w:rsidR="001B58B4" w:rsidRPr="00ED1968">
              <w:rPr>
                <w:rFonts w:ascii="Century Gothic" w:eastAsia="Times New Roman" w:hAnsi="Century Gothic" w:cs="Calibri"/>
                <w:color w:val="000000"/>
                <w:sz w:val="20"/>
                <w:szCs w:val="20"/>
              </w:rPr>
              <w:t xml:space="preserve">525 </w:t>
            </w:r>
          </w:p>
        </w:tc>
        <w:tc>
          <w:tcPr>
            <w:tcW w:w="0" w:type="auto"/>
            <w:shd w:val="clear" w:color="auto" w:fill="auto"/>
            <w:noWrap/>
            <w:textDirection w:val="btLr"/>
            <w:vAlign w:val="center"/>
            <w:hideMark/>
          </w:tcPr>
          <w:p w14:paraId="2F57B3B4" w14:textId="779E92E5" w:rsidR="001B58B4" w:rsidRPr="00ED1968" w:rsidRDefault="001B58B4" w:rsidP="00BB1221">
            <w:pPr>
              <w:spacing w:after="0" w:line="240" w:lineRule="auto"/>
              <w:ind w:left="113" w:right="113"/>
              <w:jc w:val="right"/>
              <w:rPr>
                <w:rFonts w:ascii="Century Gothic" w:eastAsia="Times New Roman" w:hAnsi="Century Gothic" w:cs="Calibri"/>
                <w:color w:val="000000"/>
                <w:sz w:val="20"/>
                <w:szCs w:val="20"/>
              </w:rPr>
            </w:pPr>
            <w:r w:rsidRPr="00ED1968">
              <w:rPr>
                <w:rFonts w:ascii="Century Gothic" w:eastAsia="Times New Roman" w:hAnsi="Century Gothic" w:cs="Calibri"/>
                <w:color w:val="000000"/>
                <w:sz w:val="20"/>
                <w:szCs w:val="20"/>
              </w:rPr>
              <w:t>118</w:t>
            </w:r>
            <w:r w:rsidR="00ED1968">
              <w:rPr>
                <w:rFonts w:ascii="Century Gothic" w:eastAsia="Times New Roman" w:hAnsi="Century Gothic" w:cs="Calibri"/>
                <w:color w:val="000000"/>
                <w:sz w:val="20"/>
                <w:szCs w:val="20"/>
              </w:rPr>
              <w:t>.</w:t>
            </w:r>
            <w:r w:rsidRPr="00ED1968">
              <w:rPr>
                <w:rFonts w:ascii="Century Gothic" w:eastAsia="Times New Roman" w:hAnsi="Century Gothic" w:cs="Calibri"/>
                <w:color w:val="000000"/>
                <w:sz w:val="20"/>
                <w:szCs w:val="20"/>
              </w:rPr>
              <w:t xml:space="preserve">676 </w:t>
            </w:r>
          </w:p>
        </w:tc>
      </w:tr>
      <w:tr w:rsidR="001B58B4" w:rsidRPr="00ED1968" w14:paraId="6667EFEB" w14:textId="77777777" w:rsidTr="00BB1221">
        <w:trPr>
          <w:cantSplit/>
          <w:trHeight w:val="1134"/>
        </w:trPr>
        <w:tc>
          <w:tcPr>
            <w:tcW w:w="0" w:type="auto"/>
            <w:shd w:val="clear" w:color="auto" w:fill="C2D69B" w:themeFill="accent3" w:themeFillTint="99"/>
            <w:vAlign w:val="center"/>
            <w:hideMark/>
          </w:tcPr>
          <w:p w14:paraId="588BCA7E" w14:textId="25D450AC" w:rsidR="001B58B4" w:rsidRPr="00BB1221" w:rsidRDefault="001B58B4" w:rsidP="005F2558">
            <w:pPr>
              <w:spacing w:after="0" w:line="240" w:lineRule="auto"/>
              <w:rPr>
                <w:rFonts w:ascii="Century Gothic" w:eastAsia="Times New Roman" w:hAnsi="Century Gothic" w:cs="Calibri"/>
                <w:b/>
                <w:sz w:val="20"/>
                <w:szCs w:val="20"/>
              </w:rPr>
            </w:pPr>
            <w:r w:rsidRPr="00BB1221">
              <w:rPr>
                <w:rFonts w:ascii="Century Gothic" w:eastAsia="Times New Roman" w:hAnsi="Century Gothic" w:cs="Calibri"/>
                <w:b/>
                <w:sz w:val="20"/>
                <w:szCs w:val="20"/>
              </w:rPr>
              <w:t xml:space="preserve">Gastos de </w:t>
            </w:r>
            <w:r w:rsidR="00ED1968" w:rsidRPr="00BB1221">
              <w:rPr>
                <w:rFonts w:ascii="Century Gothic" w:eastAsia="Times New Roman" w:hAnsi="Century Gothic" w:cs="Calibri"/>
                <w:b/>
                <w:sz w:val="20"/>
                <w:szCs w:val="20"/>
              </w:rPr>
              <w:t>inversión</w:t>
            </w:r>
          </w:p>
        </w:tc>
        <w:tc>
          <w:tcPr>
            <w:tcW w:w="0" w:type="auto"/>
            <w:shd w:val="clear" w:color="auto" w:fill="auto"/>
            <w:noWrap/>
            <w:textDirection w:val="btLr"/>
            <w:vAlign w:val="center"/>
            <w:hideMark/>
          </w:tcPr>
          <w:p w14:paraId="05E43B37" w14:textId="35B021DA"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705.</w:t>
            </w:r>
            <w:r w:rsidR="001B58B4" w:rsidRPr="00ED1968">
              <w:rPr>
                <w:rFonts w:ascii="Century Gothic" w:eastAsia="Times New Roman" w:hAnsi="Century Gothic" w:cs="Calibri"/>
                <w:color w:val="000000"/>
                <w:sz w:val="20"/>
                <w:szCs w:val="20"/>
              </w:rPr>
              <w:t xml:space="preserve">683 </w:t>
            </w:r>
          </w:p>
        </w:tc>
        <w:tc>
          <w:tcPr>
            <w:tcW w:w="0" w:type="auto"/>
            <w:shd w:val="clear" w:color="auto" w:fill="auto"/>
            <w:noWrap/>
            <w:textDirection w:val="btLr"/>
            <w:vAlign w:val="center"/>
            <w:hideMark/>
          </w:tcPr>
          <w:p w14:paraId="1FC04EA0" w14:textId="670DE6F5"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627.</w:t>
            </w:r>
            <w:r w:rsidR="001B58B4" w:rsidRPr="00ED1968">
              <w:rPr>
                <w:rFonts w:ascii="Century Gothic" w:eastAsia="Times New Roman" w:hAnsi="Century Gothic" w:cs="Calibri"/>
                <w:color w:val="000000"/>
                <w:sz w:val="20"/>
                <w:szCs w:val="20"/>
              </w:rPr>
              <w:t xml:space="preserve">424 </w:t>
            </w:r>
          </w:p>
        </w:tc>
        <w:tc>
          <w:tcPr>
            <w:tcW w:w="0" w:type="auto"/>
            <w:shd w:val="clear" w:color="auto" w:fill="auto"/>
            <w:noWrap/>
            <w:textDirection w:val="btLr"/>
            <w:vAlign w:val="center"/>
            <w:hideMark/>
          </w:tcPr>
          <w:p w14:paraId="2F9518F5" w14:textId="25204B95"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641.</w:t>
            </w:r>
            <w:r w:rsidR="001B58B4" w:rsidRPr="00ED1968">
              <w:rPr>
                <w:rFonts w:ascii="Century Gothic" w:eastAsia="Times New Roman" w:hAnsi="Century Gothic" w:cs="Calibri"/>
                <w:color w:val="000000"/>
                <w:sz w:val="20"/>
                <w:szCs w:val="20"/>
              </w:rPr>
              <w:t xml:space="preserve">332 </w:t>
            </w:r>
          </w:p>
        </w:tc>
        <w:tc>
          <w:tcPr>
            <w:tcW w:w="0" w:type="auto"/>
            <w:shd w:val="clear" w:color="auto" w:fill="auto"/>
            <w:noWrap/>
            <w:textDirection w:val="btLr"/>
            <w:vAlign w:val="center"/>
            <w:hideMark/>
          </w:tcPr>
          <w:p w14:paraId="05EB37C3" w14:textId="65D39A14"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685.</w:t>
            </w:r>
            <w:r w:rsidR="001B58B4" w:rsidRPr="00ED1968">
              <w:rPr>
                <w:rFonts w:ascii="Century Gothic" w:eastAsia="Times New Roman" w:hAnsi="Century Gothic" w:cs="Calibri"/>
                <w:color w:val="000000"/>
                <w:sz w:val="20"/>
                <w:szCs w:val="20"/>
              </w:rPr>
              <w:t xml:space="preserve">123 </w:t>
            </w:r>
          </w:p>
        </w:tc>
        <w:tc>
          <w:tcPr>
            <w:tcW w:w="0" w:type="auto"/>
            <w:shd w:val="clear" w:color="auto" w:fill="auto"/>
            <w:noWrap/>
            <w:textDirection w:val="btLr"/>
            <w:vAlign w:val="center"/>
            <w:hideMark/>
          </w:tcPr>
          <w:p w14:paraId="2BC6F5A1" w14:textId="50BAF788"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734.</w:t>
            </w:r>
            <w:r w:rsidR="001B58B4" w:rsidRPr="00ED1968">
              <w:rPr>
                <w:rFonts w:ascii="Century Gothic" w:eastAsia="Times New Roman" w:hAnsi="Century Gothic" w:cs="Calibri"/>
                <w:color w:val="000000"/>
                <w:sz w:val="20"/>
                <w:szCs w:val="20"/>
              </w:rPr>
              <w:t xml:space="preserve">277 </w:t>
            </w:r>
          </w:p>
        </w:tc>
        <w:tc>
          <w:tcPr>
            <w:tcW w:w="0" w:type="auto"/>
            <w:shd w:val="clear" w:color="auto" w:fill="auto"/>
            <w:noWrap/>
            <w:textDirection w:val="btLr"/>
            <w:vAlign w:val="center"/>
            <w:hideMark/>
          </w:tcPr>
          <w:p w14:paraId="0AC9E766" w14:textId="362D8FFE"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790.</w:t>
            </w:r>
            <w:r w:rsidR="001B58B4" w:rsidRPr="00ED1968">
              <w:rPr>
                <w:rFonts w:ascii="Century Gothic" w:eastAsia="Times New Roman" w:hAnsi="Century Gothic" w:cs="Calibri"/>
                <w:color w:val="000000"/>
                <w:sz w:val="20"/>
                <w:szCs w:val="20"/>
              </w:rPr>
              <w:t xml:space="preserve">743 </w:t>
            </w:r>
          </w:p>
        </w:tc>
        <w:tc>
          <w:tcPr>
            <w:tcW w:w="0" w:type="auto"/>
            <w:shd w:val="clear" w:color="auto" w:fill="auto"/>
            <w:noWrap/>
            <w:textDirection w:val="btLr"/>
            <w:vAlign w:val="center"/>
            <w:hideMark/>
          </w:tcPr>
          <w:p w14:paraId="7EBEF996" w14:textId="063BE7CC"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854.</w:t>
            </w:r>
            <w:r w:rsidR="001B58B4" w:rsidRPr="00ED1968">
              <w:rPr>
                <w:rFonts w:ascii="Century Gothic" w:eastAsia="Times New Roman" w:hAnsi="Century Gothic" w:cs="Calibri"/>
                <w:color w:val="000000"/>
                <w:sz w:val="20"/>
                <w:szCs w:val="20"/>
              </w:rPr>
              <w:t xml:space="preserve">817 </w:t>
            </w:r>
          </w:p>
        </w:tc>
        <w:tc>
          <w:tcPr>
            <w:tcW w:w="0" w:type="auto"/>
            <w:shd w:val="clear" w:color="auto" w:fill="auto"/>
            <w:noWrap/>
            <w:textDirection w:val="btLr"/>
            <w:vAlign w:val="center"/>
            <w:hideMark/>
          </w:tcPr>
          <w:p w14:paraId="7F79DEE8" w14:textId="13759263"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927.</w:t>
            </w:r>
            <w:r w:rsidR="001B58B4" w:rsidRPr="00ED1968">
              <w:rPr>
                <w:rFonts w:ascii="Century Gothic" w:eastAsia="Times New Roman" w:hAnsi="Century Gothic" w:cs="Calibri"/>
                <w:color w:val="000000"/>
                <w:sz w:val="20"/>
                <w:szCs w:val="20"/>
              </w:rPr>
              <w:t xml:space="preserve">112 </w:t>
            </w:r>
          </w:p>
        </w:tc>
        <w:tc>
          <w:tcPr>
            <w:tcW w:w="0" w:type="auto"/>
            <w:shd w:val="clear" w:color="auto" w:fill="auto"/>
            <w:noWrap/>
            <w:textDirection w:val="btLr"/>
            <w:vAlign w:val="center"/>
            <w:hideMark/>
          </w:tcPr>
          <w:p w14:paraId="01696E62" w14:textId="6E03C3DC"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1.003.</w:t>
            </w:r>
            <w:r w:rsidR="001B58B4" w:rsidRPr="00ED1968">
              <w:rPr>
                <w:rFonts w:ascii="Century Gothic" w:eastAsia="Times New Roman" w:hAnsi="Century Gothic" w:cs="Calibri"/>
                <w:color w:val="000000"/>
                <w:sz w:val="20"/>
                <w:szCs w:val="20"/>
              </w:rPr>
              <w:t xml:space="preserve">894 </w:t>
            </w:r>
          </w:p>
        </w:tc>
        <w:tc>
          <w:tcPr>
            <w:tcW w:w="0" w:type="auto"/>
            <w:shd w:val="clear" w:color="auto" w:fill="auto"/>
            <w:noWrap/>
            <w:textDirection w:val="btLr"/>
            <w:vAlign w:val="center"/>
            <w:hideMark/>
          </w:tcPr>
          <w:p w14:paraId="44BC6212" w14:textId="20DE5783"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1.091.</w:t>
            </w:r>
            <w:r w:rsidR="001B58B4" w:rsidRPr="00ED1968">
              <w:rPr>
                <w:rFonts w:ascii="Century Gothic" w:eastAsia="Times New Roman" w:hAnsi="Century Gothic" w:cs="Calibri"/>
                <w:color w:val="000000"/>
                <w:sz w:val="20"/>
                <w:szCs w:val="20"/>
              </w:rPr>
              <w:t xml:space="preserve">626 </w:t>
            </w:r>
          </w:p>
        </w:tc>
        <w:tc>
          <w:tcPr>
            <w:tcW w:w="0" w:type="auto"/>
            <w:shd w:val="clear" w:color="auto" w:fill="auto"/>
            <w:noWrap/>
            <w:textDirection w:val="btLr"/>
            <w:vAlign w:val="center"/>
            <w:hideMark/>
          </w:tcPr>
          <w:p w14:paraId="0A0B166C" w14:textId="378C2A60"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1.190.</w:t>
            </w:r>
            <w:r w:rsidR="001B58B4" w:rsidRPr="00ED1968">
              <w:rPr>
                <w:rFonts w:ascii="Century Gothic" w:eastAsia="Times New Roman" w:hAnsi="Century Gothic" w:cs="Calibri"/>
                <w:color w:val="000000"/>
                <w:sz w:val="20"/>
                <w:szCs w:val="20"/>
              </w:rPr>
              <w:t xml:space="preserve">274 </w:t>
            </w:r>
          </w:p>
        </w:tc>
      </w:tr>
      <w:tr w:rsidR="001B58B4" w:rsidRPr="00ED1968" w14:paraId="7A05BC0F" w14:textId="77777777" w:rsidTr="00A439A1">
        <w:trPr>
          <w:cantSplit/>
          <w:trHeight w:val="850"/>
        </w:trPr>
        <w:tc>
          <w:tcPr>
            <w:tcW w:w="0" w:type="auto"/>
            <w:shd w:val="clear" w:color="auto" w:fill="C2D69B" w:themeFill="accent3" w:themeFillTint="99"/>
            <w:vAlign w:val="center"/>
            <w:hideMark/>
          </w:tcPr>
          <w:p w14:paraId="3C6BFD89" w14:textId="76B94E46" w:rsidR="001B58B4" w:rsidRPr="00BB1221" w:rsidRDefault="00ED1968" w:rsidP="005F2558">
            <w:pPr>
              <w:spacing w:after="0" w:line="240" w:lineRule="auto"/>
              <w:rPr>
                <w:rFonts w:ascii="Century Gothic" w:eastAsia="Times New Roman" w:hAnsi="Century Gothic" w:cs="Calibri"/>
                <w:b/>
                <w:sz w:val="20"/>
                <w:szCs w:val="20"/>
              </w:rPr>
            </w:pPr>
            <w:r w:rsidRPr="00BB1221">
              <w:rPr>
                <w:rFonts w:ascii="Century Gothic" w:eastAsia="Times New Roman" w:hAnsi="Century Gothic" w:cs="Calibri"/>
                <w:b/>
                <w:sz w:val="20"/>
                <w:szCs w:val="20"/>
              </w:rPr>
              <w:t>Superávit</w:t>
            </w:r>
            <w:r w:rsidR="001B58B4" w:rsidRPr="00BB1221">
              <w:rPr>
                <w:rFonts w:ascii="Century Gothic" w:eastAsia="Times New Roman" w:hAnsi="Century Gothic" w:cs="Calibri"/>
                <w:b/>
                <w:sz w:val="20"/>
                <w:szCs w:val="20"/>
              </w:rPr>
              <w:t xml:space="preserve"> primario</w:t>
            </w:r>
          </w:p>
        </w:tc>
        <w:tc>
          <w:tcPr>
            <w:tcW w:w="0" w:type="auto"/>
            <w:shd w:val="clear" w:color="auto" w:fill="D6E3BC" w:themeFill="accent3" w:themeFillTint="66"/>
            <w:noWrap/>
            <w:textDirection w:val="btLr"/>
            <w:vAlign w:val="center"/>
            <w:hideMark/>
          </w:tcPr>
          <w:p w14:paraId="15EA5194" w14:textId="3DDB3CE1"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9.</w:t>
            </w:r>
            <w:r w:rsidR="001B58B4" w:rsidRPr="00ED1968">
              <w:rPr>
                <w:rFonts w:ascii="Century Gothic" w:eastAsia="Times New Roman" w:hAnsi="Century Gothic" w:cs="Calibri"/>
                <w:color w:val="000000"/>
                <w:sz w:val="20"/>
                <w:szCs w:val="20"/>
              </w:rPr>
              <w:t>682</w:t>
            </w:r>
          </w:p>
        </w:tc>
        <w:tc>
          <w:tcPr>
            <w:tcW w:w="0" w:type="auto"/>
            <w:shd w:val="clear" w:color="auto" w:fill="D6E3BC" w:themeFill="accent3" w:themeFillTint="66"/>
            <w:noWrap/>
            <w:textDirection w:val="btLr"/>
            <w:vAlign w:val="center"/>
            <w:hideMark/>
          </w:tcPr>
          <w:p w14:paraId="59486851" w14:textId="65CBAA9E" w:rsidR="001B58B4" w:rsidRPr="00ED1968" w:rsidRDefault="001B58B4" w:rsidP="00BB1221">
            <w:pPr>
              <w:spacing w:after="0" w:line="240" w:lineRule="auto"/>
              <w:ind w:left="113" w:right="113"/>
              <w:jc w:val="right"/>
              <w:rPr>
                <w:rFonts w:ascii="Century Gothic" w:eastAsia="Times New Roman" w:hAnsi="Century Gothic" w:cs="Calibri"/>
                <w:color w:val="000000"/>
                <w:sz w:val="20"/>
                <w:szCs w:val="20"/>
              </w:rPr>
            </w:pPr>
            <w:r w:rsidRPr="00ED1968">
              <w:rPr>
                <w:rFonts w:ascii="Century Gothic" w:eastAsia="Times New Roman" w:hAnsi="Century Gothic" w:cs="Calibri"/>
                <w:color w:val="000000"/>
                <w:sz w:val="20"/>
                <w:szCs w:val="20"/>
              </w:rPr>
              <w:t>19</w:t>
            </w:r>
            <w:r w:rsidR="00ED1968">
              <w:rPr>
                <w:rFonts w:ascii="Century Gothic" w:eastAsia="Times New Roman" w:hAnsi="Century Gothic" w:cs="Calibri"/>
                <w:color w:val="000000"/>
                <w:sz w:val="20"/>
                <w:szCs w:val="20"/>
              </w:rPr>
              <w:t>.</w:t>
            </w:r>
            <w:r w:rsidRPr="00ED1968">
              <w:rPr>
                <w:rFonts w:ascii="Century Gothic" w:eastAsia="Times New Roman" w:hAnsi="Century Gothic" w:cs="Calibri"/>
                <w:color w:val="000000"/>
                <w:sz w:val="20"/>
                <w:szCs w:val="20"/>
              </w:rPr>
              <w:t>567</w:t>
            </w:r>
          </w:p>
        </w:tc>
        <w:tc>
          <w:tcPr>
            <w:tcW w:w="0" w:type="auto"/>
            <w:shd w:val="clear" w:color="auto" w:fill="D6E3BC" w:themeFill="accent3" w:themeFillTint="66"/>
            <w:noWrap/>
            <w:textDirection w:val="btLr"/>
            <w:vAlign w:val="center"/>
            <w:hideMark/>
          </w:tcPr>
          <w:p w14:paraId="49D6C531" w14:textId="40BABC48"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20.</w:t>
            </w:r>
            <w:r w:rsidR="001B58B4" w:rsidRPr="00ED1968">
              <w:rPr>
                <w:rFonts w:ascii="Century Gothic" w:eastAsia="Times New Roman" w:hAnsi="Century Gothic" w:cs="Calibri"/>
                <w:color w:val="000000"/>
                <w:sz w:val="20"/>
                <w:szCs w:val="20"/>
              </w:rPr>
              <w:t xml:space="preserve">757 </w:t>
            </w:r>
          </w:p>
        </w:tc>
        <w:tc>
          <w:tcPr>
            <w:tcW w:w="0" w:type="auto"/>
            <w:shd w:val="clear" w:color="auto" w:fill="D6E3BC" w:themeFill="accent3" w:themeFillTint="66"/>
            <w:noWrap/>
            <w:textDirection w:val="btLr"/>
            <w:vAlign w:val="center"/>
            <w:hideMark/>
          </w:tcPr>
          <w:p w14:paraId="4F57B381" w14:textId="7BF40288"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18.</w:t>
            </w:r>
            <w:r w:rsidR="001B58B4" w:rsidRPr="00ED1968">
              <w:rPr>
                <w:rFonts w:ascii="Century Gothic" w:eastAsia="Times New Roman" w:hAnsi="Century Gothic" w:cs="Calibri"/>
                <w:color w:val="000000"/>
                <w:sz w:val="20"/>
                <w:szCs w:val="20"/>
              </w:rPr>
              <w:t xml:space="preserve">681 </w:t>
            </w:r>
          </w:p>
        </w:tc>
        <w:tc>
          <w:tcPr>
            <w:tcW w:w="0" w:type="auto"/>
            <w:shd w:val="clear" w:color="auto" w:fill="D6E3BC" w:themeFill="accent3" w:themeFillTint="66"/>
            <w:noWrap/>
            <w:textDirection w:val="btLr"/>
            <w:vAlign w:val="center"/>
            <w:hideMark/>
          </w:tcPr>
          <w:p w14:paraId="728E395F" w14:textId="67158A7D"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17.</w:t>
            </w:r>
            <w:r w:rsidR="001B58B4" w:rsidRPr="00ED1968">
              <w:rPr>
                <w:rFonts w:ascii="Century Gothic" w:eastAsia="Times New Roman" w:hAnsi="Century Gothic" w:cs="Calibri"/>
                <w:color w:val="000000"/>
                <w:sz w:val="20"/>
                <w:szCs w:val="20"/>
              </w:rPr>
              <w:t xml:space="preserve">236 </w:t>
            </w:r>
          </w:p>
        </w:tc>
        <w:tc>
          <w:tcPr>
            <w:tcW w:w="0" w:type="auto"/>
            <w:shd w:val="clear" w:color="auto" w:fill="D6E3BC" w:themeFill="accent3" w:themeFillTint="66"/>
            <w:noWrap/>
            <w:textDirection w:val="btLr"/>
            <w:vAlign w:val="center"/>
            <w:hideMark/>
          </w:tcPr>
          <w:p w14:paraId="553BE5B9" w14:textId="41F59DCA"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13.</w:t>
            </w:r>
            <w:r w:rsidR="001B58B4" w:rsidRPr="00ED1968">
              <w:rPr>
                <w:rFonts w:ascii="Century Gothic" w:eastAsia="Times New Roman" w:hAnsi="Century Gothic" w:cs="Calibri"/>
                <w:color w:val="000000"/>
                <w:sz w:val="20"/>
                <w:szCs w:val="20"/>
              </w:rPr>
              <w:t xml:space="preserve">953 </w:t>
            </w:r>
          </w:p>
        </w:tc>
        <w:tc>
          <w:tcPr>
            <w:tcW w:w="0" w:type="auto"/>
            <w:shd w:val="clear" w:color="auto" w:fill="D6E3BC" w:themeFill="accent3" w:themeFillTint="66"/>
            <w:noWrap/>
            <w:textDirection w:val="btLr"/>
            <w:vAlign w:val="center"/>
            <w:hideMark/>
          </w:tcPr>
          <w:p w14:paraId="75E8DFEB" w14:textId="2881A1BF"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10.</w:t>
            </w:r>
            <w:r w:rsidR="001B58B4" w:rsidRPr="00ED1968">
              <w:rPr>
                <w:rFonts w:ascii="Century Gothic" w:eastAsia="Times New Roman" w:hAnsi="Century Gothic" w:cs="Calibri"/>
                <w:color w:val="000000"/>
                <w:sz w:val="20"/>
                <w:szCs w:val="20"/>
              </w:rPr>
              <w:t xml:space="preserve">689 </w:t>
            </w:r>
          </w:p>
        </w:tc>
        <w:tc>
          <w:tcPr>
            <w:tcW w:w="0" w:type="auto"/>
            <w:shd w:val="clear" w:color="auto" w:fill="D6E3BC" w:themeFill="accent3" w:themeFillTint="66"/>
            <w:noWrap/>
            <w:textDirection w:val="btLr"/>
            <w:vAlign w:val="center"/>
            <w:hideMark/>
          </w:tcPr>
          <w:p w14:paraId="01E321ED" w14:textId="4F6F3CFA"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6.</w:t>
            </w:r>
            <w:r w:rsidR="001B58B4" w:rsidRPr="00ED1968">
              <w:rPr>
                <w:rFonts w:ascii="Century Gothic" w:eastAsia="Times New Roman" w:hAnsi="Century Gothic" w:cs="Calibri"/>
                <w:color w:val="000000"/>
                <w:sz w:val="20"/>
                <w:szCs w:val="20"/>
              </w:rPr>
              <w:t xml:space="preserve">210 </w:t>
            </w:r>
          </w:p>
        </w:tc>
        <w:tc>
          <w:tcPr>
            <w:tcW w:w="0" w:type="auto"/>
            <w:shd w:val="clear" w:color="auto" w:fill="D6E3BC" w:themeFill="accent3" w:themeFillTint="66"/>
            <w:noWrap/>
            <w:textDirection w:val="btLr"/>
            <w:vAlign w:val="center"/>
            <w:hideMark/>
          </w:tcPr>
          <w:p w14:paraId="019935A0" w14:textId="17798A6A"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4.</w:t>
            </w:r>
            <w:r w:rsidR="001B58B4" w:rsidRPr="00ED1968">
              <w:rPr>
                <w:rFonts w:ascii="Century Gothic" w:eastAsia="Times New Roman" w:hAnsi="Century Gothic" w:cs="Calibri"/>
                <w:color w:val="000000"/>
                <w:sz w:val="20"/>
                <w:szCs w:val="20"/>
              </w:rPr>
              <w:t xml:space="preserve">870 </w:t>
            </w:r>
          </w:p>
        </w:tc>
        <w:tc>
          <w:tcPr>
            <w:tcW w:w="0" w:type="auto"/>
            <w:shd w:val="clear" w:color="auto" w:fill="D6E3BC" w:themeFill="accent3" w:themeFillTint="66"/>
            <w:noWrap/>
            <w:textDirection w:val="btLr"/>
            <w:vAlign w:val="center"/>
            <w:hideMark/>
          </w:tcPr>
          <w:p w14:paraId="6DAAFB43" w14:textId="47D587E8" w:rsidR="001B58B4" w:rsidRPr="00ED1968" w:rsidRDefault="00ED1968" w:rsidP="00BB1221">
            <w:pPr>
              <w:spacing w:after="0" w:line="240" w:lineRule="auto"/>
              <w:ind w:left="113" w:right="113"/>
              <w:jc w:val="right"/>
              <w:rPr>
                <w:rFonts w:ascii="Century Gothic" w:eastAsia="Times New Roman" w:hAnsi="Century Gothic" w:cs="Calibri"/>
                <w:color w:val="000000"/>
                <w:sz w:val="20"/>
                <w:szCs w:val="20"/>
              </w:rPr>
            </w:pPr>
            <w:r>
              <w:rPr>
                <w:rFonts w:ascii="Century Gothic" w:eastAsia="Times New Roman" w:hAnsi="Century Gothic" w:cs="Calibri"/>
                <w:color w:val="000000"/>
                <w:sz w:val="20"/>
                <w:szCs w:val="20"/>
              </w:rPr>
              <w:t>2.</w:t>
            </w:r>
            <w:r w:rsidR="001B58B4" w:rsidRPr="00ED1968">
              <w:rPr>
                <w:rFonts w:ascii="Century Gothic" w:eastAsia="Times New Roman" w:hAnsi="Century Gothic" w:cs="Calibri"/>
                <w:color w:val="000000"/>
                <w:sz w:val="20"/>
                <w:szCs w:val="20"/>
              </w:rPr>
              <w:t xml:space="preserve">136 </w:t>
            </w:r>
          </w:p>
        </w:tc>
        <w:tc>
          <w:tcPr>
            <w:tcW w:w="0" w:type="auto"/>
            <w:shd w:val="clear" w:color="auto" w:fill="D6E3BC" w:themeFill="accent3" w:themeFillTint="66"/>
            <w:noWrap/>
            <w:textDirection w:val="btLr"/>
            <w:vAlign w:val="center"/>
            <w:hideMark/>
          </w:tcPr>
          <w:p w14:paraId="53763CC2" w14:textId="03D27973" w:rsidR="001B58B4" w:rsidRPr="00ED1968" w:rsidRDefault="001B58B4" w:rsidP="00BB1221">
            <w:pPr>
              <w:spacing w:after="0" w:line="240" w:lineRule="auto"/>
              <w:ind w:left="113" w:right="113"/>
              <w:jc w:val="right"/>
              <w:rPr>
                <w:rFonts w:ascii="Century Gothic" w:eastAsia="Times New Roman" w:hAnsi="Century Gothic" w:cs="Calibri"/>
                <w:color w:val="000000"/>
                <w:sz w:val="20"/>
                <w:szCs w:val="20"/>
              </w:rPr>
            </w:pPr>
            <w:r w:rsidRPr="00ED1968">
              <w:rPr>
                <w:rFonts w:ascii="Century Gothic" w:eastAsia="Times New Roman" w:hAnsi="Century Gothic" w:cs="Calibri"/>
                <w:color w:val="000000"/>
                <w:sz w:val="20"/>
                <w:szCs w:val="20"/>
              </w:rPr>
              <w:t xml:space="preserve">44 </w:t>
            </w:r>
          </w:p>
        </w:tc>
      </w:tr>
      <w:tr w:rsidR="001B58B4" w:rsidRPr="00ED1968" w14:paraId="575675D1" w14:textId="77777777" w:rsidTr="00BB1221">
        <w:trPr>
          <w:cantSplit/>
          <w:trHeight w:val="907"/>
        </w:trPr>
        <w:tc>
          <w:tcPr>
            <w:tcW w:w="0" w:type="auto"/>
            <w:shd w:val="clear" w:color="auto" w:fill="C2D69B" w:themeFill="accent3" w:themeFillTint="99"/>
            <w:vAlign w:val="center"/>
            <w:hideMark/>
          </w:tcPr>
          <w:p w14:paraId="490C86A2" w14:textId="54D2134E" w:rsidR="001B58B4" w:rsidRPr="00BB1221" w:rsidRDefault="001B58B4" w:rsidP="005F2558">
            <w:pPr>
              <w:spacing w:after="0" w:line="240" w:lineRule="auto"/>
              <w:rPr>
                <w:rFonts w:ascii="Century Gothic" w:eastAsia="Times New Roman" w:hAnsi="Century Gothic" w:cs="Calibri"/>
                <w:b/>
                <w:bCs/>
                <w:sz w:val="20"/>
                <w:szCs w:val="20"/>
              </w:rPr>
            </w:pPr>
            <w:r w:rsidRPr="00BB1221">
              <w:rPr>
                <w:rFonts w:ascii="Century Gothic" w:eastAsia="Times New Roman" w:hAnsi="Century Gothic" w:cs="Calibri"/>
                <w:b/>
                <w:bCs/>
                <w:sz w:val="20"/>
                <w:szCs w:val="20"/>
              </w:rPr>
              <w:t>Indicador (</w:t>
            </w:r>
            <w:r w:rsidR="00ED1968" w:rsidRPr="00BB1221">
              <w:rPr>
                <w:rFonts w:ascii="Century Gothic" w:eastAsia="Times New Roman" w:hAnsi="Century Gothic" w:cs="Calibri"/>
                <w:b/>
                <w:bCs/>
                <w:sz w:val="20"/>
                <w:szCs w:val="20"/>
              </w:rPr>
              <w:t>superávit</w:t>
            </w:r>
            <w:r w:rsidRPr="00BB1221">
              <w:rPr>
                <w:rFonts w:ascii="Century Gothic" w:eastAsia="Times New Roman" w:hAnsi="Century Gothic" w:cs="Calibri"/>
                <w:b/>
                <w:bCs/>
                <w:sz w:val="20"/>
                <w:szCs w:val="20"/>
              </w:rPr>
              <w:t xml:space="preserve"> primario / intereses) &gt; = 100</w:t>
            </w:r>
          </w:p>
        </w:tc>
        <w:tc>
          <w:tcPr>
            <w:tcW w:w="0" w:type="auto"/>
            <w:shd w:val="clear" w:color="auto" w:fill="auto"/>
            <w:textDirection w:val="btLr"/>
            <w:vAlign w:val="center"/>
            <w:hideMark/>
          </w:tcPr>
          <w:p w14:paraId="0095C002" w14:textId="559AE210" w:rsidR="001B58B4" w:rsidRPr="00BB1221" w:rsidRDefault="00BB1221"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-98,</w:t>
            </w:r>
            <w:r w:rsidR="001B58B4" w:rsidRPr="00BB1221">
              <w:rPr>
                <w:rFonts w:ascii="Century Gothic" w:eastAsia="Times New Roman" w:hAnsi="Century Gothic" w:cs="Calibri"/>
                <w:bCs/>
                <w:sz w:val="20"/>
                <w:szCs w:val="20"/>
              </w:rPr>
              <w:t>1%</w:t>
            </w:r>
          </w:p>
        </w:tc>
        <w:tc>
          <w:tcPr>
            <w:tcW w:w="0" w:type="auto"/>
            <w:shd w:val="clear" w:color="auto" w:fill="auto"/>
            <w:textDirection w:val="btLr"/>
            <w:vAlign w:val="center"/>
            <w:hideMark/>
          </w:tcPr>
          <w:p w14:paraId="0BF3C753" w14:textId="1F829A3C" w:rsidR="001B58B4" w:rsidRPr="00BB1221" w:rsidRDefault="00BB1221"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212,</w:t>
            </w:r>
            <w:r w:rsidR="001B58B4" w:rsidRPr="00BB1221">
              <w:rPr>
                <w:rFonts w:ascii="Century Gothic" w:eastAsia="Times New Roman" w:hAnsi="Century Gothic" w:cs="Calibri"/>
                <w:bCs/>
                <w:sz w:val="20"/>
                <w:szCs w:val="20"/>
              </w:rPr>
              <w:t>7%</w:t>
            </w:r>
          </w:p>
        </w:tc>
        <w:tc>
          <w:tcPr>
            <w:tcW w:w="0" w:type="auto"/>
            <w:shd w:val="clear" w:color="auto" w:fill="auto"/>
            <w:textDirection w:val="btLr"/>
            <w:vAlign w:val="center"/>
            <w:hideMark/>
          </w:tcPr>
          <w:p w14:paraId="22327048" w14:textId="79D726F7" w:rsidR="001B58B4" w:rsidRPr="00BB1221" w:rsidRDefault="00BB1221"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267,</w:t>
            </w:r>
            <w:r w:rsidR="001B58B4" w:rsidRPr="00BB1221">
              <w:rPr>
                <w:rFonts w:ascii="Century Gothic" w:eastAsia="Times New Roman" w:hAnsi="Century Gothic" w:cs="Calibri"/>
                <w:bCs/>
                <w:sz w:val="20"/>
                <w:szCs w:val="20"/>
              </w:rPr>
              <w:t>6%</w:t>
            </w:r>
          </w:p>
        </w:tc>
        <w:tc>
          <w:tcPr>
            <w:tcW w:w="0" w:type="auto"/>
            <w:shd w:val="clear" w:color="auto" w:fill="auto"/>
            <w:textDirection w:val="btLr"/>
            <w:vAlign w:val="center"/>
            <w:hideMark/>
          </w:tcPr>
          <w:p w14:paraId="040A30D2" w14:textId="64F9CA18" w:rsidR="001B58B4" w:rsidRPr="00BB1221" w:rsidRDefault="00BB1221"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297,</w:t>
            </w:r>
            <w:r w:rsidR="001B58B4" w:rsidRPr="00BB1221">
              <w:rPr>
                <w:rFonts w:ascii="Century Gothic" w:eastAsia="Times New Roman" w:hAnsi="Century Gothic" w:cs="Calibri"/>
                <w:bCs/>
                <w:sz w:val="20"/>
                <w:szCs w:val="20"/>
              </w:rPr>
              <w:t>2%</w:t>
            </w:r>
          </w:p>
        </w:tc>
        <w:tc>
          <w:tcPr>
            <w:tcW w:w="0" w:type="auto"/>
            <w:shd w:val="clear" w:color="auto" w:fill="auto"/>
            <w:textDirection w:val="btLr"/>
            <w:vAlign w:val="center"/>
            <w:hideMark/>
          </w:tcPr>
          <w:p w14:paraId="15FF9C08" w14:textId="77777777"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354%</w:t>
            </w:r>
          </w:p>
        </w:tc>
        <w:tc>
          <w:tcPr>
            <w:tcW w:w="0" w:type="auto"/>
            <w:shd w:val="clear" w:color="auto" w:fill="auto"/>
            <w:textDirection w:val="btLr"/>
            <w:vAlign w:val="center"/>
            <w:hideMark/>
          </w:tcPr>
          <w:p w14:paraId="0A118F6D" w14:textId="77777777"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420%</w:t>
            </w:r>
          </w:p>
        </w:tc>
        <w:tc>
          <w:tcPr>
            <w:tcW w:w="0" w:type="auto"/>
            <w:shd w:val="clear" w:color="auto" w:fill="auto"/>
            <w:textDirection w:val="btLr"/>
            <w:vAlign w:val="center"/>
            <w:hideMark/>
          </w:tcPr>
          <w:p w14:paraId="5EB80061" w14:textId="77777777"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480%</w:t>
            </w:r>
          </w:p>
        </w:tc>
        <w:tc>
          <w:tcPr>
            <w:tcW w:w="0" w:type="auto"/>
            <w:shd w:val="clear" w:color="auto" w:fill="auto"/>
            <w:textDirection w:val="btLr"/>
            <w:vAlign w:val="center"/>
            <w:hideMark/>
          </w:tcPr>
          <w:p w14:paraId="53F37F23" w14:textId="77777777"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469%</w:t>
            </w:r>
          </w:p>
        </w:tc>
        <w:tc>
          <w:tcPr>
            <w:tcW w:w="0" w:type="auto"/>
            <w:shd w:val="clear" w:color="auto" w:fill="auto"/>
            <w:textDirection w:val="btLr"/>
            <w:vAlign w:val="center"/>
            <w:hideMark/>
          </w:tcPr>
          <w:p w14:paraId="3F61478B" w14:textId="77777777"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737%</w:t>
            </w:r>
          </w:p>
        </w:tc>
        <w:tc>
          <w:tcPr>
            <w:tcW w:w="0" w:type="auto"/>
            <w:shd w:val="clear" w:color="auto" w:fill="auto"/>
            <w:textDirection w:val="btLr"/>
            <w:vAlign w:val="center"/>
            <w:hideMark/>
          </w:tcPr>
          <w:p w14:paraId="12027392" w14:textId="2ADC0F7E"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1</w:t>
            </w:r>
            <w:r w:rsidR="00ED1968" w:rsidRPr="00BB1221">
              <w:rPr>
                <w:rFonts w:ascii="Century Gothic" w:eastAsia="Times New Roman" w:hAnsi="Century Gothic" w:cs="Calibri"/>
                <w:bCs/>
                <w:sz w:val="20"/>
                <w:szCs w:val="20"/>
              </w:rPr>
              <w:t>.</w:t>
            </w:r>
            <w:r w:rsidRPr="00BB1221">
              <w:rPr>
                <w:rFonts w:ascii="Century Gothic" w:eastAsia="Times New Roman" w:hAnsi="Century Gothic" w:cs="Calibri"/>
                <w:bCs/>
                <w:sz w:val="20"/>
                <w:szCs w:val="20"/>
              </w:rPr>
              <w:t>705%</w:t>
            </w:r>
          </w:p>
        </w:tc>
        <w:tc>
          <w:tcPr>
            <w:tcW w:w="0" w:type="auto"/>
            <w:shd w:val="clear" w:color="auto" w:fill="auto"/>
            <w:textDirection w:val="btLr"/>
            <w:vAlign w:val="center"/>
            <w:hideMark/>
          </w:tcPr>
          <w:p w14:paraId="031853E0" w14:textId="77777777" w:rsidR="001B58B4" w:rsidRPr="00BB1221" w:rsidRDefault="001B58B4" w:rsidP="00BB1221">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249%</w:t>
            </w:r>
          </w:p>
        </w:tc>
      </w:tr>
      <w:tr w:rsidR="001B58B4" w:rsidRPr="00ED1968" w14:paraId="267ECAC4" w14:textId="77777777" w:rsidTr="00A439A1">
        <w:trPr>
          <w:cantSplit/>
          <w:trHeight w:val="1361"/>
        </w:trPr>
        <w:tc>
          <w:tcPr>
            <w:tcW w:w="0" w:type="auto"/>
            <w:shd w:val="clear" w:color="auto" w:fill="C2D69B" w:themeFill="accent3" w:themeFillTint="99"/>
            <w:vAlign w:val="center"/>
            <w:hideMark/>
          </w:tcPr>
          <w:p w14:paraId="2AF2AAAC" w14:textId="10CFBDD2" w:rsidR="001B58B4" w:rsidRPr="00BB1221" w:rsidRDefault="001B58B4" w:rsidP="005F2558">
            <w:pPr>
              <w:spacing w:after="0" w:line="240" w:lineRule="auto"/>
              <w:rPr>
                <w:rFonts w:ascii="Century Gothic" w:eastAsia="Times New Roman" w:hAnsi="Century Gothic" w:cs="Calibri"/>
                <w:b/>
                <w:bCs/>
                <w:sz w:val="20"/>
                <w:szCs w:val="20"/>
              </w:rPr>
            </w:pPr>
            <w:r w:rsidRPr="00BB1221">
              <w:rPr>
                <w:rFonts w:ascii="Century Gothic" w:eastAsia="Times New Roman" w:hAnsi="Century Gothic" w:cs="Calibri"/>
                <w:b/>
                <w:bCs/>
                <w:sz w:val="20"/>
                <w:szCs w:val="20"/>
              </w:rPr>
              <w:t> </w:t>
            </w:r>
          </w:p>
        </w:tc>
        <w:tc>
          <w:tcPr>
            <w:tcW w:w="0" w:type="auto"/>
            <w:shd w:val="clear" w:color="auto" w:fill="auto"/>
            <w:textDirection w:val="btLr"/>
            <w:vAlign w:val="center"/>
            <w:hideMark/>
          </w:tcPr>
          <w:p w14:paraId="3A8A4780" w14:textId="69B4C07C"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Insostenible</w:t>
            </w:r>
          </w:p>
        </w:tc>
        <w:tc>
          <w:tcPr>
            <w:tcW w:w="0" w:type="auto"/>
            <w:shd w:val="clear" w:color="auto" w:fill="auto"/>
            <w:textDirection w:val="btLr"/>
            <w:vAlign w:val="center"/>
            <w:hideMark/>
          </w:tcPr>
          <w:p w14:paraId="65E5CA1F" w14:textId="5247CFBD"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3B87F22F" w14:textId="287D78E2"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6962D6A1" w14:textId="5DA28B67"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0FD0CB5D" w14:textId="64FDB4C8"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58165F56" w14:textId="3A2FB4F7"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6D545B0E" w14:textId="143E688B"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583608BE" w14:textId="03B86C86"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2BFA4701" w14:textId="7CAFB321"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3B82AD02" w14:textId="4385EB39" w:rsidR="001B58B4" w:rsidRPr="00BB1221" w:rsidRDefault="005F2558" w:rsidP="005F2558">
            <w:pPr>
              <w:spacing w:after="0" w:line="240" w:lineRule="auto"/>
              <w:ind w:left="113" w:right="113"/>
              <w:jc w:val="right"/>
              <w:rPr>
                <w:rFonts w:ascii="Century Gothic" w:eastAsia="Times New Roman" w:hAnsi="Century Gothic" w:cs="Calibri"/>
                <w:bCs/>
                <w:sz w:val="20"/>
                <w:szCs w:val="20"/>
              </w:rPr>
            </w:pPr>
            <w:r w:rsidRPr="00BB1221">
              <w:rPr>
                <w:rFonts w:ascii="Century Gothic" w:eastAsia="Times New Roman" w:hAnsi="Century Gothic" w:cs="Calibri"/>
                <w:bCs/>
                <w:sz w:val="20"/>
                <w:szCs w:val="20"/>
              </w:rPr>
              <w:t>Sostenible</w:t>
            </w:r>
          </w:p>
        </w:tc>
        <w:tc>
          <w:tcPr>
            <w:tcW w:w="0" w:type="auto"/>
            <w:shd w:val="clear" w:color="auto" w:fill="auto"/>
            <w:textDirection w:val="btLr"/>
            <w:vAlign w:val="center"/>
            <w:hideMark/>
          </w:tcPr>
          <w:p w14:paraId="1F33EFAF" w14:textId="54A8F772" w:rsidR="001B58B4" w:rsidRPr="00ED1968" w:rsidRDefault="005F2558" w:rsidP="005F2558">
            <w:pPr>
              <w:spacing w:after="0" w:line="240" w:lineRule="auto"/>
              <w:ind w:left="113" w:right="113"/>
              <w:jc w:val="right"/>
              <w:rPr>
                <w:rFonts w:ascii="Century Gothic" w:eastAsia="Times New Roman" w:hAnsi="Century Gothic" w:cs="Calibri"/>
                <w:b/>
                <w:bCs/>
                <w:sz w:val="20"/>
                <w:szCs w:val="20"/>
              </w:rPr>
            </w:pPr>
            <w:r w:rsidRPr="00BB1221">
              <w:rPr>
                <w:rFonts w:ascii="Century Gothic" w:eastAsia="Times New Roman" w:hAnsi="Century Gothic" w:cs="Calibri"/>
                <w:bCs/>
                <w:sz w:val="20"/>
                <w:szCs w:val="20"/>
              </w:rPr>
              <w:t>Sostenible</w:t>
            </w:r>
          </w:p>
        </w:tc>
      </w:tr>
      <w:tr w:rsidR="001B58B4" w:rsidRPr="005F2558" w14:paraId="3AACEC5F" w14:textId="77777777" w:rsidTr="00BB1221">
        <w:trPr>
          <w:cantSplit/>
          <w:trHeight w:val="737"/>
        </w:trPr>
        <w:tc>
          <w:tcPr>
            <w:tcW w:w="0" w:type="auto"/>
            <w:shd w:val="clear" w:color="auto" w:fill="C2D69B" w:themeFill="accent3" w:themeFillTint="99"/>
            <w:vAlign w:val="center"/>
            <w:hideMark/>
          </w:tcPr>
          <w:p w14:paraId="2CB75B09" w14:textId="4436FE12" w:rsidR="001B58B4" w:rsidRPr="00BB1221" w:rsidRDefault="001B58B4" w:rsidP="005F2558">
            <w:pPr>
              <w:spacing w:after="0" w:line="240" w:lineRule="auto"/>
              <w:rPr>
                <w:rFonts w:ascii="Century Gothic" w:eastAsia="Times New Roman" w:hAnsi="Century Gothic" w:cs="Calibri"/>
                <w:b/>
                <w:sz w:val="20"/>
                <w:szCs w:val="20"/>
              </w:rPr>
            </w:pPr>
            <w:r w:rsidRPr="00BB1221">
              <w:rPr>
                <w:rFonts w:ascii="Century Gothic" w:eastAsia="Times New Roman" w:hAnsi="Century Gothic" w:cs="Calibri"/>
                <w:b/>
                <w:sz w:val="20"/>
                <w:szCs w:val="20"/>
              </w:rPr>
              <w:t>Intereses</w:t>
            </w:r>
          </w:p>
        </w:tc>
        <w:tc>
          <w:tcPr>
            <w:tcW w:w="0" w:type="auto"/>
            <w:shd w:val="clear" w:color="auto" w:fill="auto"/>
            <w:noWrap/>
            <w:textDirection w:val="btLr"/>
            <w:vAlign w:val="center"/>
            <w:hideMark/>
          </w:tcPr>
          <w:p w14:paraId="112C40B0" w14:textId="12F9A82E"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9</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867 </w:t>
            </w:r>
          </w:p>
        </w:tc>
        <w:tc>
          <w:tcPr>
            <w:tcW w:w="0" w:type="auto"/>
            <w:shd w:val="clear" w:color="auto" w:fill="auto"/>
            <w:noWrap/>
            <w:textDirection w:val="btLr"/>
            <w:vAlign w:val="center"/>
            <w:hideMark/>
          </w:tcPr>
          <w:p w14:paraId="69BA604C" w14:textId="6B9AE2E8"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9</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876 </w:t>
            </w:r>
          </w:p>
        </w:tc>
        <w:tc>
          <w:tcPr>
            <w:tcW w:w="0" w:type="auto"/>
            <w:shd w:val="clear" w:color="auto" w:fill="auto"/>
            <w:noWrap/>
            <w:textDirection w:val="btLr"/>
            <w:vAlign w:val="center"/>
            <w:hideMark/>
          </w:tcPr>
          <w:p w14:paraId="2E0D44F0" w14:textId="01A8DF08"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8</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419 </w:t>
            </w:r>
          </w:p>
        </w:tc>
        <w:tc>
          <w:tcPr>
            <w:tcW w:w="0" w:type="auto"/>
            <w:shd w:val="clear" w:color="auto" w:fill="auto"/>
            <w:noWrap/>
            <w:textDirection w:val="btLr"/>
            <w:vAlign w:val="center"/>
            <w:hideMark/>
          </w:tcPr>
          <w:p w14:paraId="4E1A724B" w14:textId="593B9525"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6</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847 </w:t>
            </w:r>
          </w:p>
        </w:tc>
        <w:tc>
          <w:tcPr>
            <w:tcW w:w="0" w:type="auto"/>
            <w:shd w:val="clear" w:color="auto" w:fill="auto"/>
            <w:noWrap/>
            <w:textDirection w:val="btLr"/>
            <w:vAlign w:val="center"/>
            <w:hideMark/>
          </w:tcPr>
          <w:p w14:paraId="679F8F8B" w14:textId="673C1F68"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5</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306 </w:t>
            </w:r>
          </w:p>
        </w:tc>
        <w:tc>
          <w:tcPr>
            <w:tcW w:w="0" w:type="auto"/>
            <w:shd w:val="clear" w:color="auto" w:fill="auto"/>
            <w:noWrap/>
            <w:textDirection w:val="btLr"/>
            <w:vAlign w:val="center"/>
            <w:hideMark/>
          </w:tcPr>
          <w:p w14:paraId="6F52C1B4" w14:textId="435FDD84"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3</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784 </w:t>
            </w:r>
          </w:p>
        </w:tc>
        <w:tc>
          <w:tcPr>
            <w:tcW w:w="0" w:type="auto"/>
            <w:shd w:val="clear" w:color="auto" w:fill="auto"/>
            <w:noWrap/>
            <w:textDirection w:val="btLr"/>
            <w:vAlign w:val="center"/>
            <w:hideMark/>
          </w:tcPr>
          <w:p w14:paraId="54DDFA0B" w14:textId="5A9BDEF9"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2</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482 </w:t>
            </w:r>
          </w:p>
        </w:tc>
        <w:tc>
          <w:tcPr>
            <w:tcW w:w="0" w:type="auto"/>
            <w:shd w:val="clear" w:color="auto" w:fill="auto"/>
            <w:noWrap/>
            <w:textDirection w:val="btLr"/>
            <w:vAlign w:val="center"/>
            <w:hideMark/>
          </w:tcPr>
          <w:p w14:paraId="62CE6829" w14:textId="48F9F817"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1</w:t>
            </w:r>
            <w:r w:rsidR="00A439A1">
              <w:rPr>
                <w:rFonts w:ascii="Century Gothic" w:eastAsia="Times New Roman" w:hAnsi="Century Gothic" w:cs="Calibri"/>
                <w:color w:val="000000"/>
                <w:sz w:val="20"/>
                <w:szCs w:val="20"/>
              </w:rPr>
              <w:t>.</w:t>
            </w:r>
            <w:r w:rsidRPr="00BB1221">
              <w:rPr>
                <w:rFonts w:ascii="Century Gothic" w:eastAsia="Times New Roman" w:hAnsi="Century Gothic" w:cs="Calibri"/>
                <w:color w:val="000000"/>
                <w:sz w:val="20"/>
                <w:szCs w:val="20"/>
              </w:rPr>
              <w:t xml:space="preserve">500 </w:t>
            </w:r>
          </w:p>
        </w:tc>
        <w:tc>
          <w:tcPr>
            <w:tcW w:w="0" w:type="auto"/>
            <w:shd w:val="clear" w:color="auto" w:fill="auto"/>
            <w:noWrap/>
            <w:textDirection w:val="btLr"/>
            <w:vAlign w:val="center"/>
            <w:hideMark/>
          </w:tcPr>
          <w:p w14:paraId="237EE9E1" w14:textId="5CFDF2A7"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 xml:space="preserve">761 </w:t>
            </w:r>
          </w:p>
        </w:tc>
        <w:tc>
          <w:tcPr>
            <w:tcW w:w="0" w:type="auto"/>
            <w:shd w:val="clear" w:color="auto" w:fill="auto"/>
            <w:noWrap/>
            <w:textDirection w:val="btLr"/>
            <w:vAlign w:val="center"/>
            <w:hideMark/>
          </w:tcPr>
          <w:p w14:paraId="56DF0F50" w14:textId="77777777" w:rsidR="001B58B4" w:rsidRPr="00BB1221" w:rsidRDefault="001B58B4" w:rsidP="005F2558">
            <w:pPr>
              <w:spacing w:after="0" w:line="240" w:lineRule="auto"/>
              <w:ind w:left="113" w:right="113"/>
              <w:jc w:val="right"/>
              <w:rPr>
                <w:rFonts w:ascii="Century Gothic" w:eastAsia="Times New Roman" w:hAnsi="Century Gothic" w:cs="Calibri"/>
                <w:color w:val="000000"/>
                <w:sz w:val="20"/>
                <w:szCs w:val="20"/>
              </w:rPr>
            </w:pPr>
            <w:r w:rsidRPr="00BB1221">
              <w:rPr>
                <w:rFonts w:ascii="Century Gothic" w:eastAsia="Times New Roman" w:hAnsi="Century Gothic" w:cs="Calibri"/>
                <w:color w:val="000000"/>
                <w:sz w:val="20"/>
                <w:szCs w:val="20"/>
              </w:rPr>
              <w:t>168</w:t>
            </w:r>
          </w:p>
        </w:tc>
        <w:tc>
          <w:tcPr>
            <w:tcW w:w="0" w:type="auto"/>
            <w:shd w:val="clear" w:color="auto" w:fill="auto"/>
            <w:noWrap/>
            <w:textDirection w:val="btLr"/>
            <w:vAlign w:val="center"/>
            <w:hideMark/>
          </w:tcPr>
          <w:p w14:paraId="465B6134" w14:textId="77777777" w:rsidR="001B58B4" w:rsidRPr="005F2558" w:rsidRDefault="001B58B4" w:rsidP="005F2558">
            <w:pPr>
              <w:spacing w:after="0" w:line="240" w:lineRule="auto"/>
              <w:ind w:left="113" w:right="113"/>
              <w:jc w:val="right"/>
              <w:rPr>
                <w:rFonts w:ascii="Century Gothic" w:eastAsia="Times New Roman" w:hAnsi="Century Gothic" w:cs="Calibri"/>
                <w:color w:val="000000"/>
                <w:sz w:val="20"/>
                <w:szCs w:val="20"/>
              </w:rPr>
            </w:pPr>
            <w:r w:rsidRPr="00ED1968">
              <w:rPr>
                <w:rFonts w:ascii="Century Gothic" w:eastAsia="Times New Roman" w:hAnsi="Century Gothic" w:cs="Calibri"/>
                <w:color w:val="000000"/>
                <w:sz w:val="20"/>
                <w:szCs w:val="20"/>
              </w:rPr>
              <w:t>18</w:t>
            </w:r>
          </w:p>
        </w:tc>
      </w:tr>
    </w:tbl>
    <w:p w14:paraId="61847FE4" w14:textId="42E79572" w:rsidR="0005129F" w:rsidRDefault="00176DB3" w:rsidP="009931F5">
      <w:pPr>
        <w:widowControl w:val="0"/>
        <w:jc w:val="center"/>
        <w:rPr>
          <w:rFonts w:ascii="Century Gothic" w:hAnsi="Century Gothic"/>
          <w:sz w:val="20"/>
          <w:lang w:val="es-ES"/>
        </w:rPr>
      </w:pPr>
      <w:r w:rsidRPr="00BB1221">
        <w:rPr>
          <w:rFonts w:ascii="Century Gothic" w:hAnsi="Century Gothic"/>
          <w:sz w:val="20"/>
          <w:lang w:val="es-ES"/>
        </w:rPr>
        <w:t>Fuente: Secretaría de Hacienda</w:t>
      </w:r>
      <w:r w:rsidR="0061114E" w:rsidRPr="00BB1221">
        <w:rPr>
          <w:rFonts w:ascii="Century Gothic" w:hAnsi="Century Gothic"/>
          <w:sz w:val="20"/>
          <w:lang w:val="es-ES"/>
        </w:rPr>
        <w:t>, 2018</w:t>
      </w:r>
    </w:p>
    <w:p w14:paraId="5CA3F87B" w14:textId="41852D44" w:rsidR="00E74FB1" w:rsidRDefault="00877C43" w:rsidP="00877C43">
      <w:pPr>
        <w:widowControl w:val="0"/>
        <w:jc w:val="both"/>
        <w:rPr>
          <w:rFonts w:ascii="Century Gothic" w:hAnsi="Century Gothic"/>
          <w:lang w:val="es-ES"/>
        </w:rPr>
      </w:pPr>
      <w:r w:rsidRPr="00D54630">
        <w:rPr>
          <w:rFonts w:ascii="Century Gothic" w:hAnsi="Century Gothic"/>
          <w:lang w:val="es-ES"/>
        </w:rPr>
        <w:t xml:space="preserve">En la siguiente gráfica, se presenta el comportamiento del indicador del superávit primario: </w:t>
      </w:r>
    </w:p>
    <w:p w14:paraId="2D266C16" w14:textId="77777777" w:rsidR="00E74FB1" w:rsidRDefault="00E74FB1">
      <w:pPr>
        <w:rPr>
          <w:rFonts w:ascii="Century Gothic" w:hAnsi="Century Gothic"/>
          <w:lang w:val="es-ES"/>
        </w:rPr>
      </w:pPr>
      <w:r>
        <w:rPr>
          <w:rFonts w:ascii="Century Gothic" w:hAnsi="Century Gothic"/>
          <w:lang w:val="es-ES"/>
        </w:rPr>
        <w:br w:type="page"/>
      </w:r>
    </w:p>
    <w:p w14:paraId="1D4EBE22" w14:textId="102D01EC" w:rsidR="00877C43" w:rsidRPr="00A439A1" w:rsidRDefault="00A439A1" w:rsidP="00A439A1">
      <w:pPr>
        <w:widowControl w:val="0"/>
        <w:spacing w:after="0"/>
        <w:jc w:val="center"/>
        <w:rPr>
          <w:rFonts w:ascii="Century Gothic" w:hAnsi="Century Gothic"/>
          <w:sz w:val="20"/>
          <w:lang w:val="es-ES"/>
        </w:rPr>
      </w:pPr>
      <w:bookmarkStart w:id="109" w:name="_Toc532566071"/>
      <w:r w:rsidRPr="00A439A1">
        <w:rPr>
          <w:rFonts w:ascii="Century Gothic" w:hAnsi="Century Gothic"/>
          <w:lang w:val="es-ES"/>
        </w:rPr>
        <w:lastRenderedPageBreak/>
        <w:t xml:space="preserve">Gráfica </w:t>
      </w:r>
      <w:r w:rsidRPr="00A439A1">
        <w:rPr>
          <w:rFonts w:ascii="Century Gothic" w:hAnsi="Century Gothic"/>
          <w:lang w:val="es-ES"/>
        </w:rPr>
        <w:fldChar w:fldCharType="begin"/>
      </w:r>
      <w:r w:rsidRPr="00A439A1">
        <w:rPr>
          <w:rFonts w:ascii="Century Gothic" w:hAnsi="Century Gothic"/>
          <w:lang w:val="es-ES"/>
        </w:rPr>
        <w:instrText xml:space="preserve"> SEQ Gráfica \* ARABIC </w:instrText>
      </w:r>
      <w:r w:rsidRPr="00A439A1">
        <w:rPr>
          <w:rFonts w:ascii="Century Gothic" w:hAnsi="Century Gothic"/>
          <w:lang w:val="es-ES"/>
        </w:rPr>
        <w:fldChar w:fldCharType="separate"/>
      </w:r>
      <w:r w:rsidRPr="00A439A1">
        <w:rPr>
          <w:rFonts w:ascii="Century Gothic" w:hAnsi="Century Gothic"/>
          <w:noProof/>
          <w:lang w:val="es-ES"/>
        </w:rPr>
        <w:t>18</w:t>
      </w:r>
      <w:r w:rsidRPr="00A439A1">
        <w:rPr>
          <w:rFonts w:ascii="Century Gothic" w:hAnsi="Century Gothic"/>
          <w:lang w:val="es-ES"/>
        </w:rPr>
        <w:fldChar w:fldCharType="end"/>
      </w:r>
      <w:r w:rsidRPr="00A439A1">
        <w:rPr>
          <w:rFonts w:ascii="Century Gothic" w:hAnsi="Century Gothic"/>
          <w:lang w:val="es-ES"/>
        </w:rPr>
        <w:t>. Indicador superávit primario 2019 – 2029</w:t>
      </w:r>
      <w:bookmarkEnd w:id="109"/>
    </w:p>
    <w:p w14:paraId="7B939327" w14:textId="67813C85" w:rsidR="00877C43" w:rsidRDefault="00877C43" w:rsidP="00A439A1">
      <w:pPr>
        <w:widowControl w:val="0"/>
        <w:spacing w:after="0"/>
        <w:jc w:val="center"/>
        <w:rPr>
          <w:rFonts w:ascii="Century Gothic" w:hAnsi="Century Gothic"/>
          <w:sz w:val="20"/>
          <w:lang w:val="es-ES"/>
        </w:rPr>
      </w:pPr>
      <w:r>
        <w:rPr>
          <w:rFonts w:ascii="Century Gothic" w:hAnsi="Century Gothic"/>
          <w:noProof/>
          <w:lang w:val="es-ES" w:eastAsia="es-ES"/>
        </w:rPr>
        <w:drawing>
          <wp:inline distT="0" distB="0" distL="0" distR="0" wp14:anchorId="63FBB62C" wp14:editId="69223A18">
            <wp:extent cx="4251960" cy="2588429"/>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l="230" t="3561" r="1470" b="2259"/>
                    <a:stretch/>
                  </pic:blipFill>
                  <pic:spPr bwMode="auto">
                    <a:xfrm>
                      <a:off x="0" y="0"/>
                      <a:ext cx="4251105" cy="2587908"/>
                    </a:xfrm>
                    <a:prstGeom prst="rect">
                      <a:avLst/>
                    </a:prstGeom>
                    <a:noFill/>
                    <a:ln>
                      <a:noFill/>
                    </a:ln>
                    <a:extLst>
                      <a:ext uri="{53640926-AAD7-44D8-BBD7-CCE9431645EC}">
                        <a14:shadowObscured xmlns:a14="http://schemas.microsoft.com/office/drawing/2010/main"/>
                      </a:ext>
                    </a:extLst>
                  </pic:spPr>
                </pic:pic>
              </a:graphicData>
            </a:graphic>
          </wp:inline>
        </w:drawing>
      </w:r>
    </w:p>
    <w:p w14:paraId="4B9F7A45" w14:textId="77777777" w:rsidR="00A439A1" w:rsidRDefault="00A439A1" w:rsidP="00A439A1">
      <w:pPr>
        <w:widowControl w:val="0"/>
        <w:jc w:val="center"/>
        <w:rPr>
          <w:rFonts w:ascii="Century Gothic" w:hAnsi="Century Gothic"/>
          <w:sz w:val="20"/>
          <w:lang w:val="es-ES"/>
        </w:rPr>
      </w:pPr>
      <w:r w:rsidRPr="00BB1221">
        <w:rPr>
          <w:rFonts w:ascii="Century Gothic" w:hAnsi="Century Gothic"/>
          <w:sz w:val="20"/>
          <w:lang w:val="es-ES"/>
        </w:rPr>
        <w:t>Fuente: Secretaría de Hacienda, 2018</w:t>
      </w:r>
    </w:p>
    <w:p w14:paraId="3ADE389A" w14:textId="77777777" w:rsidR="00677466" w:rsidRPr="00A439A1" w:rsidRDefault="00896530" w:rsidP="009931F5">
      <w:pPr>
        <w:pStyle w:val="Ttulo2"/>
        <w:rPr>
          <w:lang w:val="es-ES"/>
        </w:rPr>
      </w:pPr>
      <w:bookmarkStart w:id="110" w:name="_Toc532565947"/>
      <w:r w:rsidRPr="00A439A1">
        <w:rPr>
          <w:lang w:val="es-ES"/>
        </w:rPr>
        <w:t>Nivel de deuda pública y análisis de sostenibilidad</w:t>
      </w:r>
      <w:bookmarkEnd w:id="110"/>
    </w:p>
    <w:p w14:paraId="7A2E513F" w14:textId="77777777" w:rsidR="00677466" w:rsidRPr="00A439A1" w:rsidRDefault="00896530" w:rsidP="009931F5">
      <w:pPr>
        <w:pStyle w:val="Ttulo3"/>
        <w:rPr>
          <w:lang w:val="es-ES"/>
        </w:rPr>
      </w:pPr>
      <w:bookmarkStart w:id="111" w:name="_Toc532565948"/>
      <w:r w:rsidRPr="00A439A1">
        <w:rPr>
          <w:lang w:val="es-ES"/>
        </w:rPr>
        <w:t>Saldo de la</w:t>
      </w:r>
      <w:r w:rsidR="004251F5" w:rsidRPr="00A439A1">
        <w:rPr>
          <w:lang w:val="es-ES"/>
        </w:rPr>
        <w:t xml:space="preserve"> </w:t>
      </w:r>
      <w:r w:rsidRPr="00A439A1">
        <w:rPr>
          <w:lang w:val="es-ES"/>
        </w:rPr>
        <w:t>deuda</w:t>
      </w:r>
      <w:bookmarkEnd w:id="111"/>
    </w:p>
    <w:p w14:paraId="5DEFCDE7" w14:textId="77777777" w:rsidR="004251F5" w:rsidRPr="00A439A1" w:rsidRDefault="004251F5" w:rsidP="004251F5">
      <w:pPr>
        <w:jc w:val="both"/>
        <w:rPr>
          <w:rFonts w:ascii="Century Gothic" w:hAnsi="Century Gothic"/>
          <w:lang w:val="es-ES"/>
        </w:rPr>
      </w:pPr>
      <w:r w:rsidRPr="00A439A1">
        <w:rPr>
          <w:rFonts w:ascii="Century Gothic" w:hAnsi="Century Gothic"/>
          <w:lang w:val="es-ES"/>
        </w:rPr>
        <w:t>Las operaciones de crédito público están reguladas en los Decretos 2681 de 1993, 1222 y 1333 de 1986 y las normas complementarias.</w:t>
      </w:r>
    </w:p>
    <w:p w14:paraId="53BB0609" w14:textId="127706F9" w:rsidR="004B312B" w:rsidRPr="00D52D0E" w:rsidRDefault="004B312B" w:rsidP="004251F5">
      <w:pPr>
        <w:jc w:val="both"/>
        <w:rPr>
          <w:rFonts w:ascii="Century Gothic" w:hAnsi="Century Gothic"/>
          <w:lang w:val="es-ES"/>
        </w:rPr>
      </w:pPr>
      <w:r w:rsidRPr="00D54630">
        <w:rPr>
          <w:rFonts w:ascii="Century Gothic" w:hAnsi="Century Gothic"/>
          <w:lang w:val="es-ES"/>
        </w:rPr>
        <w:t>El Municipio de Pasto cierra la vigencia 2017 con un saldo de</w:t>
      </w:r>
      <w:r w:rsidR="00D52D0E">
        <w:rPr>
          <w:rFonts w:ascii="Century Gothic" w:hAnsi="Century Gothic"/>
          <w:lang w:val="es-ES"/>
        </w:rPr>
        <w:t xml:space="preserve"> la deuda </w:t>
      </w:r>
      <w:r w:rsidRPr="00D54630">
        <w:rPr>
          <w:rFonts w:ascii="Century Gothic" w:hAnsi="Century Gothic"/>
          <w:lang w:val="es-ES"/>
        </w:rPr>
        <w:t>por valor de $55.657 mi</w:t>
      </w:r>
      <w:r w:rsidR="00D52D0E">
        <w:rPr>
          <w:rFonts w:ascii="Century Gothic" w:hAnsi="Century Gothic"/>
          <w:lang w:val="es-ES"/>
        </w:rPr>
        <w:t xml:space="preserve">llones, los cuales corresponden, </w:t>
      </w:r>
      <w:r w:rsidRPr="00D54630">
        <w:rPr>
          <w:rFonts w:ascii="Century Gothic" w:hAnsi="Century Gothic"/>
          <w:lang w:val="es-ES"/>
        </w:rPr>
        <w:t>en el 100</w:t>
      </w:r>
      <w:r w:rsidR="00AA639F" w:rsidRPr="00D54630">
        <w:rPr>
          <w:rFonts w:ascii="Century Gothic" w:hAnsi="Century Gothic"/>
          <w:lang w:val="es-ES"/>
        </w:rPr>
        <w:t xml:space="preserve"> por ciento</w:t>
      </w:r>
      <w:r w:rsidR="00D52D0E">
        <w:rPr>
          <w:rFonts w:ascii="Century Gothic" w:hAnsi="Century Gothic"/>
          <w:lang w:val="es-ES"/>
        </w:rPr>
        <w:t>,</w:t>
      </w:r>
      <w:r w:rsidRPr="00D54630">
        <w:rPr>
          <w:rFonts w:ascii="Century Gothic" w:hAnsi="Century Gothic"/>
          <w:lang w:val="es-ES"/>
        </w:rPr>
        <w:t xml:space="preserve"> a </w:t>
      </w:r>
      <w:r w:rsidR="00D52D0E">
        <w:rPr>
          <w:rFonts w:ascii="Century Gothic" w:hAnsi="Century Gothic"/>
          <w:lang w:val="es-ES"/>
        </w:rPr>
        <w:t xml:space="preserve">la </w:t>
      </w:r>
      <w:r w:rsidRPr="00D54630">
        <w:rPr>
          <w:rFonts w:ascii="Century Gothic" w:hAnsi="Century Gothic"/>
          <w:lang w:val="es-ES"/>
        </w:rPr>
        <w:t>deuda interna</w:t>
      </w:r>
      <w:r w:rsidR="00D52D0E">
        <w:rPr>
          <w:rFonts w:ascii="Century Gothic" w:hAnsi="Century Gothic"/>
          <w:lang w:val="es-ES"/>
        </w:rPr>
        <w:t xml:space="preserve"> </w:t>
      </w:r>
      <w:r w:rsidR="00D52D0E" w:rsidRPr="00D52D0E">
        <w:rPr>
          <w:rFonts w:ascii="Century Gothic" w:hAnsi="Century Gothic"/>
          <w:lang w:val="es-ES"/>
        </w:rPr>
        <w:t xml:space="preserve">que resultó </w:t>
      </w:r>
      <w:r w:rsidRPr="00D52D0E">
        <w:rPr>
          <w:rFonts w:ascii="Century Gothic" w:hAnsi="Century Gothic"/>
          <w:lang w:val="es-ES"/>
        </w:rPr>
        <w:t xml:space="preserve">de </w:t>
      </w:r>
      <w:r w:rsidR="00D52D0E" w:rsidRPr="00D52D0E">
        <w:rPr>
          <w:rFonts w:ascii="Century Gothic" w:hAnsi="Century Gothic"/>
          <w:lang w:val="es-ES"/>
        </w:rPr>
        <w:t xml:space="preserve">contratar </w:t>
      </w:r>
      <w:r w:rsidRPr="00D52D0E">
        <w:rPr>
          <w:rFonts w:ascii="Century Gothic" w:hAnsi="Century Gothic"/>
          <w:lang w:val="es-ES"/>
        </w:rPr>
        <w:t>empréstitos con desembolsos iniciales</w:t>
      </w:r>
      <w:r w:rsidR="00D52D0E" w:rsidRPr="00D52D0E">
        <w:rPr>
          <w:rFonts w:ascii="Century Gothic" w:hAnsi="Century Gothic"/>
          <w:lang w:val="es-ES"/>
        </w:rPr>
        <w:t>,</w:t>
      </w:r>
      <w:r w:rsidRPr="00D52D0E">
        <w:rPr>
          <w:rFonts w:ascii="Century Gothic" w:hAnsi="Century Gothic"/>
          <w:lang w:val="es-ES"/>
        </w:rPr>
        <w:t xml:space="preserve"> así:</w:t>
      </w:r>
    </w:p>
    <w:p w14:paraId="58364824" w14:textId="41D7ADB0" w:rsidR="004251F5" w:rsidRPr="00D52D0E" w:rsidRDefault="004B312B" w:rsidP="004B312B">
      <w:pPr>
        <w:pStyle w:val="Epgrafe"/>
        <w:spacing w:after="0"/>
        <w:jc w:val="center"/>
        <w:rPr>
          <w:rFonts w:ascii="Century Gothic" w:hAnsi="Century Gothic"/>
          <w:lang w:val="es-ES"/>
        </w:rPr>
      </w:pPr>
      <w:bookmarkStart w:id="112" w:name="_Toc532566072"/>
      <w:r w:rsidRPr="00D52D0E">
        <w:rPr>
          <w:rFonts w:ascii="Century Gothic" w:hAnsi="Century Gothic"/>
          <w:b w:val="0"/>
          <w:color w:val="auto"/>
          <w:sz w:val="22"/>
          <w:szCs w:val="22"/>
          <w:lang w:val="es-ES"/>
        </w:rPr>
        <w:t xml:space="preserve">Gráfica </w:t>
      </w:r>
      <w:r w:rsidRPr="00D52D0E">
        <w:rPr>
          <w:rFonts w:ascii="Century Gothic" w:hAnsi="Century Gothic"/>
          <w:b w:val="0"/>
          <w:color w:val="auto"/>
          <w:sz w:val="22"/>
          <w:szCs w:val="22"/>
          <w:lang w:val="es-ES"/>
        </w:rPr>
        <w:fldChar w:fldCharType="begin"/>
      </w:r>
      <w:r w:rsidRPr="00D52D0E">
        <w:rPr>
          <w:rFonts w:ascii="Century Gothic" w:hAnsi="Century Gothic"/>
          <w:b w:val="0"/>
          <w:color w:val="auto"/>
          <w:sz w:val="22"/>
          <w:szCs w:val="22"/>
          <w:lang w:val="es-ES"/>
        </w:rPr>
        <w:instrText xml:space="preserve"> SEQ Gráfica \* ARABIC </w:instrText>
      </w:r>
      <w:r w:rsidRPr="00D52D0E">
        <w:rPr>
          <w:rFonts w:ascii="Century Gothic" w:hAnsi="Century Gothic"/>
          <w:b w:val="0"/>
          <w:color w:val="auto"/>
          <w:sz w:val="22"/>
          <w:szCs w:val="22"/>
          <w:lang w:val="es-ES"/>
        </w:rPr>
        <w:fldChar w:fldCharType="separate"/>
      </w:r>
      <w:r w:rsidR="004A2E30" w:rsidRPr="00D52D0E">
        <w:rPr>
          <w:rFonts w:ascii="Century Gothic" w:hAnsi="Century Gothic"/>
          <w:b w:val="0"/>
          <w:noProof/>
          <w:color w:val="auto"/>
          <w:sz w:val="22"/>
          <w:szCs w:val="22"/>
          <w:lang w:val="es-ES"/>
        </w:rPr>
        <w:t>18</w:t>
      </w:r>
      <w:r w:rsidRPr="00D52D0E">
        <w:rPr>
          <w:rFonts w:ascii="Century Gothic" w:hAnsi="Century Gothic"/>
          <w:b w:val="0"/>
          <w:color w:val="auto"/>
          <w:sz w:val="22"/>
          <w:szCs w:val="22"/>
          <w:lang w:val="es-ES"/>
        </w:rPr>
        <w:fldChar w:fldCharType="end"/>
      </w:r>
      <w:r w:rsidRPr="00D52D0E">
        <w:rPr>
          <w:rFonts w:ascii="Century Gothic" w:hAnsi="Century Gothic"/>
          <w:b w:val="0"/>
          <w:color w:val="auto"/>
          <w:sz w:val="22"/>
          <w:szCs w:val="22"/>
          <w:lang w:val="es-ES"/>
        </w:rPr>
        <w:t>.</w:t>
      </w:r>
      <w:r w:rsidR="004251F5" w:rsidRPr="00D52D0E">
        <w:rPr>
          <w:rFonts w:ascii="Century Gothic" w:hAnsi="Century Gothic"/>
          <w:b w:val="0"/>
          <w:color w:val="auto"/>
          <w:sz w:val="22"/>
          <w:szCs w:val="22"/>
          <w:lang w:val="es-ES"/>
        </w:rPr>
        <w:t xml:space="preserve"> </w:t>
      </w:r>
      <w:r w:rsidRPr="00D52D0E">
        <w:rPr>
          <w:rFonts w:ascii="Century Gothic" w:hAnsi="Century Gothic"/>
          <w:b w:val="0"/>
          <w:bCs w:val="0"/>
          <w:color w:val="auto"/>
          <w:sz w:val="22"/>
          <w:szCs w:val="22"/>
          <w:lang w:val="es-ES"/>
        </w:rPr>
        <w:t xml:space="preserve">Saldo de la deuda. 31 de </w:t>
      </w:r>
      <w:r w:rsidR="00D52D0E" w:rsidRPr="00D52D0E">
        <w:rPr>
          <w:rFonts w:ascii="Century Gothic" w:hAnsi="Century Gothic"/>
          <w:b w:val="0"/>
          <w:bCs w:val="0"/>
          <w:color w:val="auto"/>
          <w:sz w:val="22"/>
          <w:szCs w:val="22"/>
          <w:lang w:val="es-ES"/>
        </w:rPr>
        <w:t>d</w:t>
      </w:r>
      <w:r w:rsidRPr="00D52D0E">
        <w:rPr>
          <w:rFonts w:ascii="Century Gothic" w:hAnsi="Century Gothic"/>
          <w:b w:val="0"/>
          <w:bCs w:val="0"/>
          <w:color w:val="auto"/>
          <w:sz w:val="22"/>
          <w:szCs w:val="22"/>
          <w:lang w:val="es-ES"/>
        </w:rPr>
        <w:t>iciembre de 2017 (miles de pesos)</w:t>
      </w:r>
      <w:r w:rsidRPr="00D52D0E">
        <w:rPr>
          <w:rFonts w:ascii="Century Gothic" w:hAnsi="Century Gothic"/>
          <w:noProof/>
          <w:lang w:val="es-ES" w:eastAsia="es-ES"/>
        </w:rPr>
        <w:t xml:space="preserve"> </w:t>
      </w:r>
      <w:r w:rsidRPr="00D52D0E">
        <w:rPr>
          <w:rFonts w:ascii="Century Gothic" w:hAnsi="Century Gothic"/>
          <w:noProof/>
          <w:lang w:val="es-ES" w:eastAsia="es-ES"/>
        </w:rPr>
        <w:drawing>
          <wp:inline distT="0" distB="0" distL="0" distR="0" wp14:anchorId="68B8DF12" wp14:editId="365E856C">
            <wp:extent cx="4305300" cy="2057400"/>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bookmarkEnd w:id="112"/>
    </w:p>
    <w:p w14:paraId="357A78FA" w14:textId="4D71F714" w:rsidR="004251F5" w:rsidRPr="00D52D0E" w:rsidRDefault="004B312B" w:rsidP="00690F34">
      <w:pPr>
        <w:jc w:val="center"/>
        <w:rPr>
          <w:rFonts w:ascii="Century Gothic" w:hAnsi="Century Gothic"/>
          <w:lang w:val="es-ES"/>
        </w:rPr>
      </w:pPr>
      <w:r w:rsidRPr="00D52D0E">
        <w:rPr>
          <w:rFonts w:ascii="Century Gothic" w:hAnsi="Century Gothic"/>
          <w:sz w:val="20"/>
          <w:lang w:val="es-ES"/>
        </w:rPr>
        <w:t>Fuente: Secretaria de Hacienda</w:t>
      </w:r>
      <w:r w:rsidR="000F42A5" w:rsidRPr="00D52D0E">
        <w:rPr>
          <w:rFonts w:ascii="Century Gothic" w:hAnsi="Century Gothic"/>
          <w:sz w:val="20"/>
          <w:lang w:val="es-ES"/>
        </w:rPr>
        <w:t>, 201</w:t>
      </w:r>
      <w:r w:rsidRPr="00D52D0E">
        <w:rPr>
          <w:rFonts w:ascii="Century Gothic" w:hAnsi="Century Gothic"/>
          <w:sz w:val="20"/>
          <w:lang w:val="es-ES"/>
        </w:rPr>
        <w:t>8</w:t>
      </w:r>
      <w:r w:rsidR="000F42A5" w:rsidRPr="00D52D0E">
        <w:rPr>
          <w:rFonts w:ascii="Century Gothic" w:hAnsi="Century Gothic"/>
          <w:sz w:val="20"/>
          <w:lang w:val="es-ES"/>
        </w:rPr>
        <w:t xml:space="preserve"> </w:t>
      </w:r>
    </w:p>
    <w:p w14:paraId="367FD7E0" w14:textId="37165BF5" w:rsidR="004251F5" w:rsidRPr="00D52D0E" w:rsidRDefault="004B312B" w:rsidP="004251F5">
      <w:pPr>
        <w:jc w:val="both"/>
        <w:rPr>
          <w:rFonts w:ascii="Century Gothic" w:hAnsi="Century Gothic"/>
          <w:lang w:val="es-ES"/>
        </w:rPr>
      </w:pPr>
      <w:r w:rsidRPr="00D52D0E">
        <w:rPr>
          <w:rFonts w:ascii="Century Gothic" w:hAnsi="Century Gothic"/>
          <w:lang w:val="es-ES"/>
        </w:rPr>
        <w:lastRenderedPageBreak/>
        <w:t xml:space="preserve">El saldo de la </w:t>
      </w:r>
      <w:r w:rsidR="00D52D0E" w:rsidRPr="00D52D0E">
        <w:rPr>
          <w:rFonts w:ascii="Century Gothic" w:hAnsi="Century Gothic"/>
          <w:lang w:val="es-ES"/>
        </w:rPr>
        <w:t xml:space="preserve">deuda pública </w:t>
      </w:r>
      <w:r w:rsidRPr="00D52D0E">
        <w:rPr>
          <w:rFonts w:ascii="Century Gothic" w:hAnsi="Century Gothic"/>
          <w:lang w:val="es-ES"/>
        </w:rPr>
        <w:t>Interna representa el valor de las obligaciones a 31 de diciembre de 2017 distribuida por entidad financiera así: BANCOLOMBIA S.A., $8.405 millones con una participación del 37</w:t>
      </w:r>
      <w:r w:rsidR="00AA639F" w:rsidRPr="00D52D0E">
        <w:rPr>
          <w:rFonts w:ascii="Century Gothic" w:hAnsi="Century Gothic"/>
          <w:lang w:val="es-ES"/>
        </w:rPr>
        <w:t xml:space="preserve"> por ciento</w:t>
      </w:r>
      <w:r w:rsidRPr="00D52D0E">
        <w:rPr>
          <w:rFonts w:ascii="Century Gothic" w:hAnsi="Century Gothic"/>
          <w:lang w:val="es-ES"/>
        </w:rPr>
        <w:t>, Banco de Occidente, $12.472 millones, con participación porcentual del 20</w:t>
      </w:r>
      <w:r w:rsidR="00AA639F" w:rsidRPr="00D52D0E">
        <w:rPr>
          <w:rFonts w:ascii="Century Gothic" w:hAnsi="Century Gothic"/>
          <w:lang w:val="es-ES"/>
        </w:rPr>
        <w:t xml:space="preserve"> por ciento</w:t>
      </w:r>
      <w:r w:rsidRPr="00D52D0E">
        <w:rPr>
          <w:rFonts w:ascii="Century Gothic" w:hAnsi="Century Gothic"/>
          <w:lang w:val="es-ES"/>
        </w:rPr>
        <w:t xml:space="preserve"> y BBVA, $34.780 millones que equivale al 43</w:t>
      </w:r>
      <w:r w:rsidR="00AA639F" w:rsidRPr="00D52D0E">
        <w:rPr>
          <w:rFonts w:ascii="Century Gothic" w:hAnsi="Century Gothic"/>
          <w:lang w:val="es-ES"/>
        </w:rPr>
        <w:t xml:space="preserve"> por ciento</w:t>
      </w:r>
      <w:r w:rsidRPr="00D52D0E">
        <w:rPr>
          <w:rFonts w:ascii="Century Gothic" w:hAnsi="Century Gothic"/>
          <w:lang w:val="es-ES"/>
        </w:rPr>
        <w:t>.</w:t>
      </w:r>
    </w:p>
    <w:p w14:paraId="7481570E" w14:textId="20E033D2" w:rsidR="004251F5" w:rsidRPr="008954F2" w:rsidRDefault="004B312B" w:rsidP="0093120D">
      <w:pPr>
        <w:pStyle w:val="Epgrafe"/>
        <w:spacing w:after="0"/>
        <w:jc w:val="center"/>
        <w:rPr>
          <w:rStyle w:val="Ttulo1Car"/>
        </w:rPr>
      </w:pPr>
      <w:bookmarkStart w:id="113" w:name="_Toc532566073"/>
      <w:r w:rsidRPr="00D52D0E">
        <w:rPr>
          <w:rFonts w:ascii="Century Gothic" w:hAnsi="Century Gothic"/>
          <w:b w:val="0"/>
          <w:color w:val="auto"/>
          <w:sz w:val="22"/>
          <w:szCs w:val="22"/>
          <w:lang w:val="es-ES"/>
        </w:rPr>
        <w:t xml:space="preserve">Gráfica </w:t>
      </w:r>
      <w:r w:rsidRPr="00D52D0E">
        <w:rPr>
          <w:rFonts w:ascii="Century Gothic" w:hAnsi="Century Gothic"/>
          <w:b w:val="0"/>
          <w:color w:val="auto"/>
          <w:sz w:val="22"/>
          <w:szCs w:val="22"/>
          <w:lang w:val="es-ES"/>
        </w:rPr>
        <w:fldChar w:fldCharType="begin"/>
      </w:r>
      <w:r w:rsidRPr="00D52D0E">
        <w:rPr>
          <w:rFonts w:ascii="Century Gothic" w:hAnsi="Century Gothic"/>
          <w:b w:val="0"/>
          <w:color w:val="auto"/>
          <w:sz w:val="22"/>
          <w:szCs w:val="22"/>
          <w:lang w:val="es-ES"/>
        </w:rPr>
        <w:instrText xml:space="preserve"> SEQ Gráfica \* ARABIC </w:instrText>
      </w:r>
      <w:r w:rsidRPr="00D52D0E">
        <w:rPr>
          <w:rFonts w:ascii="Century Gothic" w:hAnsi="Century Gothic"/>
          <w:b w:val="0"/>
          <w:color w:val="auto"/>
          <w:sz w:val="22"/>
          <w:szCs w:val="22"/>
          <w:lang w:val="es-ES"/>
        </w:rPr>
        <w:fldChar w:fldCharType="separate"/>
      </w:r>
      <w:r w:rsidR="004A2E30" w:rsidRPr="00D52D0E">
        <w:rPr>
          <w:rFonts w:ascii="Century Gothic" w:hAnsi="Century Gothic"/>
          <w:b w:val="0"/>
          <w:noProof/>
          <w:color w:val="auto"/>
          <w:sz w:val="22"/>
          <w:szCs w:val="22"/>
          <w:lang w:val="es-ES"/>
        </w:rPr>
        <w:t>19</w:t>
      </w:r>
      <w:r w:rsidRPr="00D52D0E">
        <w:rPr>
          <w:rFonts w:ascii="Century Gothic" w:hAnsi="Century Gothic"/>
          <w:b w:val="0"/>
          <w:color w:val="auto"/>
          <w:sz w:val="22"/>
          <w:szCs w:val="22"/>
          <w:lang w:val="es-ES"/>
        </w:rPr>
        <w:fldChar w:fldCharType="end"/>
      </w:r>
      <w:r w:rsidRPr="00D52D0E">
        <w:rPr>
          <w:rFonts w:ascii="Century Gothic" w:hAnsi="Century Gothic"/>
          <w:b w:val="0"/>
          <w:color w:val="auto"/>
          <w:sz w:val="22"/>
          <w:szCs w:val="22"/>
          <w:lang w:val="es-ES"/>
        </w:rPr>
        <w:t xml:space="preserve">. Participación endeudamiento. 31 de Diciembre de 2017 </w:t>
      </w:r>
      <w:r w:rsidRPr="00D52D0E">
        <w:rPr>
          <w:rFonts w:ascii="Century Gothic" w:hAnsi="Century Gothic"/>
          <w:noProof/>
          <w:lang w:val="es-ES" w:eastAsia="es-ES"/>
        </w:rPr>
        <w:drawing>
          <wp:inline distT="0" distB="0" distL="0" distR="0" wp14:anchorId="5430D5FB" wp14:editId="23FD9715">
            <wp:extent cx="4640580" cy="1714500"/>
            <wp:effectExtent l="0" t="0" r="7620" b="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bookmarkEnd w:id="113"/>
    </w:p>
    <w:p w14:paraId="12518A0D" w14:textId="77777777" w:rsidR="004B312B" w:rsidRPr="001E2110" w:rsidRDefault="004B312B" w:rsidP="004B312B">
      <w:pPr>
        <w:jc w:val="center"/>
        <w:rPr>
          <w:rFonts w:ascii="Century Gothic" w:hAnsi="Century Gothic"/>
          <w:highlight w:val="yellow"/>
          <w:lang w:val="es-ES"/>
        </w:rPr>
      </w:pPr>
      <w:r w:rsidRPr="00D52D0E">
        <w:rPr>
          <w:rFonts w:ascii="Century Gothic" w:hAnsi="Century Gothic"/>
          <w:sz w:val="20"/>
          <w:lang w:val="es-ES"/>
        </w:rPr>
        <w:t xml:space="preserve">Fuente: Secretaria de Hacienda, 2018 </w:t>
      </w:r>
    </w:p>
    <w:p w14:paraId="4C539B1D" w14:textId="6FD29ABF" w:rsidR="0093120D" w:rsidRPr="00D52D0E" w:rsidRDefault="004B312B" w:rsidP="0093120D">
      <w:pPr>
        <w:pStyle w:val="Epgrafe"/>
        <w:spacing w:after="0" w:line="276" w:lineRule="auto"/>
        <w:jc w:val="center"/>
        <w:rPr>
          <w:rFonts w:ascii="Century Gothic" w:hAnsi="Century Gothic"/>
          <w:b w:val="0"/>
          <w:color w:val="auto"/>
          <w:sz w:val="22"/>
          <w:szCs w:val="22"/>
          <w:lang w:val="es-ES"/>
        </w:rPr>
      </w:pPr>
      <w:bookmarkStart w:id="114" w:name="_Toc532566074"/>
      <w:r w:rsidRPr="00D52D0E">
        <w:rPr>
          <w:rFonts w:ascii="Century Gothic" w:hAnsi="Century Gothic"/>
          <w:b w:val="0"/>
          <w:color w:val="auto"/>
          <w:sz w:val="22"/>
          <w:szCs w:val="22"/>
          <w:lang w:val="es-ES"/>
        </w:rPr>
        <w:t xml:space="preserve">Gráfica </w:t>
      </w:r>
      <w:r w:rsidRPr="00D52D0E">
        <w:rPr>
          <w:rFonts w:ascii="Century Gothic" w:hAnsi="Century Gothic"/>
          <w:b w:val="0"/>
          <w:color w:val="auto"/>
          <w:sz w:val="22"/>
          <w:szCs w:val="22"/>
          <w:lang w:val="es-ES"/>
        </w:rPr>
        <w:fldChar w:fldCharType="begin"/>
      </w:r>
      <w:r w:rsidRPr="00D52D0E">
        <w:rPr>
          <w:rFonts w:ascii="Century Gothic" w:hAnsi="Century Gothic"/>
          <w:b w:val="0"/>
          <w:color w:val="auto"/>
          <w:sz w:val="22"/>
          <w:szCs w:val="22"/>
          <w:lang w:val="es-ES"/>
        </w:rPr>
        <w:instrText xml:space="preserve"> SEQ Gráfica \* ARABIC </w:instrText>
      </w:r>
      <w:r w:rsidRPr="00D52D0E">
        <w:rPr>
          <w:rFonts w:ascii="Century Gothic" w:hAnsi="Century Gothic"/>
          <w:b w:val="0"/>
          <w:color w:val="auto"/>
          <w:sz w:val="22"/>
          <w:szCs w:val="22"/>
          <w:lang w:val="es-ES"/>
        </w:rPr>
        <w:fldChar w:fldCharType="separate"/>
      </w:r>
      <w:r w:rsidR="004A2E30" w:rsidRPr="00D52D0E">
        <w:rPr>
          <w:rFonts w:ascii="Century Gothic" w:hAnsi="Century Gothic"/>
          <w:b w:val="0"/>
          <w:noProof/>
          <w:color w:val="auto"/>
          <w:sz w:val="22"/>
          <w:szCs w:val="22"/>
          <w:lang w:val="es-ES"/>
        </w:rPr>
        <w:t>20</w:t>
      </w:r>
      <w:r w:rsidRPr="00D52D0E">
        <w:rPr>
          <w:rFonts w:ascii="Century Gothic" w:hAnsi="Century Gothic"/>
          <w:b w:val="0"/>
          <w:color w:val="auto"/>
          <w:sz w:val="22"/>
          <w:szCs w:val="22"/>
          <w:lang w:val="es-ES"/>
        </w:rPr>
        <w:fldChar w:fldCharType="end"/>
      </w:r>
      <w:r w:rsidRPr="00D52D0E">
        <w:rPr>
          <w:rFonts w:ascii="Century Gothic" w:hAnsi="Century Gothic"/>
          <w:b w:val="0"/>
          <w:color w:val="auto"/>
          <w:sz w:val="22"/>
          <w:szCs w:val="22"/>
          <w:lang w:val="es-ES"/>
        </w:rPr>
        <w:t xml:space="preserve">. </w:t>
      </w:r>
      <w:r w:rsidR="0016186A" w:rsidRPr="00D52D0E">
        <w:rPr>
          <w:rFonts w:ascii="Century Gothic" w:hAnsi="Century Gothic"/>
          <w:b w:val="0"/>
          <w:color w:val="auto"/>
          <w:sz w:val="22"/>
          <w:szCs w:val="22"/>
          <w:lang w:val="es-ES"/>
        </w:rPr>
        <w:t>Endeudamiento</w:t>
      </w:r>
      <w:bookmarkEnd w:id="114"/>
      <w:r w:rsidR="0016186A" w:rsidRPr="00D52D0E">
        <w:rPr>
          <w:rFonts w:ascii="Century Gothic" w:hAnsi="Century Gothic"/>
          <w:b w:val="0"/>
          <w:color w:val="auto"/>
          <w:sz w:val="22"/>
          <w:szCs w:val="22"/>
          <w:lang w:val="es-ES"/>
        </w:rPr>
        <w:t xml:space="preserve"> </w:t>
      </w:r>
    </w:p>
    <w:p w14:paraId="3AF3B360" w14:textId="25FEF041" w:rsidR="004B312B" w:rsidRPr="008954F2" w:rsidRDefault="0093120D" w:rsidP="0093120D">
      <w:pPr>
        <w:pStyle w:val="Epgrafe"/>
        <w:tabs>
          <w:tab w:val="center" w:pos="4419"/>
          <w:tab w:val="left" w:pos="8136"/>
        </w:tabs>
        <w:spacing w:after="0"/>
        <w:rPr>
          <w:rStyle w:val="Ttulo1Car"/>
        </w:rPr>
      </w:pPr>
      <w:r w:rsidRPr="00D52D0E">
        <w:rPr>
          <w:rFonts w:ascii="Century Gothic" w:hAnsi="Century Gothic"/>
          <w:b w:val="0"/>
          <w:color w:val="auto"/>
          <w:sz w:val="22"/>
          <w:szCs w:val="22"/>
          <w:lang w:val="es-ES"/>
        </w:rPr>
        <w:tab/>
      </w:r>
      <w:r w:rsidR="004B312B" w:rsidRPr="00D52D0E">
        <w:rPr>
          <w:rFonts w:ascii="Century Gothic" w:hAnsi="Century Gothic"/>
          <w:b w:val="0"/>
          <w:color w:val="auto"/>
          <w:sz w:val="22"/>
          <w:szCs w:val="22"/>
          <w:lang w:val="es-ES"/>
        </w:rPr>
        <w:t xml:space="preserve"> </w:t>
      </w:r>
      <w:r w:rsidR="004B312B" w:rsidRPr="00D52D0E">
        <w:rPr>
          <w:rFonts w:ascii="Century Gothic" w:hAnsi="Century Gothic"/>
          <w:noProof/>
          <w:lang w:val="es-ES" w:eastAsia="es-ES"/>
        </w:rPr>
        <w:drawing>
          <wp:inline distT="0" distB="0" distL="0" distR="0" wp14:anchorId="3210B9CC" wp14:editId="63A3E9DE">
            <wp:extent cx="5585460" cy="2133600"/>
            <wp:effectExtent l="0" t="0" r="0" b="0"/>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2353A46" w14:textId="77777777" w:rsidR="004B312B" w:rsidRPr="00D52D0E" w:rsidRDefault="004B312B" w:rsidP="004B312B">
      <w:pPr>
        <w:jc w:val="center"/>
        <w:rPr>
          <w:rFonts w:ascii="Century Gothic" w:hAnsi="Century Gothic"/>
          <w:lang w:val="es-ES"/>
        </w:rPr>
      </w:pPr>
      <w:r w:rsidRPr="00D52D0E">
        <w:rPr>
          <w:rFonts w:ascii="Century Gothic" w:hAnsi="Century Gothic"/>
          <w:sz w:val="20"/>
          <w:lang w:val="es-ES"/>
        </w:rPr>
        <w:t xml:space="preserve">Fuente: Secretaria de Hacienda, 2018 </w:t>
      </w:r>
    </w:p>
    <w:p w14:paraId="4A69DCDE" w14:textId="40A9343A" w:rsidR="0093120D" w:rsidRPr="004F37BD" w:rsidRDefault="0093120D" w:rsidP="0093120D">
      <w:pPr>
        <w:jc w:val="both"/>
        <w:rPr>
          <w:rFonts w:ascii="Century Gothic" w:hAnsi="Century Gothic"/>
          <w:lang w:val="es-ES"/>
        </w:rPr>
      </w:pPr>
      <w:r w:rsidRPr="004F37BD">
        <w:rPr>
          <w:rFonts w:ascii="Century Gothic" w:hAnsi="Century Gothic"/>
          <w:lang w:val="es-ES"/>
        </w:rPr>
        <w:t xml:space="preserve">La destinación de los recursos de crédito del endeudamiento total, </w:t>
      </w:r>
      <w:r w:rsidR="00D52D0E" w:rsidRPr="004F37BD">
        <w:rPr>
          <w:rFonts w:ascii="Century Gothic" w:hAnsi="Century Gothic"/>
          <w:lang w:val="es-ES"/>
        </w:rPr>
        <w:t xml:space="preserve">se fijó </w:t>
      </w:r>
      <w:r w:rsidRPr="004F37BD">
        <w:rPr>
          <w:rFonts w:ascii="Century Gothic" w:hAnsi="Century Gothic"/>
          <w:lang w:val="es-ES"/>
        </w:rPr>
        <w:t>así:</w:t>
      </w:r>
    </w:p>
    <w:p w14:paraId="081BF885" w14:textId="257EE788" w:rsidR="00D52D0E" w:rsidRPr="004F37BD" w:rsidRDefault="0093120D" w:rsidP="00E74FB1">
      <w:pPr>
        <w:pStyle w:val="Prrafodelista"/>
        <w:numPr>
          <w:ilvl w:val="0"/>
          <w:numId w:val="46"/>
        </w:numPr>
        <w:spacing w:after="240" w:line="276" w:lineRule="auto"/>
        <w:ind w:left="0" w:firstLine="0"/>
        <w:rPr>
          <w:lang w:val="es-ES"/>
        </w:rPr>
      </w:pPr>
      <w:r w:rsidRPr="004F37BD">
        <w:rPr>
          <w:lang w:val="es-ES"/>
        </w:rPr>
        <w:t xml:space="preserve">Sistema Estratégico de Transporte Público, mejoramiento sede San Andrés, mantenimiento de la malla vial urbana y rural, mejoramiento de infraestructura </w:t>
      </w:r>
      <w:r w:rsidR="00D52D0E" w:rsidRPr="004F37BD">
        <w:rPr>
          <w:lang w:val="es-ES"/>
        </w:rPr>
        <w:t>educativa, f</w:t>
      </w:r>
      <w:r w:rsidRPr="004F37BD">
        <w:rPr>
          <w:lang w:val="es-ES"/>
        </w:rPr>
        <w:t xml:space="preserve">usión INVAP </w:t>
      </w:r>
      <w:r w:rsidR="000F3380" w:rsidRPr="004F37BD">
        <w:rPr>
          <w:lang w:val="es-ES"/>
        </w:rPr>
        <w:t>–</w:t>
      </w:r>
      <w:r w:rsidRPr="004F37BD">
        <w:rPr>
          <w:lang w:val="es-ES"/>
        </w:rPr>
        <w:t xml:space="preserve"> </w:t>
      </w:r>
      <w:r w:rsidR="00D52D0E" w:rsidRPr="004F37BD">
        <w:rPr>
          <w:lang w:val="es-ES"/>
        </w:rPr>
        <w:t>m</w:t>
      </w:r>
      <w:r w:rsidRPr="004F37BD">
        <w:rPr>
          <w:lang w:val="es-ES"/>
        </w:rPr>
        <w:t xml:space="preserve">unicipio de Pasto, </w:t>
      </w:r>
      <w:r w:rsidR="00D52D0E" w:rsidRPr="004F37BD">
        <w:rPr>
          <w:lang w:val="es-ES"/>
        </w:rPr>
        <w:t>p</w:t>
      </w:r>
      <w:r w:rsidRPr="004F37BD">
        <w:rPr>
          <w:lang w:val="es-ES"/>
        </w:rPr>
        <w:t xml:space="preserve">royecto de atención integral reconversión laboral y </w:t>
      </w:r>
      <w:r w:rsidR="000F3380" w:rsidRPr="004F37BD">
        <w:rPr>
          <w:lang w:val="es-ES"/>
        </w:rPr>
        <w:t>p</w:t>
      </w:r>
      <w:r w:rsidRPr="004F37BD">
        <w:rPr>
          <w:lang w:val="es-ES"/>
        </w:rPr>
        <w:t xml:space="preserve">roductiva a personas que trabajan con carretillas de tracción animal del </w:t>
      </w:r>
      <w:r w:rsidR="00D52D0E" w:rsidRPr="004F37BD">
        <w:rPr>
          <w:lang w:val="es-ES"/>
        </w:rPr>
        <w:t>m</w:t>
      </w:r>
      <w:r w:rsidRPr="004F37BD">
        <w:rPr>
          <w:lang w:val="es-ES"/>
        </w:rPr>
        <w:t>unicipio de Pasto y sustitución de los equinos propendiendo por el bienestar animal.</w:t>
      </w:r>
    </w:p>
    <w:p w14:paraId="0C84E796" w14:textId="46AC46EB" w:rsidR="0093120D" w:rsidRPr="004F37BD" w:rsidRDefault="00D52D0E" w:rsidP="0093120D">
      <w:pPr>
        <w:jc w:val="both"/>
        <w:rPr>
          <w:rFonts w:ascii="Century Gothic" w:hAnsi="Century Gothic"/>
          <w:lang w:val="es-ES"/>
        </w:rPr>
      </w:pPr>
      <w:r w:rsidRPr="004F37BD">
        <w:rPr>
          <w:rFonts w:ascii="Century Gothic" w:hAnsi="Century Gothic"/>
          <w:lang w:val="es-ES"/>
        </w:rPr>
        <w:lastRenderedPageBreak/>
        <w:t>En la vigencia 2017 se efectuó</w:t>
      </w:r>
      <w:r w:rsidR="0093120D" w:rsidRPr="004F37BD">
        <w:rPr>
          <w:rFonts w:ascii="Century Gothic" w:hAnsi="Century Gothic"/>
          <w:lang w:val="es-ES"/>
        </w:rPr>
        <w:t xml:space="preserve"> desembolso </w:t>
      </w:r>
      <w:r w:rsidRPr="004F37BD">
        <w:rPr>
          <w:rFonts w:ascii="Century Gothic" w:hAnsi="Century Gothic"/>
          <w:lang w:val="es-ES"/>
        </w:rPr>
        <w:t xml:space="preserve">de acuerdo a la </w:t>
      </w:r>
      <w:r w:rsidR="0093120D" w:rsidRPr="004F37BD">
        <w:rPr>
          <w:rFonts w:ascii="Century Gothic" w:hAnsi="Century Gothic"/>
          <w:lang w:val="es-ES"/>
        </w:rPr>
        <w:t>contratación autorizada</w:t>
      </w:r>
      <w:r w:rsidRPr="004F37BD">
        <w:rPr>
          <w:rFonts w:ascii="Century Gothic" w:hAnsi="Century Gothic"/>
          <w:lang w:val="es-ES"/>
        </w:rPr>
        <w:t xml:space="preserve"> que,</w:t>
      </w:r>
      <w:r w:rsidR="0093120D" w:rsidRPr="004F37BD">
        <w:rPr>
          <w:rFonts w:ascii="Century Gothic" w:hAnsi="Century Gothic"/>
          <w:lang w:val="es-ES"/>
        </w:rPr>
        <w:t xml:space="preserve"> mediante Acuerdo </w:t>
      </w:r>
      <w:r w:rsidRPr="004F37BD">
        <w:rPr>
          <w:rFonts w:ascii="Century Gothic" w:hAnsi="Century Gothic"/>
          <w:lang w:val="es-ES"/>
        </w:rPr>
        <w:t xml:space="preserve">No. </w:t>
      </w:r>
      <w:r w:rsidR="0093120D" w:rsidRPr="004F37BD">
        <w:rPr>
          <w:rFonts w:ascii="Century Gothic" w:hAnsi="Century Gothic"/>
          <w:lang w:val="es-ES"/>
        </w:rPr>
        <w:t xml:space="preserve">042 del 29 de </w:t>
      </w:r>
      <w:r w:rsidR="000F3380" w:rsidRPr="004F37BD">
        <w:rPr>
          <w:rFonts w:ascii="Century Gothic" w:hAnsi="Century Gothic"/>
          <w:lang w:val="es-ES"/>
        </w:rPr>
        <w:t>noviembre</w:t>
      </w:r>
      <w:r w:rsidR="0093120D" w:rsidRPr="004F37BD">
        <w:rPr>
          <w:rFonts w:ascii="Century Gothic" w:hAnsi="Century Gothic"/>
          <w:lang w:val="es-ES"/>
        </w:rPr>
        <w:t xml:space="preserve"> de 2016, se establece del monto autorizado hasta $7.250 millones, destinado para el Proyecto de atención integral reconversión laboral y </w:t>
      </w:r>
      <w:r w:rsidRPr="004F37BD">
        <w:rPr>
          <w:rFonts w:ascii="Century Gothic" w:hAnsi="Century Gothic"/>
          <w:lang w:val="es-ES"/>
        </w:rPr>
        <w:t>p</w:t>
      </w:r>
      <w:r w:rsidR="0093120D" w:rsidRPr="004F37BD">
        <w:rPr>
          <w:rFonts w:ascii="Century Gothic" w:hAnsi="Century Gothic"/>
          <w:lang w:val="es-ES"/>
        </w:rPr>
        <w:t xml:space="preserve">roductiva a personas que trabajan con carretillas de tracción animal del </w:t>
      </w:r>
      <w:r w:rsidRPr="004F37BD">
        <w:rPr>
          <w:rFonts w:ascii="Century Gothic" w:hAnsi="Century Gothic"/>
          <w:lang w:val="es-ES"/>
        </w:rPr>
        <w:t>m</w:t>
      </w:r>
      <w:r w:rsidR="0093120D" w:rsidRPr="004F37BD">
        <w:rPr>
          <w:rFonts w:ascii="Century Gothic" w:hAnsi="Century Gothic"/>
          <w:lang w:val="es-ES"/>
        </w:rPr>
        <w:t>unicipio de Pasto y sustitución de los equinos propendiendo por el bienestar animal.</w:t>
      </w:r>
    </w:p>
    <w:p w14:paraId="7A2743CC" w14:textId="4C892A26" w:rsidR="0093120D" w:rsidRPr="008B2F07" w:rsidRDefault="0093120D" w:rsidP="0093120D">
      <w:pPr>
        <w:jc w:val="both"/>
        <w:rPr>
          <w:rFonts w:ascii="Century Gothic" w:hAnsi="Century Gothic"/>
          <w:lang w:val="es-ES"/>
        </w:rPr>
      </w:pPr>
      <w:r w:rsidRPr="004F37BD">
        <w:rPr>
          <w:rFonts w:ascii="Century Gothic" w:hAnsi="Century Gothic"/>
          <w:lang w:val="es-ES"/>
        </w:rPr>
        <w:t>Mediante Acuerdo No</w:t>
      </w:r>
      <w:r w:rsidR="00D52D0E" w:rsidRPr="004F37BD">
        <w:rPr>
          <w:rFonts w:ascii="Century Gothic" w:hAnsi="Century Gothic"/>
          <w:lang w:val="es-ES"/>
        </w:rPr>
        <w:t>.</w:t>
      </w:r>
      <w:r w:rsidRPr="004F37BD">
        <w:rPr>
          <w:rFonts w:ascii="Century Gothic" w:hAnsi="Century Gothic"/>
          <w:lang w:val="es-ES"/>
        </w:rPr>
        <w:t xml:space="preserve"> 019 del 28 de junio de 2017, se facult</w:t>
      </w:r>
      <w:r w:rsidR="00D52D0E" w:rsidRPr="004F37BD">
        <w:rPr>
          <w:rFonts w:ascii="Century Gothic" w:hAnsi="Century Gothic"/>
          <w:lang w:val="es-ES"/>
        </w:rPr>
        <w:t>ó</w:t>
      </w:r>
      <w:r w:rsidRPr="004F37BD">
        <w:rPr>
          <w:rFonts w:ascii="Century Gothic" w:hAnsi="Century Gothic"/>
          <w:lang w:val="es-ES"/>
        </w:rPr>
        <w:t xml:space="preserve"> al Alcalde para contratar empréstitos por un monto hasta $3.500 millones, para la financiación de proyectos para la interv</w:t>
      </w:r>
      <w:r w:rsidR="00095918">
        <w:rPr>
          <w:rFonts w:ascii="Century Gothic" w:hAnsi="Century Gothic"/>
          <w:lang w:val="es-ES"/>
        </w:rPr>
        <w:t>ención de vías urbanas, cuyos desembol</w:t>
      </w:r>
      <w:r w:rsidR="00095918" w:rsidRPr="00095918">
        <w:rPr>
          <w:rFonts w:ascii="Century Gothic" w:hAnsi="Century Gothic"/>
          <w:lang w:val="es-ES"/>
        </w:rPr>
        <w:t>sos, s</w:t>
      </w:r>
      <w:r w:rsidRPr="00095918">
        <w:rPr>
          <w:rFonts w:ascii="Century Gothic" w:hAnsi="Century Gothic"/>
          <w:lang w:val="es-ES"/>
        </w:rPr>
        <w:t xml:space="preserve">egún </w:t>
      </w:r>
      <w:r w:rsidR="00095918" w:rsidRPr="00095918">
        <w:rPr>
          <w:rFonts w:ascii="Century Gothic" w:hAnsi="Century Gothic"/>
          <w:lang w:val="es-ES"/>
        </w:rPr>
        <w:t xml:space="preserve">el </w:t>
      </w:r>
      <w:r w:rsidR="00095918" w:rsidRPr="008B2F07">
        <w:rPr>
          <w:rFonts w:ascii="Century Gothic" w:hAnsi="Century Gothic"/>
          <w:lang w:val="es-ES"/>
        </w:rPr>
        <w:t>cronograma, se realizaron en</w:t>
      </w:r>
      <w:r w:rsidRPr="008B2F07">
        <w:rPr>
          <w:rFonts w:ascii="Century Gothic" w:hAnsi="Century Gothic"/>
          <w:lang w:val="es-ES"/>
        </w:rPr>
        <w:t xml:space="preserve"> los meses de julio a diciembre.</w:t>
      </w:r>
      <w:r w:rsidR="006C400F" w:rsidRPr="008B2F07">
        <w:rPr>
          <w:rFonts w:ascii="Century Gothic" w:hAnsi="Century Gothic"/>
          <w:lang w:val="es-ES"/>
        </w:rPr>
        <w:t xml:space="preserve"> </w:t>
      </w:r>
    </w:p>
    <w:p w14:paraId="4F60F526" w14:textId="39A01A25" w:rsidR="0093120D" w:rsidRPr="008B2F07" w:rsidRDefault="0093120D" w:rsidP="0093120D">
      <w:pPr>
        <w:jc w:val="both"/>
        <w:rPr>
          <w:rFonts w:ascii="Century Gothic" w:hAnsi="Century Gothic"/>
          <w:lang w:val="es-ES"/>
        </w:rPr>
      </w:pPr>
      <w:r w:rsidRPr="008B2F07">
        <w:rPr>
          <w:rFonts w:ascii="Century Gothic" w:hAnsi="Century Gothic"/>
          <w:lang w:val="es-ES"/>
        </w:rPr>
        <w:t>Mediante Acuerdo No</w:t>
      </w:r>
      <w:r w:rsidR="00095918" w:rsidRPr="008B2F07">
        <w:rPr>
          <w:rFonts w:ascii="Century Gothic" w:hAnsi="Century Gothic"/>
          <w:lang w:val="es-ES"/>
        </w:rPr>
        <w:t>.</w:t>
      </w:r>
      <w:r w:rsidRPr="008B2F07">
        <w:rPr>
          <w:rFonts w:ascii="Century Gothic" w:hAnsi="Century Gothic"/>
          <w:lang w:val="es-ES"/>
        </w:rPr>
        <w:t xml:space="preserve"> 031 del 16 de septiembre de 2017</w:t>
      </w:r>
      <w:r w:rsidR="00095918" w:rsidRPr="008B2F07">
        <w:rPr>
          <w:rFonts w:ascii="Century Gothic" w:hAnsi="Century Gothic"/>
          <w:lang w:val="es-ES"/>
        </w:rPr>
        <w:t>, el Concejo Municipal, autorizó</w:t>
      </w:r>
      <w:r w:rsidRPr="008B2F07">
        <w:rPr>
          <w:rFonts w:ascii="Century Gothic" w:hAnsi="Century Gothic"/>
          <w:lang w:val="es-ES"/>
        </w:rPr>
        <w:t xml:space="preserve"> al Alcalde de Pasto para celebrar contratos de empréstito por valor de $35.874 millones, </w:t>
      </w:r>
      <w:r w:rsidR="00095918" w:rsidRPr="008B2F07">
        <w:rPr>
          <w:rFonts w:ascii="Century Gothic" w:hAnsi="Century Gothic"/>
          <w:lang w:val="es-ES"/>
        </w:rPr>
        <w:t xml:space="preserve">con destino a financiar proyectos estratégicos del Plan de </w:t>
      </w:r>
      <w:r w:rsidR="008B2F07" w:rsidRPr="008B2F07">
        <w:rPr>
          <w:rFonts w:ascii="Century Gothic" w:hAnsi="Century Gothic"/>
          <w:lang w:val="es-ES"/>
        </w:rPr>
        <w:t xml:space="preserve">Desarrollo, cuyo </w:t>
      </w:r>
      <w:r w:rsidRPr="008B2F07">
        <w:rPr>
          <w:rFonts w:ascii="Century Gothic" w:hAnsi="Century Gothic"/>
          <w:lang w:val="es-ES"/>
        </w:rPr>
        <w:t xml:space="preserve">cronograma de desembolsos </w:t>
      </w:r>
      <w:r w:rsidR="008B2F07" w:rsidRPr="008B2F07">
        <w:rPr>
          <w:rFonts w:ascii="Century Gothic" w:hAnsi="Century Gothic"/>
          <w:lang w:val="es-ES"/>
        </w:rPr>
        <w:t xml:space="preserve">se programó </w:t>
      </w:r>
      <w:r w:rsidRPr="008B2F07">
        <w:rPr>
          <w:rFonts w:ascii="Century Gothic" w:hAnsi="Century Gothic"/>
          <w:lang w:val="es-ES"/>
        </w:rPr>
        <w:t xml:space="preserve">para las vigencias </w:t>
      </w:r>
      <w:r w:rsidR="008B2F07" w:rsidRPr="008B2F07">
        <w:rPr>
          <w:rFonts w:ascii="Century Gothic" w:hAnsi="Century Gothic"/>
          <w:lang w:val="es-ES"/>
        </w:rPr>
        <w:t xml:space="preserve">2018 y 2019; </w:t>
      </w:r>
      <w:r w:rsidRPr="008B2F07">
        <w:rPr>
          <w:rFonts w:ascii="Century Gothic" w:hAnsi="Century Gothic"/>
          <w:lang w:val="es-ES"/>
        </w:rPr>
        <w:t>de los cuales</w:t>
      </w:r>
      <w:r w:rsidR="008B2F07" w:rsidRPr="008B2F07">
        <w:rPr>
          <w:rFonts w:ascii="Century Gothic" w:hAnsi="Century Gothic"/>
          <w:lang w:val="es-ES"/>
        </w:rPr>
        <w:t>,</w:t>
      </w:r>
      <w:r w:rsidRPr="008B2F07">
        <w:rPr>
          <w:rFonts w:ascii="Century Gothic" w:hAnsi="Century Gothic"/>
          <w:lang w:val="es-ES"/>
        </w:rPr>
        <w:t xml:space="preserve"> a junio de 2018</w:t>
      </w:r>
      <w:r w:rsidR="008B2F07" w:rsidRPr="008B2F07">
        <w:rPr>
          <w:rFonts w:ascii="Century Gothic" w:hAnsi="Century Gothic"/>
          <w:lang w:val="es-ES"/>
        </w:rPr>
        <w:t>,</w:t>
      </w:r>
      <w:r w:rsidRPr="008B2F07">
        <w:rPr>
          <w:rFonts w:ascii="Century Gothic" w:hAnsi="Century Gothic"/>
          <w:lang w:val="es-ES"/>
        </w:rPr>
        <w:t xml:space="preserve"> se han desembolsado $4.000 millones </w:t>
      </w:r>
      <w:r w:rsidR="008B2F07" w:rsidRPr="008B2F07">
        <w:rPr>
          <w:rFonts w:ascii="Century Gothic" w:hAnsi="Century Gothic"/>
          <w:lang w:val="es-ES"/>
        </w:rPr>
        <w:t xml:space="preserve">destinados a cofinanciar </w:t>
      </w:r>
      <w:r w:rsidRPr="008B2F07">
        <w:rPr>
          <w:rFonts w:ascii="Century Gothic" w:hAnsi="Century Gothic"/>
          <w:lang w:val="es-ES"/>
        </w:rPr>
        <w:t xml:space="preserve">el Sistema de Recaudo del Sistema Estratégico de Transporte Público – SETP. </w:t>
      </w:r>
    </w:p>
    <w:p w14:paraId="44FEEE27" w14:textId="03EFB3BA" w:rsidR="0016186A" w:rsidRPr="008B2F07" w:rsidRDefault="0093120D" w:rsidP="0093120D">
      <w:pPr>
        <w:jc w:val="both"/>
        <w:rPr>
          <w:rFonts w:ascii="Century Gothic" w:hAnsi="Century Gothic"/>
          <w:lang w:val="es-ES"/>
        </w:rPr>
      </w:pPr>
      <w:r w:rsidRPr="008B2F07">
        <w:rPr>
          <w:rFonts w:ascii="Century Gothic" w:hAnsi="Century Gothic"/>
          <w:lang w:val="es-ES"/>
        </w:rPr>
        <w:t>El perfil de la deuda y saldo a 31 de diciembre de 2017 presenta el siguiente</w:t>
      </w:r>
      <w:r w:rsidR="008B2F07" w:rsidRPr="008B2F07">
        <w:rPr>
          <w:rFonts w:ascii="Century Gothic" w:hAnsi="Century Gothic"/>
          <w:lang w:val="es-ES"/>
        </w:rPr>
        <w:t xml:space="preserve"> comportamiento</w:t>
      </w:r>
      <w:r w:rsidRPr="008B2F07">
        <w:rPr>
          <w:rFonts w:ascii="Century Gothic" w:hAnsi="Century Gothic"/>
          <w:lang w:val="es-ES"/>
        </w:rPr>
        <w:t>:</w:t>
      </w:r>
    </w:p>
    <w:p w14:paraId="03031B93" w14:textId="6450C5EE" w:rsidR="0005129F" w:rsidRPr="008B2F07" w:rsidRDefault="0005129F" w:rsidP="0093120D">
      <w:pPr>
        <w:pStyle w:val="Epgrafe"/>
        <w:spacing w:after="0"/>
        <w:jc w:val="center"/>
        <w:rPr>
          <w:rFonts w:ascii="Century Gothic" w:hAnsi="Century Gothic"/>
          <w:b w:val="0"/>
          <w:color w:val="auto"/>
          <w:sz w:val="22"/>
          <w:szCs w:val="22"/>
          <w:lang w:val="es-ES"/>
        </w:rPr>
      </w:pPr>
      <w:bookmarkStart w:id="115" w:name="_Toc532570550"/>
      <w:r w:rsidRPr="008B2F07">
        <w:rPr>
          <w:rFonts w:ascii="Century Gothic" w:hAnsi="Century Gothic"/>
          <w:b w:val="0"/>
          <w:color w:val="auto"/>
          <w:sz w:val="22"/>
          <w:szCs w:val="22"/>
          <w:lang w:val="es-ES"/>
        </w:rPr>
        <w:t xml:space="preserve">Tabla </w:t>
      </w:r>
      <w:r w:rsidRPr="008B2F07">
        <w:rPr>
          <w:rFonts w:ascii="Century Gothic" w:hAnsi="Century Gothic"/>
          <w:b w:val="0"/>
          <w:color w:val="auto"/>
          <w:sz w:val="22"/>
          <w:szCs w:val="22"/>
          <w:lang w:val="es-ES"/>
        </w:rPr>
        <w:fldChar w:fldCharType="begin"/>
      </w:r>
      <w:r w:rsidRPr="008B2F07">
        <w:rPr>
          <w:rFonts w:ascii="Century Gothic" w:hAnsi="Century Gothic"/>
          <w:b w:val="0"/>
          <w:color w:val="auto"/>
          <w:sz w:val="22"/>
          <w:szCs w:val="22"/>
          <w:lang w:val="es-ES"/>
        </w:rPr>
        <w:instrText xml:space="preserve"> SEQ Tabla \* ARABIC </w:instrText>
      </w:r>
      <w:r w:rsidRPr="008B2F07">
        <w:rPr>
          <w:rFonts w:ascii="Century Gothic" w:hAnsi="Century Gothic"/>
          <w:b w:val="0"/>
          <w:color w:val="auto"/>
          <w:sz w:val="22"/>
          <w:szCs w:val="22"/>
          <w:lang w:val="es-ES"/>
        </w:rPr>
        <w:fldChar w:fldCharType="separate"/>
      </w:r>
      <w:r w:rsidR="00934BA3" w:rsidRPr="008B2F07">
        <w:rPr>
          <w:rFonts w:ascii="Century Gothic" w:hAnsi="Century Gothic"/>
          <w:b w:val="0"/>
          <w:noProof/>
          <w:color w:val="auto"/>
          <w:sz w:val="22"/>
          <w:szCs w:val="22"/>
          <w:lang w:val="es-ES"/>
        </w:rPr>
        <w:t>59</w:t>
      </w:r>
      <w:r w:rsidRPr="008B2F07">
        <w:rPr>
          <w:rFonts w:ascii="Century Gothic" w:hAnsi="Century Gothic"/>
          <w:b w:val="0"/>
          <w:color w:val="auto"/>
          <w:sz w:val="22"/>
          <w:szCs w:val="22"/>
          <w:lang w:val="es-ES"/>
        </w:rPr>
        <w:fldChar w:fldCharType="end"/>
      </w:r>
      <w:r w:rsidRPr="008B2F07">
        <w:rPr>
          <w:rFonts w:ascii="Century Gothic" w:hAnsi="Century Gothic"/>
          <w:b w:val="0"/>
          <w:color w:val="auto"/>
          <w:sz w:val="22"/>
          <w:szCs w:val="22"/>
          <w:lang w:val="es-ES"/>
        </w:rPr>
        <w:t>. Estado de deuda pública</w:t>
      </w:r>
      <w:bookmarkEnd w:id="115"/>
    </w:p>
    <w:p w14:paraId="447CB3C9" w14:textId="77777777" w:rsidR="00E74FB1" w:rsidRDefault="00E74FB1" w:rsidP="0093120D">
      <w:pPr>
        <w:spacing w:after="0"/>
        <w:jc w:val="center"/>
        <w:rPr>
          <w:rFonts w:ascii="Century Gothic" w:hAnsi="Century Gothic"/>
          <w:lang w:val="es-ES"/>
        </w:rPr>
      </w:pPr>
      <w:r w:rsidRPr="008B2F07">
        <w:rPr>
          <w:rFonts w:ascii="Century Gothic" w:hAnsi="Century Gothic"/>
          <w:noProof/>
          <w:lang w:val="es-ES" w:eastAsia="es-ES"/>
        </w:rPr>
        <w:drawing>
          <wp:inline distT="0" distB="0" distL="0" distR="0" wp14:anchorId="0C03FC07" wp14:editId="4CDFE5B8">
            <wp:extent cx="5547359" cy="2468880"/>
            <wp:effectExtent l="0" t="0" r="0" b="7620"/>
            <wp:docPr id="43" name="Imagen 43"/>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54">
                      <a:extLst>
                        <a:ext uri="{28A0092B-C50C-407E-A947-70E740481C1C}">
                          <a14:useLocalDpi xmlns:a14="http://schemas.microsoft.com/office/drawing/2010/main" val="0"/>
                        </a:ext>
                      </a:extLst>
                    </a:blip>
                    <a:srcRect b="58455"/>
                    <a:stretch/>
                  </pic:blipFill>
                  <pic:spPr bwMode="auto">
                    <a:xfrm>
                      <a:off x="0" y="0"/>
                      <a:ext cx="5545404" cy="2468010"/>
                    </a:xfrm>
                    <a:prstGeom prst="rect">
                      <a:avLst/>
                    </a:prstGeom>
                    <a:noFill/>
                    <a:ln>
                      <a:noFill/>
                    </a:ln>
                    <a:extLst>
                      <a:ext uri="{53640926-AAD7-44D8-BBD7-CCE9431645EC}">
                        <a14:shadowObscured xmlns:a14="http://schemas.microsoft.com/office/drawing/2010/main"/>
                      </a:ext>
                    </a:extLst>
                  </pic:spPr>
                </pic:pic>
              </a:graphicData>
            </a:graphic>
          </wp:inline>
        </w:drawing>
      </w:r>
    </w:p>
    <w:p w14:paraId="29457BDE" w14:textId="50F10BE6" w:rsidR="004251F5" w:rsidRPr="008B2F07" w:rsidRDefault="00E74FB1" w:rsidP="0093120D">
      <w:pPr>
        <w:spacing w:after="0"/>
        <w:jc w:val="center"/>
        <w:rPr>
          <w:rFonts w:ascii="Century Gothic" w:hAnsi="Century Gothic"/>
          <w:lang w:val="es-ES"/>
        </w:rPr>
      </w:pPr>
      <w:r w:rsidRPr="008B2F07">
        <w:rPr>
          <w:rFonts w:ascii="Century Gothic" w:hAnsi="Century Gothic"/>
          <w:noProof/>
          <w:lang w:val="es-ES" w:eastAsia="es-ES"/>
        </w:rPr>
        <w:lastRenderedPageBreak/>
        <w:drawing>
          <wp:inline distT="0" distB="0" distL="0" distR="0" wp14:anchorId="4A626214" wp14:editId="5CC35A9E">
            <wp:extent cx="5547360" cy="556260"/>
            <wp:effectExtent l="0" t="0" r="0" b="0"/>
            <wp:docPr id="46" name="Imagen 46"/>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54">
                      <a:extLst>
                        <a:ext uri="{28A0092B-C50C-407E-A947-70E740481C1C}">
                          <a14:useLocalDpi xmlns:a14="http://schemas.microsoft.com/office/drawing/2010/main" val="0"/>
                        </a:ext>
                      </a:extLst>
                    </a:blip>
                    <a:srcRect b="90639"/>
                    <a:stretch/>
                  </pic:blipFill>
                  <pic:spPr bwMode="auto">
                    <a:xfrm>
                      <a:off x="0" y="0"/>
                      <a:ext cx="5545404" cy="556064"/>
                    </a:xfrm>
                    <a:prstGeom prst="rect">
                      <a:avLst/>
                    </a:prstGeom>
                    <a:noFill/>
                    <a:ln>
                      <a:noFill/>
                    </a:ln>
                    <a:extLst>
                      <a:ext uri="{53640926-AAD7-44D8-BBD7-CCE9431645EC}">
                        <a14:shadowObscured xmlns:a14="http://schemas.microsoft.com/office/drawing/2010/main"/>
                      </a:ext>
                    </a:extLst>
                  </pic:spPr>
                </pic:pic>
              </a:graphicData>
            </a:graphic>
          </wp:inline>
        </w:drawing>
      </w:r>
      <w:r w:rsidR="0093120D" w:rsidRPr="008B2F07">
        <w:rPr>
          <w:rFonts w:ascii="Century Gothic" w:hAnsi="Century Gothic"/>
          <w:noProof/>
          <w:lang w:val="es-ES" w:eastAsia="es-ES"/>
        </w:rPr>
        <w:drawing>
          <wp:inline distT="0" distB="0" distL="0" distR="0" wp14:anchorId="486B376D" wp14:editId="7DBC9100">
            <wp:extent cx="5547360" cy="3496474"/>
            <wp:effectExtent l="0" t="0" r="0" b="8890"/>
            <wp:docPr id="14" name="Imagen 14"/>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54">
                      <a:extLst>
                        <a:ext uri="{28A0092B-C50C-407E-A947-70E740481C1C}">
                          <a14:useLocalDpi xmlns:a14="http://schemas.microsoft.com/office/drawing/2010/main" val="0"/>
                        </a:ext>
                      </a:extLst>
                    </a:blip>
                    <a:srcRect t="41161"/>
                    <a:stretch/>
                  </pic:blipFill>
                  <pic:spPr bwMode="auto">
                    <a:xfrm>
                      <a:off x="0" y="0"/>
                      <a:ext cx="5545404" cy="3495241"/>
                    </a:xfrm>
                    <a:prstGeom prst="rect">
                      <a:avLst/>
                    </a:prstGeom>
                    <a:noFill/>
                    <a:ln>
                      <a:noFill/>
                    </a:ln>
                    <a:extLst>
                      <a:ext uri="{53640926-AAD7-44D8-BBD7-CCE9431645EC}">
                        <a14:shadowObscured xmlns:a14="http://schemas.microsoft.com/office/drawing/2010/main"/>
                      </a:ext>
                    </a:extLst>
                  </pic:spPr>
                </pic:pic>
              </a:graphicData>
            </a:graphic>
          </wp:inline>
        </w:drawing>
      </w:r>
    </w:p>
    <w:p w14:paraId="69ADC698" w14:textId="624DF402" w:rsidR="004251F5" w:rsidRPr="008B2F07" w:rsidRDefault="004251F5" w:rsidP="00402556">
      <w:pPr>
        <w:ind w:firstLine="708"/>
        <w:jc w:val="center"/>
        <w:rPr>
          <w:rFonts w:ascii="Century Gothic" w:hAnsi="Century Gothic"/>
          <w:lang w:val="es-ES"/>
        </w:rPr>
      </w:pPr>
      <w:r w:rsidRPr="008B2F07">
        <w:rPr>
          <w:rFonts w:ascii="Century Gothic" w:hAnsi="Century Gothic"/>
          <w:sz w:val="20"/>
          <w:lang w:val="es-ES"/>
        </w:rPr>
        <w:t>Fuente: Secretaria de Hacienda</w:t>
      </w:r>
      <w:r w:rsidR="0093120D" w:rsidRPr="008B2F07">
        <w:rPr>
          <w:rFonts w:ascii="Century Gothic" w:hAnsi="Century Gothic"/>
          <w:sz w:val="20"/>
          <w:lang w:val="es-ES"/>
        </w:rPr>
        <w:t>, 2018</w:t>
      </w:r>
    </w:p>
    <w:p w14:paraId="4AA8A8FC" w14:textId="6113C492" w:rsidR="004251F5" w:rsidRPr="008B2F07" w:rsidRDefault="0093120D" w:rsidP="004251F5">
      <w:pPr>
        <w:jc w:val="both"/>
        <w:rPr>
          <w:rFonts w:ascii="Century Gothic" w:hAnsi="Century Gothic"/>
          <w:lang w:val="es-ES"/>
        </w:rPr>
      </w:pPr>
      <w:r w:rsidRPr="008B2F07">
        <w:rPr>
          <w:rFonts w:ascii="Century Gothic" w:hAnsi="Century Gothic"/>
          <w:lang w:val="es-ES"/>
        </w:rPr>
        <w:t>A junio 30 de 2018, el saldo de la deuda fue de $55.714 millones de pesos</w:t>
      </w:r>
      <w:r w:rsidR="008B2F07" w:rsidRPr="008B2F07">
        <w:rPr>
          <w:rFonts w:ascii="Century Gothic" w:hAnsi="Century Gothic"/>
          <w:lang w:val="es-ES"/>
        </w:rPr>
        <w:t>,</w:t>
      </w:r>
      <w:r w:rsidRPr="008B2F07">
        <w:rPr>
          <w:rFonts w:ascii="Century Gothic" w:hAnsi="Century Gothic"/>
          <w:lang w:val="es-ES"/>
        </w:rPr>
        <w:t xml:space="preserve"> </w:t>
      </w:r>
      <w:r w:rsidR="008B2F07" w:rsidRPr="008B2F07">
        <w:rPr>
          <w:rFonts w:ascii="Century Gothic" w:hAnsi="Century Gothic"/>
          <w:lang w:val="es-ES"/>
        </w:rPr>
        <w:t xml:space="preserve">que incluye los </w:t>
      </w:r>
      <w:r w:rsidRPr="008B2F07">
        <w:rPr>
          <w:rFonts w:ascii="Century Gothic" w:hAnsi="Century Gothic"/>
          <w:lang w:val="es-ES"/>
        </w:rPr>
        <w:t>monto</w:t>
      </w:r>
      <w:r w:rsidR="008B2F07" w:rsidRPr="008B2F07">
        <w:rPr>
          <w:rFonts w:ascii="Century Gothic" w:hAnsi="Century Gothic"/>
          <w:lang w:val="es-ES"/>
        </w:rPr>
        <w:t>s</w:t>
      </w:r>
      <w:r w:rsidRPr="008B2F07">
        <w:rPr>
          <w:rFonts w:ascii="Century Gothic" w:hAnsi="Century Gothic"/>
          <w:lang w:val="es-ES"/>
        </w:rPr>
        <w:t xml:space="preserve"> desembolsado</w:t>
      </w:r>
      <w:r w:rsidR="008B2F07" w:rsidRPr="008B2F07">
        <w:rPr>
          <w:rFonts w:ascii="Century Gothic" w:hAnsi="Century Gothic"/>
          <w:lang w:val="es-ES"/>
        </w:rPr>
        <w:t>s</w:t>
      </w:r>
      <w:r w:rsidRPr="008B2F07">
        <w:rPr>
          <w:rFonts w:ascii="Century Gothic" w:hAnsi="Century Gothic"/>
          <w:lang w:val="es-ES"/>
        </w:rPr>
        <w:t xml:space="preserve">, el saldo a la fecha de corte y </w:t>
      </w:r>
      <w:r w:rsidR="008B2F07" w:rsidRPr="008B2F07">
        <w:rPr>
          <w:rFonts w:ascii="Century Gothic" w:hAnsi="Century Gothic"/>
          <w:lang w:val="es-ES"/>
        </w:rPr>
        <w:t xml:space="preserve">el valor pagado por amortizaciones. </w:t>
      </w:r>
    </w:p>
    <w:p w14:paraId="782710D1" w14:textId="41EF4345" w:rsidR="004251F5" w:rsidRPr="008B2F07" w:rsidRDefault="0071426C" w:rsidP="0093120D">
      <w:pPr>
        <w:pStyle w:val="Epgrafe"/>
        <w:keepNext/>
        <w:spacing w:after="0"/>
        <w:jc w:val="center"/>
        <w:rPr>
          <w:rFonts w:ascii="Century Gothic" w:hAnsi="Century Gothic"/>
          <w:noProof/>
          <w:lang w:val="es-ES" w:eastAsia="es-ES"/>
        </w:rPr>
      </w:pPr>
      <w:bookmarkStart w:id="116" w:name="_Toc532566075"/>
      <w:r w:rsidRPr="008B2F07">
        <w:rPr>
          <w:rFonts w:ascii="Century Gothic" w:hAnsi="Century Gothic"/>
          <w:b w:val="0"/>
          <w:color w:val="auto"/>
          <w:sz w:val="22"/>
          <w:szCs w:val="22"/>
          <w:lang w:val="es-ES"/>
        </w:rPr>
        <w:lastRenderedPageBreak/>
        <w:t xml:space="preserve">Gráfica </w:t>
      </w:r>
      <w:r w:rsidRPr="008B2F07">
        <w:rPr>
          <w:rFonts w:ascii="Century Gothic" w:hAnsi="Century Gothic"/>
          <w:b w:val="0"/>
          <w:color w:val="auto"/>
          <w:sz w:val="22"/>
          <w:szCs w:val="22"/>
          <w:lang w:val="es-ES"/>
        </w:rPr>
        <w:fldChar w:fldCharType="begin"/>
      </w:r>
      <w:r w:rsidRPr="008B2F07">
        <w:rPr>
          <w:rFonts w:ascii="Century Gothic" w:hAnsi="Century Gothic"/>
          <w:b w:val="0"/>
          <w:color w:val="auto"/>
          <w:sz w:val="22"/>
          <w:szCs w:val="22"/>
          <w:lang w:val="es-ES"/>
        </w:rPr>
        <w:instrText xml:space="preserve"> SEQ Gráfica \* ARABIC </w:instrText>
      </w:r>
      <w:r w:rsidRPr="008B2F07">
        <w:rPr>
          <w:rFonts w:ascii="Century Gothic" w:hAnsi="Century Gothic"/>
          <w:b w:val="0"/>
          <w:color w:val="auto"/>
          <w:sz w:val="22"/>
          <w:szCs w:val="22"/>
          <w:lang w:val="es-ES"/>
        </w:rPr>
        <w:fldChar w:fldCharType="separate"/>
      </w:r>
      <w:r w:rsidR="004A2E30" w:rsidRPr="008B2F07">
        <w:rPr>
          <w:rFonts w:ascii="Century Gothic" w:hAnsi="Century Gothic"/>
          <w:b w:val="0"/>
          <w:noProof/>
          <w:color w:val="auto"/>
          <w:sz w:val="22"/>
          <w:szCs w:val="22"/>
          <w:lang w:val="es-ES"/>
        </w:rPr>
        <w:t>21</w:t>
      </w:r>
      <w:r w:rsidRPr="008B2F07">
        <w:rPr>
          <w:rFonts w:ascii="Century Gothic" w:hAnsi="Century Gothic"/>
          <w:b w:val="0"/>
          <w:color w:val="auto"/>
          <w:sz w:val="22"/>
          <w:szCs w:val="22"/>
          <w:lang w:val="es-ES"/>
        </w:rPr>
        <w:fldChar w:fldCharType="end"/>
      </w:r>
      <w:r w:rsidRPr="008B2F07">
        <w:rPr>
          <w:rFonts w:ascii="Century Gothic" w:hAnsi="Century Gothic"/>
          <w:b w:val="0"/>
          <w:color w:val="auto"/>
          <w:sz w:val="22"/>
          <w:szCs w:val="22"/>
          <w:lang w:val="es-ES"/>
        </w:rPr>
        <w:t xml:space="preserve">. </w:t>
      </w:r>
      <w:r w:rsidR="0093120D" w:rsidRPr="008B2F07">
        <w:rPr>
          <w:rFonts w:ascii="Century Gothic" w:hAnsi="Century Gothic"/>
          <w:b w:val="0"/>
          <w:bCs w:val="0"/>
          <w:color w:val="auto"/>
          <w:sz w:val="22"/>
          <w:szCs w:val="22"/>
          <w:lang w:val="es-ES"/>
        </w:rPr>
        <w:t xml:space="preserve">Saldo de la deuda. 30 de </w:t>
      </w:r>
      <w:r w:rsidR="000F3380" w:rsidRPr="008B2F07">
        <w:rPr>
          <w:rFonts w:ascii="Century Gothic" w:hAnsi="Century Gothic"/>
          <w:b w:val="0"/>
          <w:bCs w:val="0"/>
          <w:color w:val="auto"/>
          <w:sz w:val="22"/>
          <w:szCs w:val="22"/>
          <w:lang w:val="es-ES"/>
        </w:rPr>
        <w:t>junio</w:t>
      </w:r>
      <w:r w:rsidR="0093120D" w:rsidRPr="008B2F07">
        <w:rPr>
          <w:rFonts w:ascii="Century Gothic" w:hAnsi="Century Gothic"/>
          <w:b w:val="0"/>
          <w:bCs w:val="0"/>
          <w:color w:val="auto"/>
          <w:sz w:val="22"/>
          <w:szCs w:val="22"/>
          <w:lang w:val="es-ES"/>
        </w:rPr>
        <w:t xml:space="preserve"> de 2018 (miles de pesos)</w:t>
      </w:r>
      <w:bookmarkEnd w:id="116"/>
    </w:p>
    <w:p w14:paraId="4134A9E4" w14:textId="27A25B9E" w:rsidR="0093120D" w:rsidRPr="008B2F07" w:rsidRDefault="0093120D" w:rsidP="0093120D">
      <w:pPr>
        <w:spacing w:after="0"/>
        <w:jc w:val="center"/>
        <w:rPr>
          <w:rFonts w:ascii="Century Gothic" w:hAnsi="Century Gothic"/>
          <w:lang w:val="es-ES" w:eastAsia="es-ES"/>
        </w:rPr>
      </w:pPr>
      <w:r w:rsidRPr="008B2F07">
        <w:rPr>
          <w:rFonts w:ascii="Century Gothic" w:hAnsi="Century Gothic"/>
          <w:noProof/>
          <w:lang w:val="es-ES" w:eastAsia="es-ES"/>
        </w:rPr>
        <w:drawing>
          <wp:inline distT="0" distB="0" distL="0" distR="0" wp14:anchorId="1AA17B7E" wp14:editId="1D322DDD">
            <wp:extent cx="4657725" cy="2552700"/>
            <wp:effectExtent l="0" t="0" r="0" b="0"/>
            <wp:docPr id="71" name="Gráfico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DBD250E" w14:textId="030A71BF" w:rsidR="004251F5" w:rsidRPr="001E2110" w:rsidRDefault="0093120D" w:rsidP="00402556">
      <w:pPr>
        <w:jc w:val="center"/>
        <w:rPr>
          <w:rFonts w:ascii="Century Gothic" w:hAnsi="Century Gothic"/>
          <w:highlight w:val="yellow"/>
          <w:lang w:val="es-ES"/>
        </w:rPr>
      </w:pPr>
      <w:r w:rsidRPr="008B2F07">
        <w:rPr>
          <w:rFonts w:ascii="Century Gothic" w:hAnsi="Century Gothic"/>
          <w:sz w:val="20"/>
          <w:lang w:val="es-ES"/>
        </w:rPr>
        <w:t>Fuente: Secretaria de Hacienda, 2018</w:t>
      </w:r>
      <w:r w:rsidR="00402556" w:rsidRPr="008B2F07">
        <w:rPr>
          <w:rFonts w:ascii="Century Gothic" w:hAnsi="Century Gothic"/>
          <w:sz w:val="20"/>
          <w:lang w:val="es-ES"/>
        </w:rPr>
        <w:t xml:space="preserve"> </w:t>
      </w:r>
    </w:p>
    <w:p w14:paraId="003B8922" w14:textId="42FB04F6" w:rsidR="0093120D" w:rsidRPr="008B2F07" w:rsidRDefault="0093120D" w:rsidP="0093120D">
      <w:pPr>
        <w:jc w:val="both"/>
        <w:rPr>
          <w:rFonts w:ascii="Century Gothic" w:hAnsi="Century Gothic"/>
          <w:lang w:val="es-ES"/>
        </w:rPr>
      </w:pPr>
      <w:r w:rsidRPr="008B2F07">
        <w:rPr>
          <w:rFonts w:ascii="Century Gothic" w:hAnsi="Century Gothic"/>
          <w:lang w:val="es-ES"/>
        </w:rPr>
        <w:t xml:space="preserve">En el marco del convenio de cofinanciación No. 019 suscrito entre el </w:t>
      </w:r>
      <w:r w:rsidR="008B2F07" w:rsidRPr="008B2F07">
        <w:rPr>
          <w:rFonts w:ascii="Century Gothic" w:hAnsi="Century Gothic"/>
          <w:lang w:val="es-ES"/>
        </w:rPr>
        <w:t>m</w:t>
      </w:r>
      <w:r w:rsidRPr="008B2F07">
        <w:rPr>
          <w:rFonts w:ascii="Century Gothic" w:hAnsi="Century Gothic"/>
          <w:lang w:val="es-ES"/>
        </w:rPr>
        <w:t xml:space="preserve">unicipio de Pasto y EMPOPASTO S.A, </w:t>
      </w:r>
      <w:r w:rsidR="008B2F07" w:rsidRPr="008B2F07">
        <w:rPr>
          <w:rFonts w:ascii="Century Gothic" w:hAnsi="Century Gothic"/>
          <w:lang w:val="es-ES"/>
        </w:rPr>
        <w:t xml:space="preserve">para financiar </w:t>
      </w:r>
      <w:r w:rsidRPr="008B2F07">
        <w:rPr>
          <w:rFonts w:ascii="Century Gothic" w:hAnsi="Century Gothic"/>
          <w:lang w:val="es-ES"/>
        </w:rPr>
        <w:t>el componente del Programa A</w:t>
      </w:r>
      <w:r w:rsidR="008B2F07" w:rsidRPr="008B2F07">
        <w:rPr>
          <w:rFonts w:ascii="Century Gothic" w:hAnsi="Century Gothic"/>
          <w:lang w:val="es-ES"/>
        </w:rPr>
        <w:t xml:space="preserve">gua para el Campo, se firmó un </w:t>
      </w:r>
      <w:r w:rsidRPr="008B2F07">
        <w:rPr>
          <w:rFonts w:ascii="Century Gothic" w:hAnsi="Century Gothic"/>
          <w:lang w:val="es-ES"/>
        </w:rPr>
        <w:t xml:space="preserve">contrato de empréstito </w:t>
      </w:r>
      <w:r w:rsidR="008B2F07" w:rsidRPr="008B2F07">
        <w:rPr>
          <w:rFonts w:ascii="Century Gothic" w:hAnsi="Century Gothic"/>
          <w:lang w:val="es-ES"/>
        </w:rPr>
        <w:t xml:space="preserve">entre EMPOPASTO S.A. y BID. </w:t>
      </w:r>
      <w:r w:rsidR="00437F1D">
        <w:rPr>
          <w:rFonts w:ascii="Century Gothic" w:hAnsi="Century Gothic"/>
          <w:lang w:val="es-ES"/>
        </w:rPr>
        <w:t>E</w:t>
      </w:r>
      <w:r w:rsidRPr="008B2F07">
        <w:rPr>
          <w:rFonts w:ascii="Century Gothic" w:hAnsi="Century Gothic"/>
          <w:lang w:val="es-ES"/>
        </w:rPr>
        <w:t xml:space="preserve">l </w:t>
      </w:r>
      <w:r w:rsidR="008B2F07" w:rsidRPr="008B2F07">
        <w:rPr>
          <w:rFonts w:ascii="Century Gothic" w:hAnsi="Century Gothic"/>
          <w:lang w:val="es-ES"/>
        </w:rPr>
        <w:t>m</w:t>
      </w:r>
      <w:r w:rsidRPr="008B2F07">
        <w:rPr>
          <w:rFonts w:ascii="Century Gothic" w:hAnsi="Century Gothic"/>
          <w:lang w:val="es-ES"/>
        </w:rPr>
        <w:t xml:space="preserve">unicipio de Pasto incorpora </w:t>
      </w:r>
      <w:r w:rsidR="008B2F07" w:rsidRPr="008B2F07">
        <w:rPr>
          <w:rFonts w:ascii="Century Gothic" w:hAnsi="Century Gothic"/>
          <w:lang w:val="es-ES"/>
        </w:rPr>
        <w:t xml:space="preserve">al </w:t>
      </w:r>
      <w:r w:rsidRPr="008B2F07">
        <w:rPr>
          <w:rFonts w:ascii="Century Gothic" w:hAnsi="Century Gothic"/>
          <w:lang w:val="es-ES"/>
        </w:rPr>
        <w:t xml:space="preserve">servicio de la deuda, lo correspondiente a </w:t>
      </w:r>
      <w:r w:rsidR="008B2F07" w:rsidRPr="008B2F07">
        <w:rPr>
          <w:rFonts w:ascii="Century Gothic" w:hAnsi="Century Gothic"/>
          <w:lang w:val="es-ES"/>
        </w:rPr>
        <w:t xml:space="preserve">la </w:t>
      </w:r>
      <w:r w:rsidRPr="008B2F07">
        <w:rPr>
          <w:rFonts w:ascii="Century Gothic" w:hAnsi="Century Gothic"/>
          <w:lang w:val="es-ES"/>
        </w:rPr>
        <w:t>transfer</w:t>
      </w:r>
      <w:r w:rsidR="008B2F07" w:rsidRPr="008B2F07">
        <w:rPr>
          <w:rFonts w:ascii="Century Gothic" w:hAnsi="Century Gothic"/>
          <w:lang w:val="es-ES"/>
        </w:rPr>
        <w:t xml:space="preserve">encia </w:t>
      </w:r>
      <w:r w:rsidRPr="008B2F07">
        <w:rPr>
          <w:rFonts w:ascii="Century Gothic" w:hAnsi="Century Gothic"/>
          <w:lang w:val="es-ES"/>
        </w:rPr>
        <w:t xml:space="preserve">por </w:t>
      </w:r>
      <w:r w:rsidR="008B2F07" w:rsidRPr="008B2F07">
        <w:rPr>
          <w:rFonts w:ascii="Century Gothic" w:hAnsi="Century Gothic"/>
          <w:lang w:val="es-ES"/>
        </w:rPr>
        <w:t>los desembolsos recibidos</w:t>
      </w:r>
      <w:r w:rsidRPr="008B2F07">
        <w:rPr>
          <w:rFonts w:ascii="Century Gothic" w:hAnsi="Century Gothic"/>
          <w:lang w:val="es-ES"/>
        </w:rPr>
        <w:t>.</w:t>
      </w:r>
    </w:p>
    <w:p w14:paraId="070894F4" w14:textId="1CB612FF" w:rsidR="0093120D" w:rsidRPr="00437F1D" w:rsidRDefault="0093120D" w:rsidP="0093120D">
      <w:pPr>
        <w:jc w:val="both"/>
        <w:rPr>
          <w:rFonts w:ascii="Century Gothic" w:hAnsi="Century Gothic"/>
          <w:lang w:val="es-ES"/>
        </w:rPr>
      </w:pPr>
      <w:r w:rsidRPr="00437F1D">
        <w:rPr>
          <w:rFonts w:ascii="Century Gothic" w:hAnsi="Century Gothic"/>
          <w:lang w:val="es-ES"/>
        </w:rPr>
        <w:t xml:space="preserve">Se suspende el pago de </w:t>
      </w:r>
      <w:r w:rsidR="00437F1D" w:rsidRPr="00437F1D">
        <w:rPr>
          <w:rFonts w:ascii="Century Gothic" w:hAnsi="Century Gothic"/>
          <w:lang w:val="es-ES"/>
        </w:rPr>
        <w:t>comisión por saldos no desembolsados</w:t>
      </w:r>
      <w:r w:rsidRPr="00437F1D">
        <w:rPr>
          <w:rFonts w:ascii="Century Gothic" w:hAnsi="Century Gothic"/>
          <w:lang w:val="es-ES"/>
        </w:rPr>
        <w:t>, toda vez que</w:t>
      </w:r>
      <w:r w:rsidR="00437F1D" w:rsidRPr="00437F1D">
        <w:rPr>
          <w:rFonts w:ascii="Century Gothic" w:hAnsi="Century Gothic"/>
          <w:lang w:val="es-ES"/>
        </w:rPr>
        <w:t>,</w:t>
      </w:r>
      <w:r w:rsidRPr="00437F1D">
        <w:rPr>
          <w:rFonts w:ascii="Century Gothic" w:hAnsi="Century Gothic"/>
          <w:lang w:val="es-ES"/>
        </w:rPr>
        <w:t xml:space="preserve"> el saldo por desembolsar a la fecha</w:t>
      </w:r>
      <w:r w:rsidR="00437F1D" w:rsidRPr="00437F1D">
        <w:rPr>
          <w:rFonts w:ascii="Century Gothic" w:hAnsi="Century Gothic"/>
          <w:lang w:val="es-ES"/>
        </w:rPr>
        <w:t>,</w:t>
      </w:r>
      <w:r w:rsidRPr="00437F1D">
        <w:rPr>
          <w:rFonts w:ascii="Century Gothic" w:hAnsi="Century Gothic"/>
          <w:lang w:val="es-ES"/>
        </w:rPr>
        <w:t xml:space="preserve"> </w:t>
      </w:r>
      <w:r w:rsidR="00437F1D" w:rsidRPr="00437F1D">
        <w:rPr>
          <w:rFonts w:ascii="Century Gothic" w:hAnsi="Century Gothic"/>
          <w:lang w:val="es-ES"/>
        </w:rPr>
        <w:t xml:space="preserve">por la suma de </w:t>
      </w:r>
      <w:r w:rsidRPr="00437F1D">
        <w:rPr>
          <w:rFonts w:ascii="Century Gothic" w:hAnsi="Century Gothic"/>
          <w:lang w:val="es-ES"/>
        </w:rPr>
        <w:t>$USS 3,8 millones</w:t>
      </w:r>
      <w:r w:rsidR="00437F1D" w:rsidRPr="00437F1D">
        <w:rPr>
          <w:rFonts w:ascii="Century Gothic" w:hAnsi="Century Gothic"/>
          <w:lang w:val="es-ES"/>
        </w:rPr>
        <w:t>,</w:t>
      </w:r>
      <w:r w:rsidRPr="00437F1D">
        <w:rPr>
          <w:rFonts w:ascii="Century Gothic" w:hAnsi="Century Gothic"/>
          <w:lang w:val="es-ES"/>
        </w:rPr>
        <w:t xml:space="preserve"> inicialmente establecidos en el convenio, </w:t>
      </w:r>
      <w:r w:rsidR="00437F1D" w:rsidRPr="00437F1D">
        <w:rPr>
          <w:rFonts w:ascii="Century Gothic" w:hAnsi="Century Gothic"/>
          <w:lang w:val="es-ES"/>
        </w:rPr>
        <w:t xml:space="preserve">fueran liberados </w:t>
      </w:r>
      <w:r w:rsidRPr="00437F1D">
        <w:rPr>
          <w:rFonts w:ascii="Century Gothic" w:hAnsi="Century Gothic"/>
          <w:lang w:val="es-ES"/>
        </w:rPr>
        <w:t>por determinación de la Administración Municipal, pa</w:t>
      </w:r>
      <w:r w:rsidR="00437F1D" w:rsidRPr="00437F1D">
        <w:rPr>
          <w:rFonts w:ascii="Century Gothic" w:hAnsi="Century Gothic"/>
          <w:lang w:val="es-ES"/>
        </w:rPr>
        <w:t xml:space="preserve">ra ser invertidos en las obras </w:t>
      </w:r>
      <w:r w:rsidRPr="00437F1D">
        <w:rPr>
          <w:rFonts w:ascii="Century Gothic" w:hAnsi="Century Gothic"/>
          <w:lang w:val="es-ES"/>
        </w:rPr>
        <w:t xml:space="preserve">de la Carrera 27 bajo responsabilidad de EMPOPASTO S.A. E.S.P. </w:t>
      </w:r>
    </w:p>
    <w:p w14:paraId="6631E26F" w14:textId="605C36E0" w:rsidR="004251F5" w:rsidRPr="00437F1D" w:rsidRDefault="0093120D" w:rsidP="0093120D">
      <w:pPr>
        <w:jc w:val="both"/>
        <w:rPr>
          <w:rFonts w:ascii="Century Gothic" w:hAnsi="Century Gothic"/>
          <w:lang w:val="es-ES"/>
        </w:rPr>
      </w:pPr>
      <w:r w:rsidRPr="00437F1D">
        <w:rPr>
          <w:rFonts w:ascii="Century Gothic" w:hAnsi="Century Gothic"/>
          <w:lang w:val="es-ES"/>
        </w:rPr>
        <w:t xml:space="preserve">Se mantiene el pago al Fondo Nacional de Contingencias </w:t>
      </w:r>
      <w:r w:rsidR="000F3380" w:rsidRPr="00437F1D">
        <w:rPr>
          <w:rFonts w:ascii="Century Gothic" w:hAnsi="Century Gothic"/>
          <w:lang w:val="es-ES"/>
        </w:rPr>
        <w:t>que,</w:t>
      </w:r>
      <w:r w:rsidRPr="00437F1D">
        <w:rPr>
          <w:rFonts w:ascii="Century Gothic" w:hAnsi="Century Gothic"/>
          <w:lang w:val="es-ES"/>
        </w:rPr>
        <w:t xml:space="preserve"> con el servicio de la deuda, según recobro efectuado por EMPOPASTO S.A. </w:t>
      </w:r>
      <w:r w:rsidR="00437F1D" w:rsidRPr="00437F1D">
        <w:rPr>
          <w:rFonts w:ascii="Century Gothic" w:hAnsi="Century Gothic"/>
          <w:lang w:val="es-ES"/>
        </w:rPr>
        <w:t>para la vigencia 2017</w:t>
      </w:r>
      <w:r w:rsidR="00437F1D">
        <w:rPr>
          <w:rFonts w:ascii="Century Gothic" w:hAnsi="Century Gothic"/>
          <w:lang w:val="es-ES"/>
        </w:rPr>
        <w:t xml:space="preserve">, </w:t>
      </w:r>
      <w:r w:rsidRPr="00437F1D">
        <w:rPr>
          <w:rFonts w:ascii="Century Gothic" w:hAnsi="Century Gothic"/>
          <w:lang w:val="es-ES"/>
        </w:rPr>
        <w:t>ascendió a un valor de $158 millones.</w:t>
      </w:r>
    </w:p>
    <w:p w14:paraId="22C8A9A6" w14:textId="77777777" w:rsidR="00677466" w:rsidRPr="00437F1D" w:rsidRDefault="00896530" w:rsidP="00F23331">
      <w:pPr>
        <w:pStyle w:val="Ttulo3"/>
        <w:spacing w:after="240"/>
        <w:rPr>
          <w:lang w:val="es-ES"/>
        </w:rPr>
      </w:pPr>
      <w:bookmarkStart w:id="117" w:name="_Toc532565949"/>
      <w:r w:rsidRPr="00437F1D">
        <w:rPr>
          <w:lang w:val="es-ES"/>
        </w:rPr>
        <w:t>Aspectos a tener en cuenta en el cálculo de la capacidad de pago</w:t>
      </w:r>
      <w:bookmarkEnd w:id="117"/>
    </w:p>
    <w:p w14:paraId="12FB0AF5" w14:textId="310AD196" w:rsidR="0093120D" w:rsidRPr="00437F1D" w:rsidRDefault="0093120D" w:rsidP="0093120D">
      <w:pPr>
        <w:pStyle w:val="Textoindependiente"/>
        <w:spacing w:after="240" w:line="276" w:lineRule="auto"/>
        <w:jc w:val="both"/>
        <w:rPr>
          <w:color w:val="000000" w:themeColor="text1"/>
          <w:sz w:val="22"/>
          <w:szCs w:val="22"/>
          <w:lang w:val="es-ES"/>
        </w:rPr>
      </w:pPr>
      <w:r w:rsidRPr="00437F1D">
        <w:rPr>
          <w:color w:val="000000" w:themeColor="text1"/>
          <w:sz w:val="22"/>
          <w:szCs w:val="22"/>
          <w:lang w:val="es-ES"/>
        </w:rPr>
        <w:t xml:space="preserve">La </w:t>
      </w:r>
      <w:r w:rsidR="00437F1D" w:rsidRPr="00437F1D">
        <w:rPr>
          <w:color w:val="000000" w:themeColor="text1"/>
          <w:sz w:val="22"/>
          <w:szCs w:val="22"/>
          <w:lang w:val="es-ES"/>
        </w:rPr>
        <w:t>p</w:t>
      </w:r>
      <w:r w:rsidRPr="00437F1D">
        <w:rPr>
          <w:color w:val="000000" w:themeColor="text1"/>
          <w:sz w:val="22"/>
          <w:szCs w:val="22"/>
          <w:lang w:val="es-ES"/>
        </w:rPr>
        <w:t xml:space="preserve">lanificación financiera en el </w:t>
      </w:r>
      <w:r w:rsidR="00437F1D" w:rsidRPr="00437F1D">
        <w:rPr>
          <w:color w:val="000000" w:themeColor="text1"/>
          <w:sz w:val="22"/>
          <w:szCs w:val="22"/>
          <w:lang w:val="es-ES"/>
        </w:rPr>
        <w:t>m</w:t>
      </w:r>
      <w:r w:rsidRPr="00437F1D">
        <w:rPr>
          <w:color w:val="000000" w:themeColor="text1"/>
          <w:sz w:val="22"/>
          <w:szCs w:val="22"/>
          <w:lang w:val="es-ES"/>
        </w:rPr>
        <w:t xml:space="preserve">unicipio de Pasto se realiza a través del </w:t>
      </w:r>
      <w:r w:rsidR="00437F1D" w:rsidRPr="00437F1D">
        <w:rPr>
          <w:color w:val="000000" w:themeColor="text1"/>
          <w:sz w:val="22"/>
          <w:szCs w:val="22"/>
          <w:lang w:val="es-ES"/>
        </w:rPr>
        <w:t>i</w:t>
      </w:r>
      <w:r w:rsidRPr="00437F1D">
        <w:rPr>
          <w:color w:val="000000" w:themeColor="text1"/>
          <w:sz w:val="22"/>
          <w:szCs w:val="22"/>
          <w:lang w:val="es-ES"/>
        </w:rPr>
        <w:t>nstrumento establecido por la Ley 819 de 2003 “Marco Fiscal de Mediano Plazo – MFPM”, p</w:t>
      </w:r>
      <w:r w:rsidR="00437F1D" w:rsidRPr="00437F1D">
        <w:rPr>
          <w:color w:val="000000" w:themeColor="text1"/>
          <w:sz w:val="22"/>
          <w:szCs w:val="22"/>
          <w:lang w:val="es-ES"/>
        </w:rPr>
        <w:t>ara</w:t>
      </w:r>
      <w:r w:rsidRPr="00437F1D">
        <w:rPr>
          <w:color w:val="000000" w:themeColor="text1"/>
          <w:sz w:val="22"/>
          <w:szCs w:val="22"/>
          <w:lang w:val="es-ES"/>
        </w:rPr>
        <w:t xml:space="preserve"> </w:t>
      </w:r>
      <w:r w:rsidR="00437F1D" w:rsidRPr="00437F1D">
        <w:rPr>
          <w:color w:val="000000" w:themeColor="text1"/>
          <w:sz w:val="22"/>
          <w:szCs w:val="22"/>
          <w:lang w:val="es-ES"/>
        </w:rPr>
        <w:t>lo</w:t>
      </w:r>
      <w:r w:rsidRPr="00437F1D">
        <w:rPr>
          <w:color w:val="000000" w:themeColor="text1"/>
          <w:sz w:val="22"/>
          <w:szCs w:val="22"/>
          <w:lang w:val="es-ES"/>
        </w:rPr>
        <w:t xml:space="preserve"> cual</w:t>
      </w:r>
      <w:r w:rsidR="00437F1D" w:rsidRPr="00437F1D">
        <w:rPr>
          <w:color w:val="000000" w:themeColor="text1"/>
          <w:sz w:val="22"/>
          <w:szCs w:val="22"/>
          <w:lang w:val="es-ES"/>
        </w:rPr>
        <w:t>,</w:t>
      </w:r>
      <w:r w:rsidRPr="00437F1D">
        <w:rPr>
          <w:color w:val="000000" w:themeColor="text1"/>
          <w:sz w:val="22"/>
          <w:szCs w:val="22"/>
          <w:lang w:val="es-ES"/>
        </w:rPr>
        <w:t xml:space="preserve"> las entidades territoriales</w:t>
      </w:r>
      <w:r w:rsidR="00437F1D" w:rsidRPr="00437F1D">
        <w:rPr>
          <w:color w:val="000000" w:themeColor="text1"/>
          <w:sz w:val="22"/>
          <w:szCs w:val="22"/>
          <w:lang w:val="es-ES"/>
        </w:rPr>
        <w:t>,</w:t>
      </w:r>
      <w:r w:rsidRPr="00437F1D">
        <w:rPr>
          <w:color w:val="000000" w:themeColor="text1"/>
          <w:sz w:val="22"/>
          <w:szCs w:val="22"/>
          <w:lang w:val="es-ES"/>
        </w:rPr>
        <w:t xml:space="preserve"> preparan su estructura financiera más adecuada, </w:t>
      </w:r>
      <w:r w:rsidR="00437F1D" w:rsidRPr="00437F1D">
        <w:rPr>
          <w:color w:val="000000" w:themeColor="text1"/>
          <w:sz w:val="22"/>
          <w:szCs w:val="22"/>
          <w:lang w:val="es-ES"/>
        </w:rPr>
        <w:t>que</w:t>
      </w:r>
      <w:r w:rsidR="00437F1D">
        <w:rPr>
          <w:color w:val="000000" w:themeColor="text1"/>
          <w:sz w:val="22"/>
          <w:szCs w:val="22"/>
          <w:lang w:val="es-ES"/>
        </w:rPr>
        <w:t xml:space="preserve"> le</w:t>
      </w:r>
      <w:r w:rsidR="00437F1D" w:rsidRPr="00437F1D">
        <w:rPr>
          <w:color w:val="000000" w:themeColor="text1"/>
          <w:sz w:val="22"/>
          <w:szCs w:val="22"/>
          <w:lang w:val="es-ES"/>
        </w:rPr>
        <w:t xml:space="preserve"> permita </w:t>
      </w:r>
      <w:r w:rsidRPr="00437F1D">
        <w:rPr>
          <w:color w:val="000000" w:themeColor="text1"/>
          <w:sz w:val="22"/>
          <w:szCs w:val="22"/>
          <w:lang w:val="es-ES"/>
        </w:rPr>
        <w:t>unas finanzas sólidas y sostenibles en el tiempo.</w:t>
      </w:r>
    </w:p>
    <w:p w14:paraId="43E01180" w14:textId="66648EBD" w:rsidR="0093120D" w:rsidRPr="00437F1D" w:rsidRDefault="0093120D" w:rsidP="0093120D">
      <w:pPr>
        <w:pStyle w:val="Textoindependiente"/>
        <w:spacing w:after="240" w:line="276" w:lineRule="auto"/>
        <w:jc w:val="both"/>
        <w:rPr>
          <w:color w:val="000000" w:themeColor="text1"/>
          <w:sz w:val="22"/>
          <w:szCs w:val="22"/>
          <w:lang w:val="es-ES"/>
        </w:rPr>
      </w:pPr>
      <w:r w:rsidRPr="00437F1D">
        <w:rPr>
          <w:color w:val="000000" w:themeColor="text1"/>
          <w:sz w:val="22"/>
          <w:szCs w:val="22"/>
          <w:lang w:val="es-ES"/>
        </w:rPr>
        <w:t xml:space="preserve">El </w:t>
      </w:r>
      <w:r w:rsidR="00437F1D" w:rsidRPr="00437F1D">
        <w:rPr>
          <w:color w:val="000000" w:themeColor="text1"/>
          <w:sz w:val="22"/>
          <w:szCs w:val="22"/>
          <w:lang w:val="es-ES"/>
        </w:rPr>
        <w:t xml:space="preserve">Articulo14 </w:t>
      </w:r>
      <w:r w:rsidRPr="00437F1D">
        <w:rPr>
          <w:color w:val="000000" w:themeColor="text1"/>
          <w:sz w:val="22"/>
          <w:szCs w:val="22"/>
          <w:lang w:val="es-ES"/>
        </w:rPr>
        <w:t>de la Ley 819 establece que</w:t>
      </w:r>
      <w:r w:rsidR="00437F1D" w:rsidRPr="00437F1D">
        <w:rPr>
          <w:color w:val="000000" w:themeColor="text1"/>
          <w:sz w:val="22"/>
          <w:szCs w:val="22"/>
          <w:lang w:val="es-ES"/>
        </w:rPr>
        <w:t>:</w:t>
      </w:r>
      <w:r w:rsidRPr="00437F1D">
        <w:rPr>
          <w:color w:val="000000" w:themeColor="text1"/>
          <w:sz w:val="22"/>
          <w:szCs w:val="22"/>
          <w:lang w:val="es-ES"/>
        </w:rPr>
        <w:t xml:space="preserve"> </w:t>
      </w:r>
      <w:r w:rsidR="00437F1D" w:rsidRPr="00437F1D">
        <w:rPr>
          <w:color w:val="000000" w:themeColor="text1"/>
          <w:sz w:val="22"/>
          <w:szCs w:val="22"/>
          <w:lang w:val="es-ES"/>
        </w:rPr>
        <w:t>“</w:t>
      </w:r>
      <w:r w:rsidRPr="00437F1D">
        <w:rPr>
          <w:color w:val="000000" w:themeColor="text1"/>
          <w:sz w:val="22"/>
          <w:szCs w:val="22"/>
          <w:lang w:val="es-ES"/>
        </w:rPr>
        <w:t xml:space="preserve">la capacidad de pago de las entidades territoriales se analizará para todo el periodo de vigencia del crédito </w:t>
      </w:r>
      <w:r w:rsidRPr="00437F1D">
        <w:rPr>
          <w:color w:val="000000" w:themeColor="text1"/>
          <w:sz w:val="22"/>
          <w:szCs w:val="22"/>
          <w:lang w:val="es-ES"/>
        </w:rPr>
        <w:lastRenderedPageBreak/>
        <w:t>que se contrate y que la proyección de los intereses y el saldo de la deuda</w:t>
      </w:r>
      <w:r w:rsidR="00437F1D" w:rsidRPr="00437F1D">
        <w:rPr>
          <w:color w:val="000000" w:themeColor="text1"/>
          <w:sz w:val="22"/>
          <w:szCs w:val="22"/>
          <w:lang w:val="es-ES"/>
        </w:rPr>
        <w:t>,</w:t>
      </w:r>
      <w:r w:rsidRPr="00437F1D">
        <w:rPr>
          <w:color w:val="000000" w:themeColor="text1"/>
          <w:sz w:val="22"/>
          <w:szCs w:val="22"/>
          <w:lang w:val="es-ES"/>
        </w:rPr>
        <w:t xml:space="preserve"> tendrán en cuenta los porcentajes de cobertura de riesgo de tasa de interés y de tasa de cambio que serán definidos trimestralmente por la Superintendencia Bancaria</w:t>
      </w:r>
      <w:r w:rsidR="00437F1D" w:rsidRPr="00437F1D">
        <w:rPr>
          <w:color w:val="000000" w:themeColor="text1"/>
          <w:sz w:val="22"/>
          <w:szCs w:val="22"/>
          <w:lang w:val="es-ES"/>
        </w:rPr>
        <w:t>”</w:t>
      </w:r>
      <w:r w:rsidRPr="00437F1D">
        <w:rPr>
          <w:color w:val="000000" w:themeColor="text1"/>
          <w:sz w:val="22"/>
          <w:szCs w:val="22"/>
          <w:lang w:val="es-ES"/>
        </w:rPr>
        <w:t>.</w:t>
      </w:r>
    </w:p>
    <w:p w14:paraId="1D27DF20" w14:textId="34B313A5" w:rsidR="0093120D" w:rsidRPr="001E2110" w:rsidRDefault="0093120D" w:rsidP="0093120D">
      <w:pPr>
        <w:pStyle w:val="Textoindependiente"/>
        <w:spacing w:after="240" w:line="276" w:lineRule="auto"/>
        <w:jc w:val="both"/>
        <w:rPr>
          <w:color w:val="000000" w:themeColor="text1"/>
          <w:sz w:val="22"/>
          <w:szCs w:val="22"/>
          <w:highlight w:val="yellow"/>
          <w:lang w:val="es-ES"/>
        </w:rPr>
      </w:pPr>
      <w:r w:rsidRPr="00437F1D">
        <w:rPr>
          <w:color w:val="000000" w:themeColor="text1"/>
          <w:sz w:val="22"/>
          <w:szCs w:val="22"/>
          <w:lang w:val="es-ES"/>
        </w:rPr>
        <w:t xml:space="preserve">Actualmente, el principal riesgo financiero que impacta en el servicio de la deuda del Municipio es </w:t>
      </w:r>
      <w:r w:rsidR="00437F1D" w:rsidRPr="00437F1D">
        <w:rPr>
          <w:color w:val="000000" w:themeColor="text1"/>
          <w:sz w:val="22"/>
          <w:szCs w:val="22"/>
          <w:lang w:val="es-ES"/>
        </w:rPr>
        <w:t xml:space="preserve">la </w:t>
      </w:r>
      <w:r w:rsidRPr="00437F1D">
        <w:rPr>
          <w:color w:val="000000" w:themeColor="text1"/>
          <w:sz w:val="22"/>
          <w:szCs w:val="22"/>
          <w:lang w:val="es-ES"/>
        </w:rPr>
        <w:t xml:space="preserve">tasa de interés de su deuda interna contratada a tasa DTF </w:t>
      </w:r>
      <w:r w:rsidR="00437F1D" w:rsidRPr="00437F1D">
        <w:rPr>
          <w:color w:val="000000" w:themeColor="text1"/>
          <w:sz w:val="22"/>
          <w:szCs w:val="22"/>
          <w:lang w:val="es-ES"/>
        </w:rPr>
        <w:t>e</w:t>
      </w:r>
      <w:r w:rsidR="00437F1D">
        <w:rPr>
          <w:color w:val="000000" w:themeColor="text1"/>
          <w:sz w:val="22"/>
          <w:szCs w:val="22"/>
          <w:lang w:val="es-ES"/>
        </w:rPr>
        <w:t xml:space="preserve"> IBR; </w:t>
      </w:r>
      <w:r w:rsidR="00437F1D" w:rsidRPr="00437F1D">
        <w:rPr>
          <w:color w:val="000000" w:themeColor="text1"/>
          <w:sz w:val="22"/>
          <w:szCs w:val="22"/>
          <w:lang w:val="es-ES"/>
        </w:rPr>
        <w:t>a</w:t>
      </w:r>
      <w:r w:rsidRPr="00437F1D">
        <w:rPr>
          <w:color w:val="000000" w:themeColor="text1"/>
          <w:sz w:val="22"/>
          <w:szCs w:val="22"/>
          <w:lang w:val="es-ES"/>
        </w:rPr>
        <w:t>sí, la cuantificación del riesgo está directamente relacionada con el comportamiento de la DTF, IBR y la TRM</w:t>
      </w:r>
      <w:r w:rsidR="00E47AD0" w:rsidRPr="00437F1D">
        <w:rPr>
          <w:color w:val="000000" w:themeColor="text1"/>
          <w:sz w:val="22"/>
          <w:szCs w:val="22"/>
          <w:lang w:val="es-ES"/>
        </w:rPr>
        <w:t>.</w:t>
      </w:r>
    </w:p>
    <w:p w14:paraId="1DA78F97" w14:textId="4F9971EB" w:rsidR="0093120D" w:rsidRPr="00E47AD0" w:rsidRDefault="0093120D" w:rsidP="0093120D">
      <w:pPr>
        <w:pStyle w:val="Textoindependiente"/>
        <w:spacing w:after="240" w:line="276" w:lineRule="auto"/>
        <w:jc w:val="both"/>
        <w:rPr>
          <w:color w:val="000000" w:themeColor="text1"/>
          <w:sz w:val="22"/>
          <w:szCs w:val="22"/>
          <w:lang w:val="es-ES"/>
        </w:rPr>
      </w:pPr>
      <w:r w:rsidRPr="00E47AD0">
        <w:rPr>
          <w:color w:val="000000" w:themeColor="text1"/>
          <w:sz w:val="22"/>
          <w:szCs w:val="22"/>
          <w:lang w:val="es-ES"/>
        </w:rPr>
        <w:t>Las tasas presentan variaciones históricas que las caracterizan como las más volátiles del mercado. Por ello, la ley de responsabilidad fiscal exige que al calcular los indicadores de endeud</w:t>
      </w:r>
      <w:r w:rsidR="00E47AD0" w:rsidRPr="00E47AD0">
        <w:rPr>
          <w:color w:val="000000" w:themeColor="text1"/>
          <w:sz w:val="22"/>
          <w:szCs w:val="22"/>
          <w:lang w:val="es-ES"/>
        </w:rPr>
        <w:t xml:space="preserve">amiento se tenga en cuenta este riesgo </w:t>
      </w:r>
      <w:r w:rsidRPr="00E47AD0">
        <w:rPr>
          <w:color w:val="000000" w:themeColor="text1"/>
          <w:sz w:val="22"/>
          <w:szCs w:val="22"/>
          <w:lang w:val="es-ES"/>
        </w:rPr>
        <w:t>y se creé una especie de colchón que mida al momento de la contratación de la operación de crédito si la entidad territorial podrá cubrir el pago de los intereses de dicho crédito cuando las tasas DFT o TRM sufran cambios importantes.</w:t>
      </w:r>
    </w:p>
    <w:p w14:paraId="403C59D7" w14:textId="21649996" w:rsidR="0093120D" w:rsidRPr="00E47AD0" w:rsidRDefault="0093120D" w:rsidP="0093120D">
      <w:pPr>
        <w:pStyle w:val="Textoindependiente"/>
        <w:spacing w:after="240" w:line="276" w:lineRule="auto"/>
        <w:jc w:val="both"/>
        <w:rPr>
          <w:color w:val="000000" w:themeColor="text1"/>
          <w:sz w:val="22"/>
          <w:szCs w:val="22"/>
          <w:lang w:val="es-ES"/>
        </w:rPr>
      </w:pPr>
      <w:r w:rsidRPr="00E47AD0">
        <w:rPr>
          <w:color w:val="000000" w:themeColor="text1"/>
          <w:sz w:val="22"/>
          <w:szCs w:val="22"/>
          <w:lang w:val="es-ES"/>
        </w:rPr>
        <w:t>Para el proceso de planeación y presupuestación, se entrega por parte de la Oficina de Contaduría las proyecciones del servicio de la deuda (intereses y amortización), no solo para los créditos vigentes</w:t>
      </w:r>
      <w:r w:rsidR="00E47AD0" w:rsidRPr="00E47AD0">
        <w:rPr>
          <w:color w:val="000000" w:themeColor="text1"/>
          <w:sz w:val="22"/>
          <w:szCs w:val="22"/>
          <w:lang w:val="es-ES"/>
        </w:rPr>
        <w:t xml:space="preserve">, efectivamente desembolsados, </w:t>
      </w:r>
      <w:r w:rsidRPr="00E47AD0">
        <w:rPr>
          <w:color w:val="000000" w:themeColor="text1"/>
          <w:sz w:val="22"/>
          <w:szCs w:val="22"/>
          <w:lang w:val="es-ES"/>
        </w:rPr>
        <w:t>sino para nuevo endeudamiento por el plazo del crédito, mismos que son considerado</w:t>
      </w:r>
      <w:r w:rsidR="00E47AD0" w:rsidRPr="00E47AD0">
        <w:rPr>
          <w:color w:val="000000" w:themeColor="text1"/>
          <w:sz w:val="22"/>
          <w:szCs w:val="22"/>
          <w:lang w:val="es-ES"/>
        </w:rPr>
        <w:t xml:space="preserve">s por la sociedad calificadora </w:t>
      </w:r>
      <w:r w:rsidRPr="00E47AD0">
        <w:rPr>
          <w:color w:val="000000" w:themeColor="text1"/>
          <w:sz w:val="22"/>
          <w:szCs w:val="22"/>
          <w:lang w:val="es-ES"/>
        </w:rPr>
        <w:t xml:space="preserve">en el proceso de </w:t>
      </w:r>
      <w:r w:rsidR="00E47AD0" w:rsidRPr="00E47AD0">
        <w:rPr>
          <w:color w:val="000000" w:themeColor="text1"/>
          <w:sz w:val="22"/>
          <w:szCs w:val="22"/>
          <w:lang w:val="es-ES"/>
        </w:rPr>
        <w:t xml:space="preserve">calificación de capacidad de pago, de acuerdo a la </w:t>
      </w:r>
      <w:r w:rsidRPr="00E47AD0">
        <w:rPr>
          <w:color w:val="000000" w:themeColor="text1"/>
          <w:sz w:val="22"/>
          <w:szCs w:val="22"/>
          <w:lang w:val="es-ES"/>
        </w:rPr>
        <w:t>Ley 819</w:t>
      </w:r>
      <w:r w:rsidR="00E47AD0" w:rsidRPr="00E47AD0">
        <w:rPr>
          <w:color w:val="000000" w:themeColor="text1"/>
          <w:sz w:val="22"/>
          <w:szCs w:val="22"/>
          <w:lang w:val="es-ES"/>
        </w:rPr>
        <w:t xml:space="preserve"> de 2003</w:t>
      </w:r>
      <w:r w:rsidRPr="00E47AD0">
        <w:rPr>
          <w:color w:val="000000" w:themeColor="text1"/>
          <w:sz w:val="22"/>
          <w:szCs w:val="22"/>
          <w:lang w:val="es-ES"/>
        </w:rPr>
        <w:t>, determinándose la proyección del servicio de la deud</w:t>
      </w:r>
      <w:r w:rsidR="00E47AD0" w:rsidRPr="00E47AD0">
        <w:rPr>
          <w:color w:val="000000" w:themeColor="text1"/>
          <w:sz w:val="22"/>
          <w:szCs w:val="22"/>
          <w:lang w:val="es-ES"/>
        </w:rPr>
        <w:t>a y en consecuencia la revisión</w:t>
      </w:r>
      <w:r w:rsidRPr="00E47AD0">
        <w:rPr>
          <w:color w:val="000000" w:themeColor="text1"/>
          <w:sz w:val="22"/>
          <w:szCs w:val="22"/>
          <w:lang w:val="es-ES"/>
        </w:rPr>
        <w:t xml:space="preserve"> de cumplimiento de los </w:t>
      </w:r>
      <w:r w:rsidR="00E47AD0">
        <w:rPr>
          <w:color w:val="000000" w:themeColor="text1"/>
          <w:sz w:val="22"/>
          <w:szCs w:val="22"/>
          <w:lang w:val="es-ES"/>
        </w:rPr>
        <w:t>i</w:t>
      </w:r>
      <w:r w:rsidRPr="00E47AD0">
        <w:rPr>
          <w:color w:val="000000" w:themeColor="text1"/>
          <w:sz w:val="22"/>
          <w:szCs w:val="22"/>
          <w:lang w:val="es-ES"/>
        </w:rPr>
        <w:t>ndicadores de Ley 358</w:t>
      </w:r>
      <w:r w:rsidR="00E47AD0" w:rsidRPr="00E47AD0">
        <w:rPr>
          <w:color w:val="000000" w:themeColor="text1"/>
          <w:sz w:val="22"/>
          <w:szCs w:val="22"/>
          <w:lang w:val="es-ES"/>
        </w:rPr>
        <w:t xml:space="preserve"> de 1997</w:t>
      </w:r>
      <w:r w:rsidRPr="00E47AD0">
        <w:rPr>
          <w:color w:val="000000" w:themeColor="text1"/>
          <w:sz w:val="22"/>
          <w:szCs w:val="22"/>
          <w:lang w:val="es-ES"/>
        </w:rPr>
        <w:t>, solvencia y sostenibilidad.</w:t>
      </w:r>
    </w:p>
    <w:p w14:paraId="21BDC590" w14:textId="4FD736B5" w:rsidR="00F23331" w:rsidRPr="001E2110" w:rsidRDefault="0093120D" w:rsidP="0093120D">
      <w:pPr>
        <w:pStyle w:val="Textoindependiente"/>
        <w:spacing w:after="240" w:line="276" w:lineRule="auto"/>
        <w:jc w:val="both"/>
        <w:rPr>
          <w:color w:val="000000" w:themeColor="text1"/>
          <w:sz w:val="22"/>
          <w:szCs w:val="22"/>
          <w:highlight w:val="yellow"/>
          <w:lang w:val="es-ES"/>
        </w:rPr>
      </w:pPr>
      <w:r w:rsidRPr="00E47AD0">
        <w:rPr>
          <w:color w:val="000000" w:themeColor="text1"/>
          <w:sz w:val="22"/>
          <w:szCs w:val="22"/>
          <w:lang w:val="es-ES"/>
        </w:rPr>
        <w:t>De esta manera</w:t>
      </w:r>
      <w:r w:rsidR="00E47AD0" w:rsidRPr="00E47AD0">
        <w:rPr>
          <w:color w:val="000000" w:themeColor="text1"/>
          <w:sz w:val="22"/>
          <w:szCs w:val="22"/>
          <w:lang w:val="es-ES"/>
        </w:rPr>
        <w:t>,</w:t>
      </w:r>
      <w:r w:rsidRPr="00E47AD0">
        <w:rPr>
          <w:color w:val="000000" w:themeColor="text1"/>
          <w:sz w:val="22"/>
          <w:szCs w:val="22"/>
          <w:lang w:val="es-ES"/>
        </w:rPr>
        <w:t xml:space="preserve"> atendiendo mecanismos de cobertura frente a la deuda que actualmente se posee con el BID</w:t>
      </w:r>
      <w:r w:rsidR="00E47AD0" w:rsidRPr="00E47AD0">
        <w:rPr>
          <w:color w:val="000000" w:themeColor="text1"/>
          <w:sz w:val="22"/>
          <w:szCs w:val="22"/>
          <w:lang w:val="es-ES"/>
        </w:rPr>
        <w:t>,</w:t>
      </w:r>
      <w:r w:rsidRPr="00E47AD0">
        <w:rPr>
          <w:color w:val="000000" w:themeColor="text1"/>
          <w:sz w:val="22"/>
          <w:szCs w:val="22"/>
          <w:lang w:val="es-ES"/>
        </w:rPr>
        <w:t xml:space="preserve"> a través del crédito CO-2183</w:t>
      </w:r>
      <w:r w:rsidR="00E47AD0" w:rsidRPr="00E47AD0">
        <w:rPr>
          <w:color w:val="000000" w:themeColor="text1"/>
          <w:sz w:val="22"/>
          <w:szCs w:val="22"/>
          <w:lang w:val="es-ES"/>
        </w:rPr>
        <w:t>,</w:t>
      </w:r>
      <w:r w:rsidRPr="00E47AD0">
        <w:rPr>
          <w:color w:val="000000" w:themeColor="text1"/>
          <w:sz w:val="22"/>
          <w:szCs w:val="22"/>
          <w:lang w:val="es-ES"/>
        </w:rPr>
        <w:t xml:space="preserve"> derivado del Convenio 019 suscrito entre el </w:t>
      </w:r>
      <w:r w:rsidR="00E47AD0" w:rsidRPr="00E47AD0">
        <w:rPr>
          <w:color w:val="000000" w:themeColor="text1"/>
          <w:sz w:val="22"/>
          <w:szCs w:val="22"/>
          <w:lang w:val="es-ES"/>
        </w:rPr>
        <w:t>m</w:t>
      </w:r>
      <w:r w:rsidRPr="00E47AD0">
        <w:rPr>
          <w:color w:val="000000" w:themeColor="text1"/>
          <w:sz w:val="22"/>
          <w:szCs w:val="22"/>
          <w:lang w:val="es-ES"/>
        </w:rPr>
        <w:t>unicipio de Pasto y EMPOPASTO S.A., p</w:t>
      </w:r>
      <w:r w:rsidR="00E47AD0" w:rsidRPr="00E47AD0">
        <w:rPr>
          <w:color w:val="000000" w:themeColor="text1"/>
          <w:sz w:val="22"/>
          <w:szCs w:val="22"/>
          <w:lang w:val="es-ES"/>
        </w:rPr>
        <w:t>a</w:t>
      </w:r>
      <w:r w:rsidRPr="00E47AD0">
        <w:rPr>
          <w:color w:val="000000" w:themeColor="text1"/>
          <w:sz w:val="22"/>
          <w:szCs w:val="22"/>
          <w:lang w:val="es-ES"/>
        </w:rPr>
        <w:t>r</w:t>
      </w:r>
      <w:r w:rsidR="00E47AD0" w:rsidRPr="00E47AD0">
        <w:rPr>
          <w:color w:val="000000" w:themeColor="text1"/>
          <w:sz w:val="22"/>
          <w:szCs w:val="22"/>
          <w:lang w:val="es-ES"/>
        </w:rPr>
        <w:t>a el componente del Programa A</w:t>
      </w:r>
      <w:r w:rsidRPr="00E47AD0">
        <w:rPr>
          <w:color w:val="000000" w:themeColor="text1"/>
          <w:sz w:val="22"/>
          <w:szCs w:val="22"/>
          <w:lang w:val="es-ES"/>
        </w:rPr>
        <w:t>gua para el campo, con el fin de minimizar el riesgo de tasa de interés y tasa de cambio y estabilizar los pagos del servicio de la deuda en pesos</w:t>
      </w:r>
      <w:r w:rsidR="00E47AD0" w:rsidRPr="00E47AD0">
        <w:rPr>
          <w:color w:val="000000" w:themeColor="text1"/>
          <w:sz w:val="22"/>
          <w:szCs w:val="22"/>
          <w:lang w:val="es-ES"/>
        </w:rPr>
        <w:t>,</w:t>
      </w:r>
      <w:r w:rsidRPr="00E47AD0">
        <w:rPr>
          <w:color w:val="000000" w:themeColor="text1"/>
          <w:sz w:val="22"/>
          <w:szCs w:val="22"/>
          <w:lang w:val="es-ES"/>
        </w:rPr>
        <w:t xml:space="preserve"> para efectos de programación y planeación financiera,</w:t>
      </w:r>
      <w:r w:rsidR="00E47AD0" w:rsidRPr="00E47AD0">
        <w:rPr>
          <w:color w:val="000000" w:themeColor="text1"/>
          <w:sz w:val="22"/>
          <w:szCs w:val="22"/>
          <w:lang w:val="es-ES"/>
        </w:rPr>
        <w:t xml:space="preserve"> se</w:t>
      </w:r>
      <w:r w:rsidRPr="00E47AD0">
        <w:rPr>
          <w:color w:val="000000" w:themeColor="text1"/>
          <w:sz w:val="22"/>
          <w:szCs w:val="22"/>
          <w:lang w:val="es-ES"/>
        </w:rPr>
        <w:t xml:space="preserve"> acogió la monetización de la deuda.</w:t>
      </w:r>
    </w:p>
    <w:p w14:paraId="0850FA82" w14:textId="77777777" w:rsidR="00ED19C0" w:rsidRPr="00E47AD0" w:rsidRDefault="00896530" w:rsidP="00CC0DC8">
      <w:pPr>
        <w:pStyle w:val="Ttulo3"/>
        <w:spacing w:after="240"/>
        <w:rPr>
          <w:color w:val="000000" w:themeColor="text1"/>
          <w:lang w:val="es-ES"/>
        </w:rPr>
      </w:pPr>
      <w:bookmarkStart w:id="118" w:name="_Toc532565950"/>
      <w:r w:rsidRPr="00E47AD0">
        <w:rPr>
          <w:color w:val="000000" w:themeColor="text1"/>
          <w:lang w:val="es-ES"/>
        </w:rPr>
        <w:t xml:space="preserve">Conceptos básicos de </w:t>
      </w:r>
      <w:r w:rsidR="00904221" w:rsidRPr="00E47AD0">
        <w:rPr>
          <w:color w:val="000000" w:themeColor="text1"/>
          <w:lang w:val="es-ES"/>
        </w:rPr>
        <w:t>Ley</w:t>
      </w:r>
      <w:r w:rsidRPr="00E47AD0">
        <w:rPr>
          <w:color w:val="000000" w:themeColor="text1"/>
          <w:lang w:val="es-ES"/>
        </w:rPr>
        <w:t xml:space="preserve"> 358 de 1</w:t>
      </w:r>
      <w:r w:rsidR="00677466" w:rsidRPr="00E47AD0">
        <w:rPr>
          <w:color w:val="000000" w:themeColor="text1"/>
          <w:lang w:val="es-ES"/>
        </w:rPr>
        <w:t>997.</w:t>
      </w:r>
      <w:bookmarkEnd w:id="118"/>
    </w:p>
    <w:p w14:paraId="2A8FDD61" w14:textId="77777777" w:rsidR="0071426C" w:rsidRPr="00E47AD0" w:rsidRDefault="0071426C" w:rsidP="0071426C">
      <w:pPr>
        <w:spacing w:after="240"/>
        <w:jc w:val="both"/>
        <w:rPr>
          <w:rFonts w:ascii="Century Gothic" w:hAnsi="Century Gothic"/>
          <w:lang w:val="es-ES"/>
        </w:rPr>
      </w:pPr>
      <w:r w:rsidRPr="00E47AD0">
        <w:rPr>
          <w:rFonts w:ascii="Century Gothic" w:hAnsi="Century Gothic"/>
          <w:lang w:val="es-ES"/>
        </w:rPr>
        <w:t>El artículo 364 de la Constitución Política dispuso que el endeudamiento de las entidades territoriales no pueda exceder su capacidad de pago.</w:t>
      </w:r>
    </w:p>
    <w:p w14:paraId="4C20A4D0" w14:textId="77777777" w:rsidR="005B51C2" w:rsidRDefault="0071426C" w:rsidP="0071426C">
      <w:pPr>
        <w:spacing w:after="240"/>
        <w:jc w:val="both"/>
        <w:rPr>
          <w:rFonts w:ascii="Century Gothic" w:hAnsi="Century Gothic"/>
          <w:lang w:val="es-ES"/>
        </w:rPr>
      </w:pPr>
      <w:r w:rsidRPr="00E47AD0">
        <w:rPr>
          <w:rFonts w:ascii="Century Gothic" w:hAnsi="Century Gothic"/>
          <w:lang w:val="es-ES"/>
        </w:rPr>
        <w:lastRenderedPageBreak/>
        <w:t>De conformidad con lo expue</w:t>
      </w:r>
      <w:r w:rsidR="00E47AD0" w:rsidRPr="00E47AD0">
        <w:rPr>
          <w:rFonts w:ascii="Century Gothic" w:hAnsi="Century Gothic"/>
          <w:lang w:val="es-ES"/>
        </w:rPr>
        <w:t>sto y en atención al Artículo 6</w:t>
      </w:r>
      <w:r w:rsidRPr="00E47AD0">
        <w:rPr>
          <w:rFonts w:ascii="Century Gothic" w:hAnsi="Century Gothic"/>
          <w:lang w:val="es-ES"/>
        </w:rPr>
        <w:t xml:space="preserve"> del Decreto 696</w:t>
      </w:r>
      <w:r w:rsidR="005B51C2">
        <w:rPr>
          <w:rFonts w:ascii="Century Gothic" w:hAnsi="Century Gothic"/>
          <w:lang w:val="es-ES"/>
        </w:rPr>
        <w:t xml:space="preserve"> de 1998</w:t>
      </w:r>
      <w:r w:rsidRPr="00E47AD0">
        <w:rPr>
          <w:rFonts w:ascii="Century Gothic" w:hAnsi="Century Gothic"/>
          <w:lang w:val="es-ES"/>
        </w:rPr>
        <w:t xml:space="preserve">, reglamentario de la Ley 358 de 1997, se requiere que para celebrar cada operación de crédito se deben consultar los indicadores de </w:t>
      </w:r>
      <w:r w:rsidR="005B51C2" w:rsidRPr="00E47AD0">
        <w:rPr>
          <w:rFonts w:ascii="Century Gothic" w:hAnsi="Century Gothic"/>
          <w:lang w:val="es-ES"/>
        </w:rPr>
        <w:t>solvencia y sostenibilidad.</w:t>
      </w:r>
      <w:r w:rsidR="005B51C2">
        <w:rPr>
          <w:rFonts w:ascii="Century Gothic" w:hAnsi="Century Gothic"/>
          <w:lang w:val="es-ES"/>
        </w:rPr>
        <w:t xml:space="preserve"> </w:t>
      </w:r>
    </w:p>
    <w:p w14:paraId="15D80847" w14:textId="1B5F9F40" w:rsidR="00ED19C0" w:rsidRPr="00E47AD0" w:rsidRDefault="005B51C2" w:rsidP="0071426C">
      <w:pPr>
        <w:spacing w:after="240"/>
        <w:jc w:val="both"/>
        <w:rPr>
          <w:rFonts w:ascii="Century Gothic" w:hAnsi="Century Gothic"/>
          <w:lang w:val="es-ES"/>
        </w:rPr>
      </w:pPr>
      <w:r w:rsidRPr="005B51C2">
        <w:rPr>
          <w:rFonts w:ascii="Century Gothic" w:hAnsi="Century Gothic"/>
          <w:lang w:val="es-ES"/>
        </w:rPr>
        <w:t>El municipio de Pasto se ha caracterizado por el cumplimiento de los indicadores de capacidad de pago de la Ley 358 de 1997, ubicándose por debajo de los límites establecidos; lo que significa, que el Municipio está en capacidad de cubrir los gastos de funcionamiento, el servicio de la deuda (amortización e interés), los compromisos de vigencias futuras y su inversión, encontrándose en instancia de endeudamiento autónomo (semáforo verde).</w:t>
      </w:r>
    </w:p>
    <w:p w14:paraId="1BC242CB" w14:textId="77777777" w:rsidR="00ED19C0" w:rsidRPr="005B51C2" w:rsidRDefault="00ED19C0" w:rsidP="00CC0DC8">
      <w:pPr>
        <w:spacing w:after="240"/>
        <w:jc w:val="center"/>
        <w:rPr>
          <w:rFonts w:ascii="Century Gothic" w:hAnsi="Century Gothic"/>
          <w:lang w:val="es-ES"/>
        </w:rPr>
      </w:pPr>
      <w:r w:rsidRPr="005B51C2">
        <w:rPr>
          <w:rFonts w:ascii="Century Gothic" w:hAnsi="Century Gothic"/>
          <w:noProof/>
          <w:lang w:val="es-ES" w:eastAsia="es-ES"/>
        </w:rPr>
        <w:drawing>
          <wp:inline distT="0" distB="0" distL="0" distR="0" wp14:anchorId="412E359F" wp14:editId="24CBE516">
            <wp:extent cx="1555750" cy="5461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66487" cy="549869"/>
                    </a:xfrm>
                    <a:prstGeom prst="rect">
                      <a:avLst/>
                    </a:prstGeom>
                    <a:noFill/>
                    <a:ln>
                      <a:noFill/>
                    </a:ln>
                  </pic:spPr>
                </pic:pic>
              </a:graphicData>
            </a:graphic>
          </wp:inline>
        </w:drawing>
      </w:r>
      <w:r w:rsidRPr="005B51C2">
        <w:rPr>
          <w:rFonts w:ascii="Century Gothic" w:hAnsi="Century Gothic"/>
          <w:noProof/>
          <w:lang w:val="es-ES" w:eastAsia="es-ES"/>
        </w:rPr>
        <w:drawing>
          <wp:inline distT="0" distB="0" distL="0" distR="0" wp14:anchorId="3D204C0B" wp14:editId="1B120DAD">
            <wp:extent cx="1809750" cy="53710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19734" cy="540066"/>
                    </a:xfrm>
                    <a:prstGeom prst="rect">
                      <a:avLst/>
                    </a:prstGeom>
                    <a:noFill/>
                    <a:ln>
                      <a:noFill/>
                    </a:ln>
                  </pic:spPr>
                </pic:pic>
              </a:graphicData>
            </a:graphic>
          </wp:inline>
        </w:drawing>
      </w:r>
      <w:r w:rsidRPr="005B51C2">
        <w:rPr>
          <w:rFonts w:ascii="Century Gothic" w:hAnsi="Century Gothic"/>
          <w:noProof/>
          <w:lang w:val="es-ES" w:eastAsia="es-ES"/>
        </w:rPr>
        <w:drawing>
          <wp:inline distT="0" distB="0" distL="0" distR="0" wp14:anchorId="1EA36ADC" wp14:editId="7E47388F">
            <wp:extent cx="847725" cy="722437"/>
            <wp:effectExtent l="0" t="0" r="0" b="190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55119" cy="728739"/>
                    </a:xfrm>
                    <a:prstGeom prst="rect">
                      <a:avLst/>
                    </a:prstGeom>
                    <a:noFill/>
                    <a:ln>
                      <a:noFill/>
                    </a:ln>
                  </pic:spPr>
                </pic:pic>
              </a:graphicData>
            </a:graphic>
          </wp:inline>
        </w:drawing>
      </w:r>
    </w:p>
    <w:p w14:paraId="068925AA" w14:textId="77777777" w:rsidR="00ED19C0" w:rsidRPr="005B51C2" w:rsidRDefault="00ED19C0" w:rsidP="00CC0DC8">
      <w:pPr>
        <w:spacing w:after="240"/>
        <w:jc w:val="center"/>
        <w:rPr>
          <w:rFonts w:ascii="Century Gothic" w:hAnsi="Century Gothic"/>
          <w:lang w:val="es-ES"/>
        </w:rPr>
      </w:pPr>
      <w:r w:rsidRPr="005B51C2">
        <w:rPr>
          <w:rFonts w:ascii="Century Gothic" w:hAnsi="Century Gothic"/>
          <w:noProof/>
          <w:lang w:val="es-ES" w:eastAsia="es-ES"/>
        </w:rPr>
        <w:drawing>
          <wp:inline distT="0" distB="0" distL="0" distR="0" wp14:anchorId="0D51C076" wp14:editId="145121BF">
            <wp:extent cx="1524000" cy="5588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34912" cy="562801"/>
                    </a:xfrm>
                    <a:prstGeom prst="rect">
                      <a:avLst/>
                    </a:prstGeom>
                    <a:noFill/>
                    <a:ln>
                      <a:noFill/>
                    </a:ln>
                  </pic:spPr>
                </pic:pic>
              </a:graphicData>
            </a:graphic>
          </wp:inline>
        </w:drawing>
      </w:r>
      <w:r w:rsidRPr="005B51C2">
        <w:rPr>
          <w:rFonts w:ascii="Century Gothic" w:hAnsi="Century Gothic"/>
          <w:noProof/>
          <w:lang w:val="es-ES" w:eastAsia="es-ES"/>
        </w:rPr>
        <w:drawing>
          <wp:inline distT="0" distB="0" distL="0" distR="0" wp14:anchorId="07885CAE" wp14:editId="15582CD8">
            <wp:extent cx="1770438" cy="665013"/>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99729" cy="676015"/>
                    </a:xfrm>
                    <a:prstGeom prst="rect">
                      <a:avLst/>
                    </a:prstGeom>
                    <a:noFill/>
                    <a:ln>
                      <a:noFill/>
                    </a:ln>
                  </pic:spPr>
                </pic:pic>
              </a:graphicData>
            </a:graphic>
          </wp:inline>
        </w:drawing>
      </w:r>
      <w:r w:rsidRPr="005B51C2">
        <w:rPr>
          <w:rFonts w:ascii="Century Gothic" w:hAnsi="Century Gothic"/>
          <w:noProof/>
          <w:lang w:val="es-ES" w:eastAsia="es-ES"/>
        </w:rPr>
        <w:drawing>
          <wp:inline distT="0" distB="0" distL="0" distR="0" wp14:anchorId="72BD25B2" wp14:editId="5D5C0597">
            <wp:extent cx="981075" cy="773000"/>
            <wp:effectExtent l="0" t="0" r="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91661" cy="781341"/>
                    </a:xfrm>
                    <a:prstGeom prst="rect">
                      <a:avLst/>
                    </a:prstGeom>
                    <a:noFill/>
                    <a:ln>
                      <a:noFill/>
                    </a:ln>
                  </pic:spPr>
                </pic:pic>
              </a:graphicData>
            </a:graphic>
          </wp:inline>
        </w:drawing>
      </w:r>
    </w:p>
    <w:p w14:paraId="1F48197B" w14:textId="77777777" w:rsidR="00CA5DE9" w:rsidRPr="005B51C2" w:rsidRDefault="00CA5DE9" w:rsidP="00CC0DC8">
      <w:pPr>
        <w:pStyle w:val="Ttulo4"/>
        <w:spacing w:after="240" w:line="276" w:lineRule="auto"/>
        <w:rPr>
          <w:lang w:val="es-ES"/>
        </w:rPr>
      </w:pPr>
      <w:r w:rsidRPr="005B51C2">
        <w:rPr>
          <w:lang w:val="es-ES"/>
        </w:rPr>
        <w:t>Solvencia</w:t>
      </w:r>
    </w:p>
    <w:p w14:paraId="2739A7C4" w14:textId="77777777" w:rsidR="0071426C" w:rsidRPr="005B51C2" w:rsidRDefault="0071426C" w:rsidP="0071426C">
      <w:pPr>
        <w:spacing w:after="240"/>
        <w:jc w:val="both"/>
        <w:rPr>
          <w:rFonts w:ascii="Century Gothic" w:eastAsia="Century Gothic" w:hAnsi="Century Gothic" w:cs="Century Gothic"/>
          <w:lang w:val="es-ES"/>
        </w:rPr>
      </w:pPr>
      <w:r w:rsidRPr="005B51C2">
        <w:rPr>
          <w:rFonts w:ascii="Century Gothic" w:eastAsia="Century Gothic" w:hAnsi="Century Gothic" w:cs="Century Gothic"/>
          <w:lang w:val="es-ES"/>
        </w:rPr>
        <w:t>El indicador de solvencia evalúa la capacidad de una entidad para generar ahorro operacional, para cubrir la totalidad de los intereses generados por las obligaciones de crédito adquiridas, por lo tanto, este indicador evalúa la liquidez o capacidad de una entidad para responder en el corto plazo con los compromisos.</w:t>
      </w:r>
    </w:p>
    <w:p w14:paraId="69E5DA73" w14:textId="77777777" w:rsidR="0071426C" w:rsidRPr="005B51C2" w:rsidRDefault="0071426C" w:rsidP="0071426C">
      <w:pPr>
        <w:spacing w:after="240"/>
        <w:jc w:val="both"/>
        <w:rPr>
          <w:rFonts w:ascii="Century Gothic" w:eastAsia="Century Gothic" w:hAnsi="Century Gothic" w:cs="Century Gothic"/>
          <w:lang w:val="es-ES"/>
        </w:rPr>
      </w:pPr>
      <w:r w:rsidRPr="005B51C2">
        <w:rPr>
          <w:rFonts w:ascii="Century Gothic" w:eastAsia="Century Gothic" w:hAnsi="Century Gothic" w:cs="Century Gothic"/>
          <w:lang w:val="es-ES"/>
        </w:rPr>
        <w:t>La fórmula para el cálculo del indicador se expresa en la relación intereses deuda/ahorro operacional. En la estimación de los intereses de la deuda  se tiene en cuenta “los pagados durante la vigencia + los causados que van a ser pagados en el resto de la vigencia + los de los créditos de corto plazo + los de sobregiros + los de mora + los del nuevo crédito”. Por su parte, el ahorro operacional es el resultado de restar de los ingresos corrientes, los gastos de funcionamiento y las transferencias pagadas por las entidades territoriales.</w:t>
      </w:r>
    </w:p>
    <w:p w14:paraId="28DB8D3F" w14:textId="2D54B638" w:rsidR="0005129F" w:rsidRPr="005B51C2" w:rsidRDefault="0071426C" w:rsidP="0071426C">
      <w:pPr>
        <w:spacing w:after="240"/>
        <w:jc w:val="both"/>
        <w:rPr>
          <w:rFonts w:ascii="Century Gothic" w:hAnsi="Century Gothic"/>
          <w:lang w:val="es-ES"/>
        </w:rPr>
      </w:pPr>
      <w:r w:rsidRPr="005B51C2">
        <w:rPr>
          <w:rFonts w:ascii="Century Gothic" w:eastAsia="Century Gothic" w:hAnsi="Century Gothic" w:cs="Century Gothic"/>
          <w:lang w:val="es-ES"/>
        </w:rPr>
        <w:lastRenderedPageBreak/>
        <w:t xml:space="preserve">El </w:t>
      </w:r>
      <w:r w:rsidR="005B51C2" w:rsidRPr="005B51C2">
        <w:rPr>
          <w:rFonts w:ascii="Century Gothic" w:eastAsia="Century Gothic" w:hAnsi="Century Gothic" w:cs="Century Gothic"/>
          <w:lang w:val="es-ES"/>
        </w:rPr>
        <w:t>m</w:t>
      </w:r>
      <w:r w:rsidRPr="005B51C2">
        <w:rPr>
          <w:rFonts w:ascii="Century Gothic" w:eastAsia="Century Gothic" w:hAnsi="Century Gothic" w:cs="Century Gothic"/>
          <w:lang w:val="es-ES"/>
        </w:rPr>
        <w:t xml:space="preserve">unicipio de Pasto ha tenido la capacidad de generar </w:t>
      </w:r>
      <w:r w:rsidR="005B51C2" w:rsidRPr="005B51C2">
        <w:rPr>
          <w:rFonts w:ascii="Century Gothic" w:eastAsia="Century Gothic" w:hAnsi="Century Gothic" w:cs="Century Gothic"/>
          <w:lang w:val="es-ES"/>
        </w:rPr>
        <w:t>ahorro o</w:t>
      </w:r>
      <w:r w:rsidRPr="005B51C2">
        <w:rPr>
          <w:rFonts w:ascii="Century Gothic" w:eastAsia="Century Gothic" w:hAnsi="Century Gothic" w:cs="Century Gothic"/>
          <w:lang w:val="es-ES"/>
        </w:rPr>
        <w:t>peracional suficiente para cubrir la totalidad de los intereses generados por los empréstitos contratados, su comportamiento histórico se visualiza a continuación:</w:t>
      </w:r>
    </w:p>
    <w:p w14:paraId="1BA1F752" w14:textId="099A352B" w:rsidR="00CC0DC8" w:rsidRPr="005B51C2" w:rsidRDefault="0071426C" w:rsidP="0071426C">
      <w:pPr>
        <w:pStyle w:val="Epgrafe"/>
        <w:spacing w:after="0" w:line="276" w:lineRule="auto"/>
        <w:jc w:val="center"/>
        <w:rPr>
          <w:rFonts w:ascii="Century Gothic" w:hAnsi="Century Gothic"/>
          <w:b w:val="0"/>
          <w:color w:val="auto"/>
          <w:sz w:val="22"/>
          <w:szCs w:val="22"/>
          <w:lang w:val="es-ES"/>
        </w:rPr>
      </w:pPr>
      <w:bookmarkStart w:id="119" w:name="_Toc532566076"/>
      <w:r w:rsidRPr="005B51C2">
        <w:rPr>
          <w:rFonts w:ascii="Century Gothic" w:hAnsi="Century Gothic"/>
          <w:b w:val="0"/>
          <w:color w:val="auto"/>
          <w:sz w:val="22"/>
          <w:szCs w:val="22"/>
          <w:lang w:val="es-ES"/>
        </w:rPr>
        <w:t xml:space="preserve">Gráfica </w:t>
      </w:r>
      <w:r w:rsidRPr="005B51C2">
        <w:rPr>
          <w:rFonts w:ascii="Century Gothic" w:hAnsi="Century Gothic"/>
          <w:b w:val="0"/>
          <w:color w:val="auto"/>
          <w:sz w:val="22"/>
          <w:szCs w:val="22"/>
          <w:lang w:val="es-ES"/>
        </w:rPr>
        <w:fldChar w:fldCharType="begin"/>
      </w:r>
      <w:r w:rsidRPr="005B51C2">
        <w:rPr>
          <w:rFonts w:ascii="Century Gothic" w:hAnsi="Century Gothic"/>
          <w:b w:val="0"/>
          <w:color w:val="auto"/>
          <w:sz w:val="22"/>
          <w:szCs w:val="22"/>
          <w:lang w:val="es-ES"/>
        </w:rPr>
        <w:instrText xml:space="preserve"> SEQ Gráfica \* ARABIC </w:instrText>
      </w:r>
      <w:r w:rsidRPr="005B51C2">
        <w:rPr>
          <w:rFonts w:ascii="Century Gothic" w:hAnsi="Century Gothic"/>
          <w:b w:val="0"/>
          <w:color w:val="auto"/>
          <w:sz w:val="22"/>
          <w:szCs w:val="22"/>
          <w:lang w:val="es-ES"/>
        </w:rPr>
        <w:fldChar w:fldCharType="separate"/>
      </w:r>
      <w:r w:rsidR="004A2E30" w:rsidRPr="005B51C2">
        <w:rPr>
          <w:rFonts w:ascii="Century Gothic" w:hAnsi="Century Gothic"/>
          <w:b w:val="0"/>
          <w:noProof/>
          <w:color w:val="auto"/>
          <w:sz w:val="22"/>
          <w:szCs w:val="22"/>
          <w:lang w:val="es-ES"/>
        </w:rPr>
        <w:t>22</w:t>
      </w:r>
      <w:r w:rsidRPr="005B51C2">
        <w:rPr>
          <w:rFonts w:ascii="Century Gothic" w:hAnsi="Century Gothic"/>
          <w:b w:val="0"/>
          <w:color w:val="auto"/>
          <w:sz w:val="22"/>
          <w:szCs w:val="22"/>
          <w:lang w:val="es-ES"/>
        </w:rPr>
        <w:fldChar w:fldCharType="end"/>
      </w:r>
      <w:r w:rsidRPr="005B51C2">
        <w:rPr>
          <w:rFonts w:ascii="Century Gothic" w:hAnsi="Century Gothic"/>
          <w:b w:val="0"/>
          <w:color w:val="auto"/>
          <w:sz w:val="22"/>
          <w:szCs w:val="22"/>
          <w:lang w:val="es-ES"/>
        </w:rPr>
        <w:t xml:space="preserve">. </w:t>
      </w:r>
      <w:r w:rsidR="00CC0DC8" w:rsidRPr="005B51C2">
        <w:rPr>
          <w:rFonts w:ascii="Century Gothic" w:hAnsi="Century Gothic"/>
          <w:b w:val="0"/>
          <w:color w:val="auto"/>
          <w:sz w:val="22"/>
          <w:szCs w:val="22"/>
          <w:lang w:val="es-ES"/>
        </w:rPr>
        <w:t xml:space="preserve">Indicador de </w:t>
      </w:r>
      <w:r w:rsidR="005B51C2" w:rsidRPr="005B51C2">
        <w:rPr>
          <w:rFonts w:ascii="Century Gothic" w:hAnsi="Century Gothic"/>
          <w:b w:val="0"/>
          <w:color w:val="auto"/>
          <w:sz w:val="22"/>
          <w:szCs w:val="22"/>
          <w:lang w:val="es-ES"/>
        </w:rPr>
        <w:t>solvencia</w:t>
      </w:r>
      <w:r w:rsidR="00CC0DC8" w:rsidRPr="005B51C2">
        <w:rPr>
          <w:rFonts w:ascii="Century Gothic" w:hAnsi="Century Gothic"/>
          <w:b w:val="0"/>
          <w:color w:val="auto"/>
          <w:sz w:val="22"/>
          <w:szCs w:val="22"/>
          <w:lang w:val="es-ES"/>
        </w:rPr>
        <w:t>, 2007 - 201</w:t>
      </w:r>
      <w:r w:rsidRPr="005B51C2">
        <w:rPr>
          <w:rFonts w:ascii="Century Gothic" w:hAnsi="Century Gothic"/>
          <w:b w:val="0"/>
          <w:color w:val="auto"/>
          <w:sz w:val="22"/>
          <w:szCs w:val="22"/>
          <w:lang w:val="es-ES"/>
        </w:rPr>
        <w:t>7</w:t>
      </w:r>
      <w:bookmarkEnd w:id="119"/>
    </w:p>
    <w:p w14:paraId="2F99BBB6" w14:textId="79D0E69B" w:rsidR="00ED19C0" w:rsidRPr="005B51C2" w:rsidRDefault="0071426C" w:rsidP="0071426C">
      <w:pPr>
        <w:spacing w:after="0"/>
        <w:jc w:val="both"/>
        <w:rPr>
          <w:rFonts w:ascii="Century Gothic" w:hAnsi="Century Gothic"/>
          <w:lang w:val="es-ES"/>
        </w:rPr>
      </w:pPr>
      <w:r w:rsidRPr="005B51C2">
        <w:rPr>
          <w:rFonts w:ascii="Century Gothic" w:hAnsi="Century Gothic"/>
          <w:noProof/>
          <w:lang w:val="es-ES" w:eastAsia="es-ES"/>
        </w:rPr>
        <w:drawing>
          <wp:inline distT="0" distB="0" distL="0" distR="0" wp14:anchorId="5E2BBC4C" wp14:editId="4388797B">
            <wp:extent cx="5612130" cy="2529205"/>
            <wp:effectExtent l="0" t="0" r="0" b="0"/>
            <wp:docPr id="74" name="Gráfico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7C3146D" w14:textId="139A17A9" w:rsidR="00ED19C0" w:rsidRPr="005B51C2" w:rsidRDefault="00ED19C0" w:rsidP="00CC0DC8">
      <w:pPr>
        <w:spacing w:after="240"/>
        <w:jc w:val="center"/>
        <w:rPr>
          <w:rFonts w:ascii="Century Gothic" w:hAnsi="Century Gothic"/>
          <w:sz w:val="20"/>
          <w:lang w:val="es-ES"/>
        </w:rPr>
      </w:pPr>
      <w:r w:rsidRPr="005B51C2">
        <w:rPr>
          <w:rFonts w:ascii="Century Gothic" w:hAnsi="Century Gothic"/>
          <w:sz w:val="20"/>
          <w:lang w:val="es-ES"/>
        </w:rPr>
        <w:t>Fuente: Secretaria de H</w:t>
      </w:r>
      <w:r w:rsidR="00021072" w:rsidRPr="005B51C2">
        <w:rPr>
          <w:rFonts w:ascii="Century Gothic" w:hAnsi="Century Gothic"/>
          <w:sz w:val="20"/>
          <w:lang w:val="es-ES"/>
        </w:rPr>
        <w:t>acienda</w:t>
      </w:r>
      <w:r w:rsidR="0071426C" w:rsidRPr="005B51C2">
        <w:rPr>
          <w:rFonts w:ascii="Century Gothic" w:hAnsi="Century Gothic"/>
          <w:sz w:val="20"/>
          <w:lang w:val="es-ES"/>
        </w:rPr>
        <w:t xml:space="preserve">, 2018 </w:t>
      </w:r>
    </w:p>
    <w:p w14:paraId="51F3753C" w14:textId="77777777" w:rsidR="00CA5DE9" w:rsidRPr="005B51C2" w:rsidRDefault="00CA5DE9" w:rsidP="00761BF8">
      <w:pPr>
        <w:pStyle w:val="Ttulo4"/>
        <w:spacing w:after="240" w:line="276" w:lineRule="auto"/>
        <w:rPr>
          <w:lang w:val="es-ES"/>
        </w:rPr>
      </w:pPr>
      <w:r w:rsidRPr="005B51C2">
        <w:rPr>
          <w:rStyle w:val="Ttulo4Car"/>
          <w:bCs/>
          <w:i/>
          <w:iCs/>
          <w:lang w:val="es-ES"/>
        </w:rPr>
        <w:t>Sostenibilidad</w:t>
      </w:r>
    </w:p>
    <w:p w14:paraId="199D96D2" w14:textId="77777777" w:rsidR="0071426C" w:rsidRPr="005B51C2" w:rsidRDefault="0071426C" w:rsidP="0071426C">
      <w:pPr>
        <w:spacing w:after="240"/>
        <w:jc w:val="both"/>
        <w:rPr>
          <w:rFonts w:ascii="Century Gothic" w:eastAsia="Century Gothic" w:hAnsi="Century Gothic" w:cs="Century Gothic"/>
          <w:lang w:val="es-ES"/>
        </w:rPr>
      </w:pPr>
      <w:r w:rsidRPr="005B51C2">
        <w:rPr>
          <w:rFonts w:ascii="Century Gothic" w:eastAsia="Century Gothic" w:hAnsi="Century Gothic" w:cs="Century Gothic"/>
          <w:lang w:val="es-ES"/>
        </w:rPr>
        <w:t>El indicador de sostenibilidad mide la capacidad del Municipio para sostener un cierto nivel de endeudamiento, o también, establece la liquidez de la que se dispone y los recursos necesarios, para cumplir con las obligaciones de la deuda y para responder con los compromisos financieros en el corto plazo.</w:t>
      </w:r>
    </w:p>
    <w:p w14:paraId="4DAFC0FE" w14:textId="77777777" w:rsidR="0071426C" w:rsidRPr="005B51C2" w:rsidRDefault="0071426C" w:rsidP="0071426C">
      <w:pPr>
        <w:spacing w:after="240"/>
        <w:jc w:val="both"/>
        <w:rPr>
          <w:rFonts w:ascii="Century Gothic" w:eastAsia="Century Gothic" w:hAnsi="Century Gothic" w:cs="Century Gothic"/>
          <w:lang w:val="es-ES"/>
        </w:rPr>
      </w:pPr>
      <w:r w:rsidRPr="005B51C2">
        <w:rPr>
          <w:rFonts w:ascii="Century Gothic" w:eastAsia="Century Gothic" w:hAnsi="Century Gothic" w:cs="Century Gothic"/>
          <w:lang w:val="es-ES"/>
        </w:rPr>
        <w:t>Se calcula a partir de la fórmula saldo de la deuda/ingresos corrientes. El numerador incluye: “el saldo de capital a 31 de diciembre de la vigencia anterior + desembolsos recibidos a la fecha de cálculo + desembolsos por recibir en el resto de la vigencia, incluidos los del nuevo crédito – amortizaciones a capital efectivamente realizadas a la fecha de cálculo – amortizaciones por realizar en el resto de la vigencia, incluidas las  del nuevo crédito”. Por su parte, el denominador incluye: “los ingresos tributarios + no tributarios + regalías y compensaciones monetarias efectivamente recibidas + transferencias nacionales + participaciones en las rentas de la nación + recursos del balance + rendimientos financieros, efectivamente recibidos en la vigencia fiscal inmediatamente anterior y ajustados por la meta de inflación, establecida por el Banco de la República para la vigencia presente”.</w:t>
      </w:r>
    </w:p>
    <w:p w14:paraId="569581A7" w14:textId="15C76A92" w:rsidR="00761BF8" w:rsidRPr="005B51C2" w:rsidRDefault="0071426C" w:rsidP="0071426C">
      <w:pPr>
        <w:spacing w:after="240"/>
        <w:jc w:val="both"/>
        <w:rPr>
          <w:rFonts w:ascii="Century Gothic" w:hAnsi="Century Gothic"/>
          <w:lang w:val="es-ES"/>
        </w:rPr>
      </w:pPr>
      <w:r w:rsidRPr="005B51C2">
        <w:rPr>
          <w:rFonts w:ascii="Century Gothic" w:eastAsia="Century Gothic" w:hAnsi="Century Gothic" w:cs="Century Gothic"/>
          <w:lang w:val="es-ES"/>
        </w:rPr>
        <w:lastRenderedPageBreak/>
        <w:t xml:space="preserve">El </w:t>
      </w:r>
      <w:r w:rsidR="005B51C2" w:rsidRPr="005B51C2">
        <w:rPr>
          <w:rFonts w:ascii="Century Gothic" w:eastAsia="Century Gothic" w:hAnsi="Century Gothic" w:cs="Century Gothic"/>
          <w:lang w:val="es-ES"/>
        </w:rPr>
        <w:t>m</w:t>
      </w:r>
      <w:r w:rsidRPr="005B51C2">
        <w:rPr>
          <w:rFonts w:ascii="Century Gothic" w:eastAsia="Century Gothic" w:hAnsi="Century Gothic" w:cs="Century Gothic"/>
          <w:lang w:val="es-ES"/>
        </w:rPr>
        <w:t xml:space="preserve">unicipio de Pasto demuestra la sostenibilidad de la deuda, disponiendo de los recursos suficientes para atender el pago de las obligaciones generadas por la contratación de crédito público. El comportamiento histórico del indicador de </w:t>
      </w:r>
      <w:r w:rsidR="005B51C2" w:rsidRPr="005B51C2">
        <w:rPr>
          <w:rFonts w:ascii="Century Gothic" w:eastAsia="Century Gothic" w:hAnsi="Century Gothic" w:cs="Century Gothic"/>
          <w:lang w:val="es-ES"/>
        </w:rPr>
        <w:t>s</w:t>
      </w:r>
      <w:r w:rsidRPr="005B51C2">
        <w:rPr>
          <w:rFonts w:ascii="Century Gothic" w:eastAsia="Century Gothic" w:hAnsi="Century Gothic" w:cs="Century Gothic"/>
          <w:lang w:val="es-ES"/>
        </w:rPr>
        <w:t>ostenibilidad se visualiza a continuación:</w:t>
      </w:r>
    </w:p>
    <w:p w14:paraId="409BCDFE" w14:textId="3DBB4020" w:rsidR="00761BF8" w:rsidRPr="005B51C2" w:rsidRDefault="0071426C" w:rsidP="0071426C">
      <w:pPr>
        <w:pStyle w:val="Epgrafe"/>
        <w:spacing w:after="0" w:line="276" w:lineRule="auto"/>
        <w:jc w:val="center"/>
        <w:rPr>
          <w:rFonts w:ascii="Century Gothic" w:hAnsi="Century Gothic"/>
          <w:b w:val="0"/>
          <w:color w:val="auto"/>
          <w:sz w:val="22"/>
          <w:szCs w:val="22"/>
          <w:lang w:val="es-ES"/>
        </w:rPr>
      </w:pPr>
      <w:bookmarkStart w:id="120" w:name="_Toc532566077"/>
      <w:r w:rsidRPr="005B51C2">
        <w:rPr>
          <w:rFonts w:ascii="Century Gothic" w:hAnsi="Century Gothic"/>
          <w:b w:val="0"/>
          <w:color w:val="auto"/>
          <w:sz w:val="22"/>
          <w:szCs w:val="22"/>
          <w:lang w:val="es-ES"/>
        </w:rPr>
        <w:t xml:space="preserve">Gráfica </w:t>
      </w:r>
      <w:r w:rsidRPr="005B51C2">
        <w:rPr>
          <w:rFonts w:ascii="Century Gothic" w:hAnsi="Century Gothic"/>
          <w:b w:val="0"/>
          <w:color w:val="auto"/>
          <w:sz w:val="22"/>
          <w:szCs w:val="22"/>
          <w:lang w:val="es-ES"/>
        </w:rPr>
        <w:fldChar w:fldCharType="begin"/>
      </w:r>
      <w:r w:rsidRPr="005B51C2">
        <w:rPr>
          <w:rFonts w:ascii="Century Gothic" w:hAnsi="Century Gothic"/>
          <w:b w:val="0"/>
          <w:color w:val="auto"/>
          <w:sz w:val="22"/>
          <w:szCs w:val="22"/>
          <w:lang w:val="es-ES"/>
        </w:rPr>
        <w:instrText xml:space="preserve"> SEQ Gráfica \* ARABIC </w:instrText>
      </w:r>
      <w:r w:rsidRPr="005B51C2">
        <w:rPr>
          <w:rFonts w:ascii="Century Gothic" w:hAnsi="Century Gothic"/>
          <w:b w:val="0"/>
          <w:color w:val="auto"/>
          <w:sz w:val="22"/>
          <w:szCs w:val="22"/>
          <w:lang w:val="es-ES"/>
        </w:rPr>
        <w:fldChar w:fldCharType="separate"/>
      </w:r>
      <w:r w:rsidR="004A2E30" w:rsidRPr="005B51C2">
        <w:rPr>
          <w:rFonts w:ascii="Century Gothic" w:hAnsi="Century Gothic"/>
          <w:b w:val="0"/>
          <w:noProof/>
          <w:color w:val="auto"/>
          <w:sz w:val="22"/>
          <w:szCs w:val="22"/>
          <w:lang w:val="es-ES"/>
        </w:rPr>
        <w:t>23</w:t>
      </w:r>
      <w:r w:rsidRPr="005B51C2">
        <w:rPr>
          <w:rFonts w:ascii="Century Gothic" w:hAnsi="Century Gothic"/>
          <w:b w:val="0"/>
          <w:color w:val="auto"/>
          <w:sz w:val="22"/>
          <w:szCs w:val="22"/>
          <w:lang w:val="es-ES"/>
        </w:rPr>
        <w:fldChar w:fldCharType="end"/>
      </w:r>
      <w:r w:rsidRPr="005B51C2">
        <w:rPr>
          <w:rFonts w:ascii="Century Gothic" w:hAnsi="Century Gothic"/>
          <w:b w:val="0"/>
          <w:color w:val="auto"/>
          <w:sz w:val="22"/>
          <w:szCs w:val="22"/>
          <w:lang w:val="es-ES"/>
        </w:rPr>
        <w:t xml:space="preserve">. </w:t>
      </w:r>
      <w:r w:rsidR="00761BF8" w:rsidRPr="005B51C2">
        <w:rPr>
          <w:rFonts w:ascii="Century Gothic" w:hAnsi="Century Gothic"/>
          <w:b w:val="0"/>
          <w:color w:val="auto"/>
          <w:sz w:val="22"/>
          <w:szCs w:val="22"/>
          <w:lang w:val="es-ES"/>
        </w:rPr>
        <w:t>Indicador de sostenibilidad. 2007 - 201</w:t>
      </w:r>
      <w:r w:rsidRPr="005B51C2">
        <w:rPr>
          <w:rFonts w:ascii="Century Gothic" w:hAnsi="Century Gothic"/>
          <w:b w:val="0"/>
          <w:color w:val="auto"/>
          <w:sz w:val="22"/>
          <w:szCs w:val="22"/>
          <w:lang w:val="es-ES"/>
        </w:rPr>
        <w:t>7</w:t>
      </w:r>
      <w:bookmarkEnd w:id="120"/>
    </w:p>
    <w:p w14:paraId="343A5973" w14:textId="5EE76AAB" w:rsidR="00761BF8" w:rsidRPr="005B51C2" w:rsidRDefault="0071426C" w:rsidP="0071426C">
      <w:pPr>
        <w:spacing w:after="0"/>
        <w:jc w:val="both"/>
        <w:rPr>
          <w:rFonts w:ascii="Century Gothic" w:hAnsi="Century Gothic"/>
          <w:lang w:val="es-ES"/>
        </w:rPr>
      </w:pPr>
      <w:r w:rsidRPr="005B51C2">
        <w:rPr>
          <w:rFonts w:ascii="Century Gothic" w:hAnsi="Century Gothic"/>
          <w:noProof/>
          <w:lang w:val="es-ES" w:eastAsia="es-ES"/>
        </w:rPr>
        <w:drawing>
          <wp:inline distT="0" distB="0" distL="0" distR="0" wp14:anchorId="6EF4149C" wp14:editId="2620A78C">
            <wp:extent cx="5610225" cy="2667000"/>
            <wp:effectExtent l="0" t="0" r="0" b="0"/>
            <wp:docPr id="77" name="Gráfico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D8651E4" w14:textId="329641BF" w:rsidR="00761BF8" w:rsidRPr="005B51C2" w:rsidRDefault="0071426C" w:rsidP="00761BF8">
      <w:pPr>
        <w:jc w:val="center"/>
        <w:rPr>
          <w:rFonts w:ascii="Century Gothic" w:hAnsi="Century Gothic"/>
          <w:lang w:val="es-ES"/>
        </w:rPr>
      </w:pPr>
      <w:r w:rsidRPr="005B51C2">
        <w:rPr>
          <w:rFonts w:ascii="Century Gothic" w:hAnsi="Century Gothic"/>
          <w:lang w:val="es-ES"/>
        </w:rPr>
        <w:t>Fuente: Secretaria de Hacienda, 2018</w:t>
      </w:r>
    </w:p>
    <w:p w14:paraId="5C326902" w14:textId="45037E68" w:rsidR="00A81EC8" w:rsidRPr="005B51C2" w:rsidRDefault="00A81EC8" w:rsidP="0071426C">
      <w:pPr>
        <w:pStyle w:val="Ttulo2"/>
        <w:rPr>
          <w:lang w:val="es-ES"/>
        </w:rPr>
      </w:pPr>
      <w:bookmarkStart w:id="121" w:name="_Toc532565951"/>
      <w:r w:rsidRPr="005B51C2">
        <w:rPr>
          <w:rStyle w:val="Ttulo3Car"/>
          <w:bCs/>
        </w:rPr>
        <w:t>Calificación</w:t>
      </w:r>
      <w:r w:rsidRPr="005B51C2">
        <w:rPr>
          <w:rStyle w:val="Ttulo3Car"/>
          <w:bCs/>
          <w:lang w:val="es-ES"/>
        </w:rPr>
        <w:t xml:space="preserve"> de </w:t>
      </w:r>
      <w:r w:rsidR="0071426C" w:rsidRPr="005B51C2">
        <w:rPr>
          <w:rStyle w:val="Ttulo3Car"/>
          <w:bCs/>
          <w:lang w:val="es-ES"/>
        </w:rPr>
        <w:t>capacidad de pago</w:t>
      </w:r>
      <w:bookmarkEnd w:id="121"/>
    </w:p>
    <w:p w14:paraId="642414D5" w14:textId="6CE0B72E" w:rsidR="0071426C" w:rsidRPr="00AE081B" w:rsidRDefault="0071426C" w:rsidP="0071426C">
      <w:pPr>
        <w:jc w:val="both"/>
        <w:rPr>
          <w:rFonts w:ascii="Century Gothic" w:hAnsi="Century Gothic"/>
          <w:lang w:val="es-ES"/>
        </w:rPr>
      </w:pPr>
      <w:r w:rsidRPr="00AE081B">
        <w:rPr>
          <w:rFonts w:ascii="Century Gothic" w:hAnsi="Century Gothic"/>
          <w:lang w:val="es-ES"/>
        </w:rPr>
        <w:t xml:space="preserve">El proceso de Calificación de Capacidad de Pago del </w:t>
      </w:r>
      <w:r w:rsidR="00AE081B" w:rsidRPr="00AE081B">
        <w:rPr>
          <w:rFonts w:ascii="Century Gothic" w:hAnsi="Century Gothic"/>
          <w:lang w:val="es-ES"/>
        </w:rPr>
        <w:t>m</w:t>
      </w:r>
      <w:r w:rsidRPr="00AE081B">
        <w:rPr>
          <w:rFonts w:ascii="Century Gothic" w:hAnsi="Century Gothic"/>
          <w:lang w:val="es-ES"/>
        </w:rPr>
        <w:t xml:space="preserve">unicipio de Pasto se adelantó en cumplimiento a lo exigido en la Ley 819 de 2003 que en su Artículo 14 refiere: </w:t>
      </w:r>
    </w:p>
    <w:p w14:paraId="5740144F" w14:textId="77777777" w:rsidR="0071426C" w:rsidRPr="00AE081B" w:rsidRDefault="0071426C" w:rsidP="0071426C">
      <w:pPr>
        <w:ind w:left="567" w:right="616"/>
        <w:jc w:val="both"/>
        <w:rPr>
          <w:rFonts w:ascii="Century Gothic" w:hAnsi="Century Gothic"/>
          <w:lang w:val="es-ES"/>
        </w:rPr>
      </w:pPr>
      <w:r w:rsidRPr="00AE081B">
        <w:rPr>
          <w:rFonts w:ascii="Century Gothic" w:hAnsi="Century Gothic"/>
          <w:lang w:val="es-ES"/>
        </w:rPr>
        <w:t>“Artículo 14. Calificación de las entidades territoriales como sujetos de crédito. Sin perjuicio de lo establecido en los artículos anteriores, y de las disposiciones contenidas en las normas de endeudamiento territorial, para la contratación de nuevos créditos por parte de los departamentos, distritos y municipios de categorías especial, 1 y 2 será requisito la presentación de una evaluación elaborada por una calificadora de riesgos, vigilada por la Superintendencia en la que se acredita la capacidad de contraer el nuevo endeudamiento.”</w:t>
      </w:r>
    </w:p>
    <w:p w14:paraId="5057F357" w14:textId="65EDF572" w:rsidR="0071426C" w:rsidRPr="00615661" w:rsidRDefault="0071426C" w:rsidP="0071426C">
      <w:pPr>
        <w:jc w:val="both"/>
        <w:rPr>
          <w:rFonts w:ascii="Century Gothic" w:hAnsi="Century Gothic"/>
          <w:lang w:val="es-ES"/>
        </w:rPr>
      </w:pPr>
      <w:proofErr w:type="spellStart"/>
      <w:r w:rsidRPr="00615661">
        <w:rPr>
          <w:rFonts w:ascii="Century Gothic" w:hAnsi="Century Gothic"/>
          <w:lang w:val="es-ES"/>
        </w:rPr>
        <w:t>Value</w:t>
      </w:r>
      <w:proofErr w:type="spellEnd"/>
      <w:r w:rsidRPr="00615661">
        <w:rPr>
          <w:rFonts w:ascii="Century Gothic" w:hAnsi="Century Gothic"/>
          <w:lang w:val="es-ES"/>
        </w:rPr>
        <w:t xml:space="preserve"> and </w:t>
      </w:r>
      <w:proofErr w:type="spellStart"/>
      <w:r w:rsidRPr="00615661">
        <w:rPr>
          <w:rFonts w:ascii="Century Gothic" w:hAnsi="Century Gothic"/>
          <w:lang w:val="es-ES"/>
        </w:rPr>
        <w:t>Risk</w:t>
      </w:r>
      <w:proofErr w:type="spellEnd"/>
      <w:r w:rsidRPr="00615661">
        <w:rPr>
          <w:rFonts w:ascii="Century Gothic" w:hAnsi="Century Gothic"/>
          <w:lang w:val="es-ES"/>
        </w:rPr>
        <w:t xml:space="preserve"> Rating S.A., Sociedad Calificadora de Valores, emitió la Calificación de Capacidad de Pago y documento </w:t>
      </w:r>
      <w:r w:rsidR="00AE081B" w:rsidRPr="00615661">
        <w:rPr>
          <w:rFonts w:ascii="Century Gothic" w:hAnsi="Century Gothic"/>
          <w:lang w:val="es-ES"/>
        </w:rPr>
        <w:t>t</w:t>
      </w:r>
      <w:r w:rsidRPr="00615661">
        <w:rPr>
          <w:rFonts w:ascii="Century Gothic" w:hAnsi="Century Gothic"/>
          <w:lang w:val="es-ES"/>
        </w:rPr>
        <w:t xml:space="preserve">écnico, el cual fue confirmado para su publicación ante la Superintendencia de Sociedades </w:t>
      </w:r>
      <w:r w:rsidR="00615661">
        <w:rPr>
          <w:rFonts w:ascii="Century Gothic" w:hAnsi="Century Gothic"/>
          <w:lang w:val="es-ES"/>
        </w:rPr>
        <w:t xml:space="preserve">el </w:t>
      </w:r>
      <w:r w:rsidRPr="00615661">
        <w:rPr>
          <w:rFonts w:ascii="Century Gothic" w:hAnsi="Century Gothic"/>
          <w:lang w:val="es-ES"/>
        </w:rPr>
        <w:t xml:space="preserve">25 de agosto de 2017 </w:t>
      </w:r>
      <w:r w:rsidR="00615661" w:rsidRPr="00615661">
        <w:rPr>
          <w:rFonts w:ascii="Century Gothic" w:hAnsi="Century Gothic"/>
          <w:lang w:val="es-ES"/>
        </w:rPr>
        <w:t xml:space="preserve">y </w:t>
      </w:r>
      <w:r w:rsidRPr="00615661">
        <w:rPr>
          <w:rFonts w:ascii="Century Gothic" w:hAnsi="Century Gothic"/>
          <w:lang w:val="es-ES"/>
        </w:rPr>
        <w:t>renovada e</w:t>
      </w:r>
      <w:r w:rsidR="00615661" w:rsidRPr="00615661">
        <w:rPr>
          <w:rFonts w:ascii="Century Gothic" w:hAnsi="Century Gothic"/>
          <w:lang w:val="es-ES"/>
        </w:rPr>
        <w:t xml:space="preserve">l </w:t>
      </w:r>
      <w:r w:rsidRPr="00615661">
        <w:rPr>
          <w:rFonts w:ascii="Century Gothic" w:hAnsi="Century Gothic"/>
          <w:lang w:val="es-ES"/>
        </w:rPr>
        <w:t>24 de agosto de 2018.</w:t>
      </w:r>
    </w:p>
    <w:p w14:paraId="07EA1EB5" w14:textId="7BC12A8E" w:rsidR="00A81EC8" w:rsidRPr="00615661" w:rsidRDefault="00615661" w:rsidP="0071426C">
      <w:pPr>
        <w:jc w:val="both"/>
        <w:rPr>
          <w:rFonts w:ascii="Century Gothic" w:hAnsi="Century Gothic"/>
          <w:lang w:val="es-ES"/>
        </w:rPr>
      </w:pPr>
      <w:r w:rsidRPr="00615661">
        <w:rPr>
          <w:rFonts w:ascii="Century Gothic" w:hAnsi="Century Gothic"/>
          <w:lang w:val="es-ES"/>
        </w:rPr>
        <w:lastRenderedPageBreak/>
        <w:t>C</w:t>
      </w:r>
      <w:r w:rsidR="0071426C" w:rsidRPr="00615661">
        <w:rPr>
          <w:rFonts w:ascii="Century Gothic" w:hAnsi="Century Gothic"/>
          <w:lang w:val="es-ES"/>
        </w:rPr>
        <w:t xml:space="preserve">omo resultado del proceso de </w:t>
      </w:r>
      <w:r w:rsidRPr="00615661">
        <w:rPr>
          <w:rFonts w:ascii="Century Gothic" w:hAnsi="Century Gothic"/>
          <w:lang w:val="es-ES"/>
        </w:rPr>
        <w:t>c</w:t>
      </w:r>
      <w:r w:rsidR="0071426C" w:rsidRPr="00615661">
        <w:rPr>
          <w:rFonts w:ascii="Century Gothic" w:hAnsi="Century Gothic"/>
          <w:lang w:val="es-ES"/>
        </w:rPr>
        <w:t xml:space="preserve">alificación por parte de la Sociedad Calificadora de Valores </w:t>
      </w:r>
      <w:proofErr w:type="spellStart"/>
      <w:r w:rsidR="0071426C" w:rsidRPr="00615661">
        <w:rPr>
          <w:rFonts w:ascii="Century Gothic" w:hAnsi="Century Gothic"/>
          <w:lang w:val="es-ES"/>
        </w:rPr>
        <w:t>Value</w:t>
      </w:r>
      <w:proofErr w:type="spellEnd"/>
      <w:r w:rsidR="0071426C" w:rsidRPr="00615661">
        <w:rPr>
          <w:rFonts w:ascii="Century Gothic" w:hAnsi="Century Gothic"/>
          <w:lang w:val="es-ES"/>
        </w:rPr>
        <w:t xml:space="preserve"> &amp; </w:t>
      </w:r>
      <w:proofErr w:type="spellStart"/>
      <w:r w:rsidR="0071426C" w:rsidRPr="00615661">
        <w:rPr>
          <w:rFonts w:ascii="Century Gothic" w:hAnsi="Century Gothic"/>
          <w:lang w:val="es-ES"/>
        </w:rPr>
        <w:t>Risk</w:t>
      </w:r>
      <w:proofErr w:type="spellEnd"/>
      <w:r w:rsidR="0071426C" w:rsidRPr="00615661">
        <w:rPr>
          <w:rFonts w:ascii="Century Gothic" w:hAnsi="Century Gothic"/>
          <w:lang w:val="es-ES"/>
        </w:rPr>
        <w:t xml:space="preserve"> Rating S.A., </w:t>
      </w:r>
      <w:r w:rsidRPr="00615661">
        <w:rPr>
          <w:rFonts w:ascii="Century Gothic" w:hAnsi="Century Gothic"/>
          <w:lang w:val="es-ES"/>
        </w:rPr>
        <w:t xml:space="preserve">el Municipio </w:t>
      </w:r>
      <w:r w:rsidR="0071426C" w:rsidRPr="00615661">
        <w:rPr>
          <w:rFonts w:ascii="Century Gothic" w:hAnsi="Century Gothic"/>
          <w:lang w:val="es-ES"/>
        </w:rPr>
        <w:t xml:space="preserve">mantuvo la </w:t>
      </w:r>
      <w:r w:rsidR="0016186A" w:rsidRPr="00615661">
        <w:rPr>
          <w:rFonts w:ascii="Century Gothic" w:hAnsi="Century Gothic"/>
          <w:lang w:val="es-ES"/>
        </w:rPr>
        <w:t xml:space="preserve">calificación </w:t>
      </w:r>
      <w:r w:rsidR="0071426C" w:rsidRPr="00615661">
        <w:rPr>
          <w:rFonts w:ascii="Century Gothic" w:hAnsi="Century Gothic"/>
          <w:lang w:val="es-ES"/>
        </w:rPr>
        <w:t xml:space="preserve">de </w:t>
      </w:r>
      <w:r w:rsidR="0016186A" w:rsidRPr="00615661">
        <w:rPr>
          <w:rFonts w:ascii="Century Gothic" w:hAnsi="Century Gothic"/>
          <w:lang w:val="es-ES"/>
        </w:rPr>
        <w:t xml:space="preserve">capacidad de pago </w:t>
      </w:r>
      <w:r w:rsidR="0071426C" w:rsidRPr="00615661">
        <w:rPr>
          <w:rFonts w:ascii="Century Gothic" w:hAnsi="Century Gothic"/>
          <w:lang w:val="es-ES"/>
        </w:rPr>
        <w:t xml:space="preserve">en A (A Sencilla) en </w:t>
      </w:r>
      <w:r w:rsidR="0016186A" w:rsidRPr="00615661">
        <w:rPr>
          <w:rFonts w:ascii="Century Gothic" w:hAnsi="Century Gothic"/>
          <w:lang w:val="es-ES"/>
        </w:rPr>
        <w:t>capacidad de pago de largo plazo</w:t>
      </w:r>
      <w:r w:rsidR="0071426C" w:rsidRPr="00615661">
        <w:rPr>
          <w:rFonts w:ascii="Century Gothic" w:hAnsi="Century Gothic"/>
          <w:lang w:val="es-ES"/>
        </w:rPr>
        <w:t xml:space="preserve"> y mantuvo en </w:t>
      </w:r>
      <w:proofErr w:type="spellStart"/>
      <w:r w:rsidR="0071426C" w:rsidRPr="00615661">
        <w:rPr>
          <w:rFonts w:ascii="Century Gothic" w:hAnsi="Century Gothic"/>
          <w:lang w:val="es-ES"/>
        </w:rPr>
        <w:t>VrR</w:t>
      </w:r>
      <w:proofErr w:type="spellEnd"/>
      <w:r w:rsidR="0071426C" w:rsidRPr="00615661">
        <w:rPr>
          <w:rFonts w:ascii="Century Gothic" w:hAnsi="Century Gothic"/>
          <w:lang w:val="es-ES"/>
        </w:rPr>
        <w:t xml:space="preserve"> 2 (Dos) en </w:t>
      </w:r>
      <w:r w:rsidRPr="00615661">
        <w:rPr>
          <w:rFonts w:ascii="Century Gothic" w:hAnsi="Century Gothic"/>
          <w:lang w:val="es-ES"/>
        </w:rPr>
        <w:t>capacidad de pago de corto plazo</w:t>
      </w:r>
      <w:r w:rsidR="0071426C" w:rsidRPr="00615661">
        <w:rPr>
          <w:rFonts w:ascii="Century Gothic" w:hAnsi="Century Gothic"/>
          <w:lang w:val="es-ES"/>
        </w:rPr>
        <w:t>.</w:t>
      </w:r>
    </w:p>
    <w:p w14:paraId="3BA8C5BE" w14:textId="7A3D37DE" w:rsidR="00033945" w:rsidRPr="00615661" w:rsidRDefault="00033945" w:rsidP="00802CDB">
      <w:pPr>
        <w:pStyle w:val="Ttulo1"/>
        <w:rPr>
          <w:lang w:val="es-ES"/>
        </w:rPr>
      </w:pPr>
      <w:bookmarkStart w:id="122" w:name="_Toc532565952"/>
      <w:r w:rsidRPr="00615661">
        <w:rPr>
          <w:lang w:val="es-ES"/>
        </w:rPr>
        <w:t xml:space="preserve">Perfil de la </w:t>
      </w:r>
      <w:r w:rsidR="00355336" w:rsidRPr="00615661">
        <w:rPr>
          <w:lang w:val="es-ES"/>
        </w:rPr>
        <w:t xml:space="preserve">deuda </w:t>
      </w:r>
      <w:r w:rsidRPr="00615661">
        <w:rPr>
          <w:lang w:val="es-ES"/>
        </w:rPr>
        <w:t>pretendida 201</w:t>
      </w:r>
      <w:r w:rsidR="00802CDB" w:rsidRPr="00615661">
        <w:rPr>
          <w:lang w:val="es-ES"/>
        </w:rPr>
        <w:t>8</w:t>
      </w:r>
      <w:r w:rsidR="00615661">
        <w:rPr>
          <w:lang w:val="es-ES"/>
        </w:rPr>
        <w:t xml:space="preserve"> – </w:t>
      </w:r>
      <w:r w:rsidRPr="00615661">
        <w:rPr>
          <w:lang w:val="es-ES"/>
        </w:rPr>
        <w:t>2019</w:t>
      </w:r>
      <w:bookmarkEnd w:id="122"/>
    </w:p>
    <w:p w14:paraId="46B86D04" w14:textId="5724F46D" w:rsidR="00802CDB" w:rsidRPr="00134A51" w:rsidRDefault="00134A51" w:rsidP="00802CDB">
      <w:pPr>
        <w:jc w:val="both"/>
        <w:rPr>
          <w:rFonts w:ascii="Century Gothic" w:hAnsi="Century Gothic"/>
        </w:rPr>
      </w:pPr>
      <w:r w:rsidRPr="00134A51">
        <w:rPr>
          <w:rFonts w:ascii="Century Gothic" w:hAnsi="Century Gothic"/>
        </w:rPr>
        <w:t>C</w:t>
      </w:r>
      <w:r w:rsidR="00802CDB" w:rsidRPr="00134A51">
        <w:rPr>
          <w:rFonts w:ascii="Century Gothic" w:hAnsi="Century Gothic"/>
        </w:rPr>
        <w:t xml:space="preserve">omo resultado de un manejo responsable del endeudamiento, ante la revisión y calificación de la capacidad de pago en condiciones de solvencia y sostenibilidad, </w:t>
      </w:r>
      <w:r w:rsidRPr="00134A51">
        <w:rPr>
          <w:rFonts w:ascii="Century Gothic" w:hAnsi="Century Gothic"/>
        </w:rPr>
        <w:t xml:space="preserve">el Municipio </w:t>
      </w:r>
      <w:r w:rsidR="00802CDB" w:rsidRPr="00134A51">
        <w:rPr>
          <w:rFonts w:ascii="Century Gothic" w:hAnsi="Century Gothic"/>
        </w:rPr>
        <w:t>contempl</w:t>
      </w:r>
      <w:r w:rsidRPr="00134A51">
        <w:rPr>
          <w:rFonts w:ascii="Century Gothic" w:hAnsi="Century Gothic"/>
        </w:rPr>
        <w:t>ó</w:t>
      </w:r>
      <w:r w:rsidR="00802CDB" w:rsidRPr="00134A51">
        <w:rPr>
          <w:rFonts w:ascii="Century Gothic" w:hAnsi="Century Gothic"/>
        </w:rPr>
        <w:t xml:space="preserve"> la financiación de </w:t>
      </w:r>
      <w:r w:rsidRPr="00134A51">
        <w:rPr>
          <w:rFonts w:ascii="Century Gothic" w:hAnsi="Century Gothic"/>
        </w:rPr>
        <w:t>p</w:t>
      </w:r>
      <w:r w:rsidR="00802CDB" w:rsidRPr="00134A51">
        <w:rPr>
          <w:rFonts w:ascii="Century Gothic" w:hAnsi="Century Gothic"/>
        </w:rPr>
        <w:t xml:space="preserve">royectos estratégicos y de impacto </w:t>
      </w:r>
      <w:r w:rsidRPr="00134A51">
        <w:rPr>
          <w:rFonts w:ascii="Century Gothic" w:hAnsi="Century Gothic"/>
        </w:rPr>
        <w:t>para</w:t>
      </w:r>
      <w:r w:rsidR="00802CDB" w:rsidRPr="00134A51">
        <w:rPr>
          <w:rFonts w:ascii="Century Gothic" w:hAnsi="Century Gothic"/>
        </w:rPr>
        <w:t xml:space="preserve"> ejecutarse en las vigencias 2018 y 2019, haciendo uso de la fuente crédito, complementaria a las demás fuentes consideradas para su financiación.</w:t>
      </w:r>
    </w:p>
    <w:p w14:paraId="2C3B0ADF" w14:textId="0B2C7FBD" w:rsidR="00802CDB" w:rsidRPr="00134A51" w:rsidRDefault="00802CDB" w:rsidP="00802CDB">
      <w:pPr>
        <w:tabs>
          <w:tab w:val="left" w:pos="810"/>
        </w:tabs>
        <w:jc w:val="both"/>
        <w:rPr>
          <w:rFonts w:ascii="Century Gothic" w:hAnsi="Century Gothic"/>
          <w:lang w:val="es-ES"/>
        </w:rPr>
      </w:pPr>
      <w:r w:rsidRPr="00134A51">
        <w:rPr>
          <w:rFonts w:ascii="Century Gothic" w:hAnsi="Century Gothic"/>
        </w:rPr>
        <w:t xml:space="preserve">La programación de ejecución de recursos de crédito, prevé endeudamiento con un perfil de la deuda, en condiciones de </w:t>
      </w:r>
      <w:r w:rsidRPr="00134A51">
        <w:rPr>
          <w:rFonts w:ascii="Century Gothic" w:hAnsi="Century Gothic"/>
          <w:lang w:val="es-ES"/>
        </w:rPr>
        <w:t>favorabilidad económica y de conveniencia</w:t>
      </w:r>
      <w:r w:rsidRPr="00134A51">
        <w:rPr>
          <w:rFonts w:ascii="Century Gothic" w:hAnsi="Century Gothic"/>
        </w:rPr>
        <w:t xml:space="preserve"> la cual se atiende en la</w:t>
      </w:r>
      <w:r w:rsidRPr="00134A51">
        <w:rPr>
          <w:rFonts w:ascii="Century Gothic" w:hAnsi="Century Gothic"/>
          <w:lang w:val="es-ES"/>
        </w:rPr>
        <w:t xml:space="preserve"> contratación</w:t>
      </w:r>
      <w:r w:rsidR="00134A51">
        <w:rPr>
          <w:rFonts w:ascii="Century Gothic" w:hAnsi="Century Gothic"/>
          <w:lang w:val="es-ES"/>
        </w:rPr>
        <w:t>,</w:t>
      </w:r>
      <w:r w:rsidRPr="00134A51">
        <w:rPr>
          <w:rFonts w:ascii="Century Gothic" w:hAnsi="Century Gothic"/>
          <w:lang w:val="es-ES"/>
        </w:rPr>
        <w:t xml:space="preserve"> de conformidad con la evaluación realizada por la Administración Municipal.</w:t>
      </w:r>
    </w:p>
    <w:p w14:paraId="701CCD5F" w14:textId="77777777" w:rsidR="00802CDB" w:rsidRPr="00134A51" w:rsidRDefault="00802CDB" w:rsidP="00802CDB">
      <w:pPr>
        <w:numPr>
          <w:ilvl w:val="0"/>
          <w:numId w:val="45"/>
        </w:numPr>
        <w:tabs>
          <w:tab w:val="left" w:pos="810"/>
        </w:tabs>
        <w:ind w:left="714" w:hanging="357"/>
        <w:jc w:val="both"/>
        <w:rPr>
          <w:rFonts w:ascii="Century Gothic" w:hAnsi="Century Gothic"/>
          <w:lang w:val="es-ES"/>
        </w:rPr>
      </w:pPr>
      <w:r w:rsidRPr="00134A51">
        <w:rPr>
          <w:rFonts w:ascii="Century Gothic" w:hAnsi="Century Gothic"/>
          <w:lang w:val="es-ES"/>
        </w:rPr>
        <w:t>Condiciones financieras y aseguramiento de la tasa de interés.</w:t>
      </w:r>
    </w:p>
    <w:p w14:paraId="1BFFB6D7" w14:textId="77777777" w:rsidR="00802CDB" w:rsidRPr="00134A51" w:rsidRDefault="00802CDB" w:rsidP="00802CDB">
      <w:pPr>
        <w:numPr>
          <w:ilvl w:val="0"/>
          <w:numId w:val="45"/>
        </w:numPr>
        <w:tabs>
          <w:tab w:val="left" w:pos="810"/>
        </w:tabs>
        <w:ind w:left="714" w:hanging="357"/>
        <w:jc w:val="both"/>
        <w:rPr>
          <w:rFonts w:ascii="Century Gothic" w:hAnsi="Century Gothic"/>
          <w:lang w:val="es-ES"/>
        </w:rPr>
      </w:pPr>
      <w:r w:rsidRPr="00134A51">
        <w:rPr>
          <w:rFonts w:ascii="Century Gothic" w:hAnsi="Century Gothic"/>
          <w:lang w:val="es-ES"/>
        </w:rPr>
        <w:t xml:space="preserve">Descripción de las condiciones especiales ofertadas. </w:t>
      </w:r>
    </w:p>
    <w:p w14:paraId="3C161D37" w14:textId="77777777" w:rsidR="00802CDB" w:rsidRPr="00134A51" w:rsidRDefault="00802CDB" w:rsidP="00802CDB">
      <w:pPr>
        <w:numPr>
          <w:ilvl w:val="0"/>
          <w:numId w:val="45"/>
        </w:numPr>
        <w:tabs>
          <w:tab w:val="left" w:pos="810"/>
        </w:tabs>
        <w:ind w:left="714" w:hanging="357"/>
        <w:jc w:val="both"/>
        <w:rPr>
          <w:rFonts w:ascii="Century Gothic" w:hAnsi="Century Gothic"/>
          <w:lang w:val="es-ES"/>
        </w:rPr>
      </w:pPr>
      <w:r w:rsidRPr="00134A51">
        <w:rPr>
          <w:rFonts w:ascii="Century Gothic" w:hAnsi="Century Gothic"/>
          <w:lang w:val="es-ES"/>
        </w:rPr>
        <w:t>Calificación de la Entidad Bancaria.</w:t>
      </w:r>
    </w:p>
    <w:p w14:paraId="376B88EB" w14:textId="77777777" w:rsidR="00802CDB" w:rsidRPr="00134A51" w:rsidRDefault="00802CDB" w:rsidP="00802CDB">
      <w:pPr>
        <w:numPr>
          <w:ilvl w:val="0"/>
          <w:numId w:val="45"/>
        </w:numPr>
        <w:tabs>
          <w:tab w:val="left" w:pos="810"/>
        </w:tabs>
        <w:ind w:left="714" w:hanging="357"/>
        <w:jc w:val="both"/>
        <w:rPr>
          <w:rFonts w:ascii="Century Gothic" w:hAnsi="Century Gothic"/>
          <w:lang w:val="es-ES"/>
        </w:rPr>
      </w:pPr>
      <w:r w:rsidRPr="00134A51">
        <w:rPr>
          <w:rFonts w:ascii="Century Gothic" w:hAnsi="Century Gothic"/>
          <w:lang w:val="es-ES"/>
        </w:rPr>
        <w:t>Mediar por parte de la Entidad Bancaria la garantía del cupo de crédito autorizado.</w:t>
      </w:r>
    </w:p>
    <w:p w14:paraId="6798439D" w14:textId="36084795" w:rsidR="00033945" w:rsidRPr="00134A51" w:rsidRDefault="00802CDB" w:rsidP="00802CDB">
      <w:pPr>
        <w:tabs>
          <w:tab w:val="left" w:pos="810"/>
        </w:tabs>
        <w:jc w:val="both"/>
        <w:rPr>
          <w:rFonts w:ascii="Century Gothic" w:hAnsi="Century Gothic"/>
          <w:lang w:val="es-ES"/>
        </w:rPr>
      </w:pPr>
      <w:r w:rsidRPr="00134A51">
        <w:rPr>
          <w:rFonts w:ascii="Century Gothic" w:hAnsi="Century Gothic"/>
        </w:rPr>
        <w:t>La programación de</w:t>
      </w:r>
      <w:r w:rsidR="00134A51" w:rsidRPr="00134A51">
        <w:rPr>
          <w:rFonts w:ascii="Century Gothic" w:hAnsi="Century Gothic"/>
        </w:rPr>
        <w:t>l</w:t>
      </w:r>
      <w:r w:rsidRPr="00134A51">
        <w:rPr>
          <w:rFonts w:ascii="Century Gothic" w:hAnsi="Century Gothic"/>
        </w:rPr>
        <w:t xml:space="preserve"> nuevo endeudamiento y su destinación para la vigencia 2019</w:t>
      </w:r>
      <w:r w:rsidR="0016186A" w:rsidRPr="00134A51">
        <w:rPr>
          <w:rFonts w:ascii="Century Gothic" w:hAnsi="Century Gothic"/>
        </w:rPr>
        <w:t>,</w:t>
      </w:r>
      <w:r w:rsidRPr="00134A51">
        <w:rPr>
          <w:rFonts w:ascii="Century Gothic" w:hAnsi="Century Gothic"/>
        </w:rPr>
        <w:t xml:space="preserve"> </w:t>
      </w:r>
      <w:r w:rsidR="00134A51" w:rsidRPr="00134A51">
        <w:rPr>
          <w:rFonts w:ascii="Century Gothic" w:hAnsi="Century Gothic"/>
        </w:rPr>
        <w:t>asciende</w:t>
      </w:r>
      <w:r w:rsidRPr="00134A51">
        <w:rPr>
          <w:rFonts w:ascii="Century Gothic" w:hAnsi="Century Gothic"/>
        </w:rPr>
        <w:t xml:space="preserve"> a </w:t>
      </w:r>
      <w:r w:rsidR="00085216" w:rsidRPr="00134A51">
        <w:rPr>
          <w:rFonts w:ascii="Century Gothic" w:hAnsi="Century Gothic"/>
        </w:rPr>
        <w:t xml:space="preserve">$32.217millones </w:t>
      </w:r>
      <w:r w:rsidRPr="00134A51">
        <w:rPr>
          <w:rFonts w:ascii="Century Gothic" w:hAnsi="Century Gothic"/>
        </w:rPr>
        <w:t>para financiar proyectos de inversión así:</w:t>
      </w:r>
    </w:p>
    <w:p w14:paraId="5766C37D" w14:textId="2ED5DC68" w:rsidR="0005129F" w:rsidRPr="00134A51" w:rsidRDefault="0005129F" w:rsidP="00802CDB">
      <w:pPr>
        <w:pStyle w:val="Epgrafe"/>
        <w:spacing w:after="0"/>
        <w:jc w:val="center"/>
        <w:rPr>
          <w:rFonts w:ascii="Century Gothic" w:hAnsi="Century Gothic"/>
          <w:b w:val="0"/>
          <w:color w:val="auto"/>
          <w:sz w:val="22"/>
          <w:szCs w:val="22"/>
          <w:lang w:val="es-ES"/>
        </w:rPr>
      </w:pPr>
      <w:bookmarkStart w:id="123" w:name="_Toc532570551"/>
      <w:r w:rsidRPr="00134A51">
        <w:rPr>
          <w:rFonts w:ascii="Century Gothic" w:hAnsi="Century Gothic"/>
          <w:b w:val="0"/>
          <w:color w:val="auto"/>
          <w:sz w:val="22"/>
          <w:szCs w:val="22"/>
          <w:lang w:val="es-ES"/>
        </w:rPr>
        <w:t xml:space="preserve">Tabla </w:t>
      </w:r>
      <w:r w:rsidRPr="00134A51">
        <w:rPr>
          <w:rFonts w:ascii="Century Gothic" w:hAnsi="Century Gothic"/>
          <w:b w:val="0"/>
          <w:color w:val="auto"/>
          <w:sz w:val="22"/>
          <w:szCs w:val="22"/>
          <w:lang w:val="es-ES"/>
        </w:rPr>
        <w:fldChar w:fldCharType="begin"/>
      </w:r>
      <w:r w:rsidRPr="00134A51">
        <w:rPr>
          <w:rFonts w:ascii="Century Gothic" w:hAnsi="Century Gothic"/>
          <w:b w:val="0"/>
          <w:color w:val="auto"/>
          <w:sz w:val="22"/>
          <w:szCs w:val="22"/>
          <w:lang w:val="es-ES"/>
        </w:rPr>
        <w:instrText xml:space="preserve"> SEQ Tabla \* ARABIC </w:instrText>
      </w:r>
      <w:r w:rsidRPr="00134A51">
        <w:rPr>
          <w:rFonts w:ascii="Century Gothic" w:hAnsi="Century Gothic"/>
          <w:b w:val="0"/>
          <w:color w:val="auto"/>
          <w:sz w:val="22"/>
          <w:szCs w:val="22"/>
          <w:lang w:val="es-ES"/>
        </w:rPr>
        <w:fldChar w:fldCharType="separate"/>
      </w:r>
      <w:r w:rsidR="00934BA3" w:rsidRPr="00134A51">
        <w:rPr>
          <w:rFonts w:ascii="Century Gothic" w:hAnsi="Century Gothic"/>
          <w:b w:val="0"/>
          <w:noProof/>
          <w:color w:val="auto"/>
          <w:sz w:val="22"/>
          <w:szCs w:val="22"/>
          <w:lang w:val="es-ES"/>
        </w:rPr>
        <w:t>60</w:t>
      </w:r>
      <w:r w:rsidRPr="00134A51">
        <w:rPr>
          <w:rFonts w:ascii="Century Gothic" w:hAnsi="Century Gothic"/>
          <w:b w:val="0"/>
          <w:color w:val="auto"/>
          <w:sz w:val="22"/>
          <w:szCs w:val="22"/>
          <w:lang w:val="es-ES"/>
        </w:rPr>
        <w:fldChar w:fldCharType="end"/>
      </w:r>
      <w:r w:rsidRPr="00134A51">
        <w:rPr>
          <w:rFonts w:ascii="Century Gothic" w:hAnsi="Century Gothic"/>
          <w:b w:val="0"/>
          <w:color w:val="auto"/>
          <w:sz w:val="22"/>
          <w:szCs w:val="22"/>
          <w:lang w:val="es-ES"/>
        </w:rPr>
        <w:t>. Valor y perfil deuda pretendida 201</w:t>
      </w:r>
      <w:r w:rsidR="00802CDB" w:rsidRPr="00134A51">
        <w:rPr>
          <w:rFonts w:ascii="Century Gothic" w:hAnsi="Century Gothic"/>
          <w:b w:val="0"/>
          <w:color w:val="auto"/>
          <w:sz w:val="22"/>
          <w:szCs w:val="22"/>
          <w:lang w:val="es-ES"/>
        </w:rPr>
        <w:t>8</w:t>
      </w:r>
      <w:r w:rsidRPr="00134A51">
        <w:rPr>
          <w:rFonts w:ascii="Century Gothic" w:hAnsi="Century Gothic"/>
          <w:b w:val="0"/>
          <w:color w:val="auto"/>
          <w:sz w:val="22"/>
          <w:szCs w:val="22"/>
          <w:lang w:val="es-ES"/>
        </w:rPr>
        <w:t xml:space="preserve"> – 2019 (mil</w:t>
      </w:r>
      <w:r w:rsidR="00085216" w:rsidRPr="00134A51">
        <w:rPr>
          <w:rFonts w:ascii="Century Gothic" w:hAnsi="Century Gothic"/>
          <w:b w:val="0"/>
          <w:color w:val="auto"/>
          <w:sz w:val="22"/>
          <w:szCs w:val="22"/>
          <w:lang w:val="es-ES"/>
        </w:rPr>
        <w:t>lon</w:t>
      </w:r>
      <w:r w:rsidRPr="00134A51">
        <w:rPr>
          <w:rFonts w:ascii="Century Gothic" w:hAnsi="Century Gothic"/>
          <w:b w:val="0"/>
          <w:color w:val="auto"/>
          <w:sz w:val="22"/>
          <w:szCs w:val="22"/>
          <w:lang w:val="es-ES"/>
        </w:rPr>
        <w:t>es</w:t>
      </w:r>
      <w:r w:rsidR="00802CDB" w:rsidRPr="00134A51">
        <w:rPr>
          <w:rFonts w:ascii="Century Gothic" w:hAnsi="Century Gothic"/>
          <w:b w:val="0"/>
          <w:color w:val="auto"/>
          <w:sz w:val="22"/>
          <w:szCs w:val="22"/>
          <w:lang w:val="es-ES"/>
        </w:rPr>
        <w:t xml:space="preserve"> de pesos</w:t>
      </w:r>
      <w:r w:rsidRPr="00134A51">
        <w:rPr>
          <w:rFonts w:ascii="Century Gothic" w:hAnsi="Century Gothic"/>
          <w:b w:val="0"/>
          <w:color w:val="auto"/>
          <w:sz w:val="22"/>
          <w:szCs w:val="22"/>
          <w:lang w:val="es-ES"/>
        </w:rPr>
        <w:t>)</w:t>
      </w:r>
      <w:bookmarkEnd w:id="123"/>
    </w:p>
    <w:tbl>
      <w:tblPr>
        <w:tblStyle w:val="Tablaconcuadrcula4-nfasis11"/>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385"/>
        <w:gridCol w:w="6453"/>
      </w:tblGrid>
      <w:tr w:rsidR="00085216" w:rsidRPr="00134A51" w14:paraId="2D38D519" w14:textId="77777777" w:rsidTr="00095918">
        <w:trPr>
          <w:cnfStyle w:val="100000000000" w:firstRow="1" w:lastRow="0" w:firstColumn="0" w:lastColumn="0" w:oddVBand="0" w:evenVBand="0" w:oddHBand="0" w:evenHBand="0" w:firstRowFirstColumn="0" w:firstRowLastColumn="0" w:lastRowFirstColumn="0" w:lastRowLastColumn="0"/>
          <w:trHeight w:val="464"/>
          <w:tblHeader/>
        </w:trPr>
        <w:tc>
          <w:tcPr>
            <w:cnfStyle w:val="001000000000" w:firstRow="0" w:lastRow="0" w:firstColumn="1" w:lastColumn="0" w:oddVBand="0" w:evenVBand="0" w:oddHBand="0" w:evenHBand="0" w:firstRowFirstColumn="0" w:firstRowLastColumn="0" w:lastRowFirstColumn="0" w:lastRowLastColumn="0"/>
            <w:tcW w:w="1021" w:type="dxa"/>
            <w:tcBorders>
              <w:top w:val="none" w:sz="0" w:space="0" w:color="auto"/>
              <w:left w:val="none" w:sz="0" w:space="0" w:color="auto"/>
              <w:bottom w:val="none" w:sz="0" w:space="0" w:color="auto"/>
              <w:right w:val="none" w:sz="0" w:space="0" w:color="auto"/>
            </w:tcBorders>
            <w:shd w:val="clear" w:color="auto" w:fill="C2D69B" w:themeFill="accent3" w:themeFillTint="99"/>
            <w:vAlign w:val="center"/>
            <w:hideMark/>
          </w:tcPr>
          <w:p w14:paraId="40E32E2C" w14:textId="77777777" w:rsidR="00085216" w:rsidRPr="00134A51" w:rsidRDefault="00085216" w:rsidP="00095918">
            <w:pPr>
              <w:jc w:val="center"/>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Vigencia</w:t>
            </w:r>
          </w:p>
        </w:tc>
        <w:tc>
          <w:tcPr>
            <w:tcW w:w="1385" w:type="dxa"/>
            <w:tcBorders>
              <w:top w:val="none" w:sz="0" w:space="0" w:color="auto"/>
              <w:left w:val="none" w:sz="0" w:space="0" w:color="auto"/>
              <w:bottom w:val="none" w:sz="0" w:space="0" w:color="auto"/>
              <w:right w:val="none" w:sz="0" w:space="0" w:color="auto"/>
            </w:tcBorders>
            <w:shd w:val="clear" w:color="auto" w:fill="C2D69B" w:themeFill="accent3" w:themeFillTint="99"/>
            <w:vAlign w:val="center"/>
            <w:hideMark/>
          </w:tcPr>
          <w:p w14:paraId="666F19BC" w14:textId="77777777" w:rsidR="00085216" w:rsidRPr="00134A51" w:rsidRDefault="00085216" w:rsidP="0009591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Monto</w:t>
            </w:r>
          </w:p>
        </w:tc>
        <w:tc>
          <w:tcPr>
            <w:tcW w:w="6525" w:type="dxa"/>
            <w:tcBorders>
              <w:top w:val="none" w:sz="0" w:space="0" w:color="auto"/>
              <w:left w:val="none" w:sz="0" w:space="0" w:color="auto"/>
              <w:bottom w:val="none" w:sz="0" w:space="0" w:color="auto"/>
              <w:right w:val="none" w:sz="0" w:space="0" w:color="auto"/>
            </w:tcBorders>
            <w:shd w:val="clear" w:color="auto" w:fill="C2D69B" w:themeFill="accent3" w:themeFillTint="99"/>
            <w:vAlign w:val="center"/>
            <w:hideMark/>
          </w:tcPr>
          <w:p w14:paraId="4F3B33A3" w14:textId="77777777" w:rsidR="00085216" w:rsidRPr="00134A51" w:rsidRDefault="00085216" w:rsidP="0009591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Destinación</w:t>
            </w:r>
          </w:p>
        </w:tc>
      </w:tr>
      <w:tr w:rsidR="00085216" w:rsidRPr="00134A51" w14:paraId="6E6E1EAE" w14:textId="77777777" w:rsidTr="0009591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vAlign w:val="center"/>
          </w:tcPr>
          <w:p w14:paraId="7853F499"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2018</w:t>
            </w:r>
          </w:p>
        </w:tc>
        <w:tc>
          <w:tcPr>
            <w:tcW w:w="1385" w:type="dxa"/>
            <w:shd w:val="clear" w:color="auto" w:fill="auto"/>
            <w:vAlign w:val="center"/>
            <w:hideMark/>
          </w:tcPr>
          <w:p w14:paraId="47DB8D97" w14:textId="3B553E87" w:rsidR="00085216" w:rsidRPr="00134A51" w:rsidRDefault="00085216" w:rsidP="0008521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$3.500</w:t>
            </w:r>
          </w:p>
        </w:tc>
        <w:tc>
          <w:tcPr>
            <w:tcW w:w="6525" w:type="dxa"/>
            <w:shd w:val="clear" w:color="auto" w:fill="auto"/>
          </w:tcPr>
          <w:p w14:paraId="4CD3A502" w14:textId="77777777" w:rsidR="00085216" w:rsidRPr="00134A51" w:rsidRDefault="00085216" w:rsidP="00095918">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Intervención vías urbanas</w:t>
            </w:r>
          </w:p>
        </w:tc>
      </w:tr>
      <w:tr w:rsidR="00085216" w:rsidRPr="00134A51" w14:paraId="4A473906" w14:textId="77777777" w:rsidTr="00095918">
        <w:trPr>
          <w:trHeight w:val="220"/>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119BFB11"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2018</w:t>
            </w:r>
          </w:p>
        </w:tc>
        <w:tc>
          <w:tcPr>
            <w:tcW w:w="1385" w:type="dxa"/>
            <w:shd w:val="clear" w:color="auto" w:fill="auto"/>
            <w:noWrap/>
            <w:vAlign w:val="center"/>
            <w:hideMark/>
          </w:tcPr>
          <w:p w14:paraId="27FB6669" w14:textId="0A867E41" w:rsidR="00085216" w:rsidRPr="00134A51" w:rsidRDefault="00085216" w:rsidP="00085216">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$2.992</w:t>
            </w:r>
          </w:p>
        </w:tc>
        <w:tc>
          <w:tcPr>
            <w:tcW w:w="6525" w:type="dxa"/>
            <w:shd w:val="clear" w:color="auto" w:fill="auto"/>
            <w:hideMark/>
          </w:tcPr>
          <w:p w14:paraId="72949C90" w14:textId="77777777" w:rsidR="00085216" w:rsidRPr="00134A51" w:rsidRDefault="00085216" w:rsidP="00095918">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Compra de maquinaria mantenimiento malla vial</w:t>
            </w:r>
          </w:p>
        </w:tc>
      </w:tr>
      <w:tr w:rsidR="00085216" w:rsidRPr="00134A51" w14:paraId="0E6D45C5" w14:textId="77777777" w:rsidTr="00095918">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296366A2"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2018</w:t>
            </w:r>
          </w:p>
        </w:tc>
        <w:tc>
          <w:tcPr>
            <w:tcW w:w="1385" w:type="dxa"/>
            <w:shd w:val="clear" w:color="auto" w:fill="auto"/>
            <w:noWrap/>
            <w:vAlign w:val="center"/>
            <w:hideMark/>
          </w:tcPr>
          <w:p w14:paraId="65652B51" w14:textId="73160B49" w:rsidR="00085216" w:rsidRPr="00134A51" w:rsidRDefault="00085216" w:rsidP="0008521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$616</w:t>
            </w:r>
          </w:p>
        </w:tc>
        <w:tc>
          <w:tcPr>
            <w:tcW w:w="6525" w:type="dxa"/>
            <w:shd w:val="clear" w:color="auto" w:fill="auto"/>
            <w:hideMark/>
          </w:tcPr>
          <w:p w14:paraId="753BB3CA" w14:textId="77777777" w:rsidR="00085216" w:rsidRPr="00134A51" w:rsidRDefault="00085216" w:rsidP="00095918">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Fortalecimiento integral de la Plaza de mercado - El Potrerillo</w:t>
            </w:r>
          </w:p>
        </w:tc>
      </w:tr>
      <w:tr w:rsidR="00085216" w:rsidRPr="00134A51" w14:paraId="73F3A094" w14:textId="77777777" w:rsidTr="00095918">
        <w:trPr>
          <w:trHeight w:val="58"/>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111A53F0"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2018</w:t>
            </w:r>
          </w:p>
        </w:tc>
        <w:tc>
          <w:tcPr>
            <w:tcW w:w="1385" w:type="dxa"/>
            <w:shd w:val="clear" w:color="auto" w:fill="auto"/>
            <w:noWrap/>
            <w:vAlign w:val="center"/>
            <w:hideMark/>
          </w:tcPr>
          <w:p w14:paraId="3A12C899" w14:textId="6F3330BD" w:rsidR="00085216" w:rsidRPr="00134A51" w:rsidRDefault="00085216" w:rsidP="00085216">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$2.697</w:t>
            </w:r>
          </w:p>
        </w:tc>
        <w:tc>
          <w:tcPr>
            <w:tcW w:w="6525" w:type="dxa"/>
            <w:shd w:val="clear" w:color="auto" w:fill="auto"/>
            <w:hideMark/>
          </w:tcPr>
          <w:p w14:paraId="7DA66813" w14:textId="77777777" w:rsidR="00085216" w:rsidRPr="00134A51" w:rsidRDefault="00085216" w:rsidP="00095918">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Mejoramiento malla vial rural del municipio de Pasto</w:t>
            </w:r>
          </w:p>
        </w:tc>
      </w:tr>
      <w:tr w:rsidR="00085216" w:rsidRPr="00134A51" w14:paraId="48CD390C" w14:textId="77777777" w:rsidTr="0009591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64643B62"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2019</w:t>
            </w:r>
          </w:p>
        </w:tc>
        <w:tc>
          <w:tcPr>
            <w:tcW w:w="1385" w:type="dxa"/>
            <w:shd w:val="clear" w:color="auto" w:fill="auto"/>
            <w:noWrap/>
            <w:vAlign w:val="center"/>
            <w:hideMark/>
          </w:tcPr>
          <w:p w14:paraId="744714E9" w14:textId="5C5CE591" w:rsidR="00085216" w:rsidRPr="00134A51" w:rsidRDefault="00085216" w:rsidP="0008521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$8.303</w:t>
            </w:r>
          </w:p>
        </w:tc>
        <w:tc>
          <w:tcPr>
            <w:tcW w:w="6525" w:type="dxa"/>
            <w:shd w:val="clear" w:color="auto" w:fill="auto"/>
            <w:hideMark/>
          </w:tcPr>
          <w:p w14:paraId="65FA2794" w14:textId="77777777" w:rsidR="00085216" w:rsidRPr="00134A51" w:rsidRDefault="00085216" w:rsidP="00095918">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Mejoramiento malla vial rural del municipio de Pasto</w:t>
            </w:r>
          </w:p>
        </w:tc>
      </w:tr>
      <w:tr w:rsidR="00085216" w:rsidRPr="00134A51" w14:paraId="021F55FB" w14:textId="77777777" w:rsidTr="00095918">
        <w:trPr>
          <w:trHeight w:val="245"/>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04126ADD"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2019</w:t>
            </w:r>
          </w:p>
        </w:tc>
        <w:tc>
          <w:tcPr>
            <w:tcW w:w="1385" w:type="dxa"/>
            <w:shd w:val="clear" w:color="auto" w:fill="auto"/>
            <w:noWrap/>
            <w:vAlign w:val="center"/>
            <w:hideMark/>
          </w:tcPr>
          <w:p w14:paraId="519A4A2B" w14:textId="427995F0" w:rsidR="00085216" w:rsidRPr="00134A51" w:rsidRDefault="00085216" w:rsidP="00085216">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$11.100</w:t>
            </w:r>
          </w:p>
        </w:tc>
        <w:tc>
          <w:tcPr>
            <w:tcW w:w="6525" w:type="dxa"/>
            <w:shd w:val="clear" w:color="auto" w:fill="auto"/>
            <w:hideMark/>
          </w:tcPr>
          <w:p w14:paraId="271C4211" w14:textId="77777777" w:rsidR="00085216" w:rsidRPr="00134A51" w:rsidRDefault="00085216" w:rsidP="00095918">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Parque Rio Alta Montaña</w:t>
            </w:r>
          </w:p>
        </w:tc>
      </w:tr>
      <w:tr w:rsidR="00085216" w:rsidRPr="00134A51" w14:paraId="6954AED7" w14:textId="77777777" w:rsidTr="00095918">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07321C75"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2019</w:t>
            </w:r>
          </w:p>
        </w:tc>
        <w:tc>
          <w:tcPr>
            <w:tcW w:w="1385" w:type="dxa"/>
            <w:shd w:val="clear" w:color="auto" w:fill="auto"/>
            <w:noWrap/>
            <w:vAlign w:val="center"/>
            <w:hideMark/>
          </w:tcPr>
          <w:p w14:paraId="287A76AB" w14:textId="58893C42" w:rsidR="00085216" w:rsidRPr="00134A51" w:rsidRDefault="00085216" w:rsidP="0008521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$1.000</w:t>
            </w:r>
          </w:p>
        </w:tc>
        <w:tc>
          <w:tcPr>
            <w:tcW w:w="6525" w:type="dxa"/>
            <w:shd w:val="clear" w:color="auto" w:fill="auto"/>
            <w:hideMark/>
          </w:tcPr>
          <w:p w14:paraId="7D27577F" w14:textId="77777777" w:rsidR="00085216" w:rsidRPr="00134A51" w:rsidRDefault="00085216" w:rsidP="00095918">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Mejoramiento de la productividad agropecuaria en el municipio de Pasto</w:t>
            </w:r>
          </w:p>
        </w:tc>
      </w:tr>
      <w:tr w:rsidR="00085216" w:rsidRPr="00134A51" w14:paraId="2250A4C4" w14:textId="77777777" w:rsidTr="00085216">
        <w:trPr>
          <w:trHeight w:val="63"/>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70C44E63"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2019</w:t>
            </w:r>
          </w:p>
        </w:tc>
        <w:tc>
          <w:tcPr>
            <w:tcW w:w="1385" w:type="dxa"/>
            <w:shd w:val="clear" w:color="auto" w:fill="auto"/>
            <w:noWrap/>
            <w:vAlign w:val="center"/>
          </w:tcPr>
          <w:p w14:paraId="36001577" w14:textId="5A415138" w:rsidR="00085216" w:rsidRPr="00134A51" w:rsidRDefault="00085216" w:rsidP="00085216">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$2.814</w:t>
            </w:r>
          </w:p>
        </w:tc>
        <w:tc>
          <w:tcPr>
            <w:tcW w:w="6525" w:type="dxa"/>
            <w:shd w:val="clear" w:color="auto" w:fill="auto"/>
          </w:tcPr>
          <w:p w14:paraId="3C44467B" w14:textId="77777777" w:rsidR="00085216" w:rsidRPr="00134A51" w:rsidRDefault="00085216" w:rsidP="00095918">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Fortalecimiento integral de la Plaza de mercado - El Potrerillo</w:t>
            </w:r>
          </w:p>
        </w:tc>
      </w:tr>
      <w:tr w:rsidR="00085216" w:rsidRPr="00134A51" w14:paraId="1E81D9A6" w14:textId="77777777" w:rsidTr="0009591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0ACDC301"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t>2019</w:t>
            </w:r>
          </w:p>
        </w:tc>
        <w:tc>
          <w:tcPr>
            <w:tcW w:w="1385" w:type="dxa"/>
            <w:shd w:val="clear" w:color="auto" w:fill="auto"/>
            <w:noWrap/>
            <w:vAlign w:val="center"/>
            <w:hideMark/>
          </w:tcPr>
          <w:p w14:paraId="12BEC200" w14:textId="1D7402FE" w:rsidR="00085216" w:rsidRPr="00134A51" w:rsidRDefault="00085216" w:rsidP="00085216">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$2.000</w:t>
            </w:r>
          </w:p>
        </w:tc>
        <w:tc>
          <w:tcPr>
            <w:tcW w:w="6525" w:type="dxa"/>
            <w:shd w:val="clear" w:color="auto" w:fill="auto"/>
            <w:hideMark/>
          </w:tcPr>
          <w:p w14:paraId="3B253C2A" w14:textId="77777777" w:rsidR="00085216" w:rsidRPr="00134A51" w:rsidRDefault="00085216" w:rsidP="00095918">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Cárcel Municipal de Pasto</w:t>
            </w:r>
          </w:p>
        </w:tc>
      </w:tr>
      <w:tr w:rsidR="00085216" w:rsidRPr="00134A51" w14:paraId="3D63E09D" w14:textId="77777777" w:rsidTr="00095918">
        <w:trPr>
          <w:trHeight w:val="233"/>
        </w:trPr>
        <w:tc>
          <w:tcPr>
            <w:cnfStyle w:val="001000000000" w:firstRow="0" w:lastRow="0" w:firstColumn="1" w:lastColumn="0" w:oddVBand="0" w:evenVBand="0" w:oddHBand="0" w:evenHBand="0" w:firstRowFirstColumn="0" w:firstRowLastColumn="0" w:lastRowFirstColumn="0" w:lastRowLastColumn="0"/>
            <w:tcW w:w="1021" w:type="dxa"/>
            <w:shd w:val="clear" w:color="auto" w:fill="auto"/>
            <w:noWrap/>
            <w:vAlign w:val="center"/>
          </w:tcPr>
          <w:p w14:paraId="7687663B" w14:textId="77777777" w:rsidR="00085216" w:rsidRPr="00134A51" w:rsidRDefault="00085216" w:rsidP="00095918">
            <w:pPr>
              <w:jc w:val="right"/>
              <w:rPr>
                <w:rFonts w:ascii="Century Gothic" w:eastAsia="Times New Roman" w:hAnsi="Century Gothic" w:cs="Arial"/>
                <w:b w:val="0"/>
                <w:color w:val="000000" w:themeColor="text1"/>
                <w:sz w:val="20"/>
                <w:szCs w:val="20"/>
              </w:rPr>
            </w:pPr>
            <w:r w:rsidRPr="00134A51">
              <w:rPr>
                <w:rFonts w:ascii="Century Gothic" w:eastAsia="Times New Roman" w:hAnsi="Century Gothic" w:cs="Arial"/>
                <w:b w:val="0"/>
                <w:color w:val="000000" w:themeColor="text1"/>
                <w:sz w:val="20"/>
                <w:szCs w:val="20"/>
              </w:rPr>
              <w:lastRenderedPageBreak/>
              <w:t>2019</w:t>
            </w:r>
          </w:p>
        </w:tc>
        <w:tc>
          <w:tcPr>
            <w:tcW w:w="1385" w:type="dxa"/>
            <w:shd w:val="clear" w:color="auto" w:fill="auto"/>
            <w:noWrap/>
            <w:vAlign w:val="center"/>
            <w:hideMark/>
          </w:tcPr>
          <w:p w14:paraId="4369D6BA" w14:textId="4921C02A" w:rsidR="00085216" w:rsidRPr="00134A51" w:rsidRDefault="00085216" w:rsidP="00085216">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$7.000</w:t>
            </w:r>
          </w:p>
        </w:tc>
        <w:tc>
          <w:tcPr>
            <w:tcW w:w="6525" w:type="dxa"/>
            <w:shd w:val="clear" w:color="auto" w:fill="auto"/>
            <w:hideMark/>
          </w:tcPr>
          <w:p w14:paraId="4E5F699F" w14:textId="77777777" w:rsidR="00085216" w:rsidRPr="00134A51" w:rsidRDefault="00085216" w:rsidP="00095918">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20"/>
                <w:szCs w:val="20"/>
              </w:rPr>
            </w:pPr>
            <w:r w:rsidRPr="00134A51">
              <w:rPr>
                <w:rFonts w:ascii="Century Gothic" w:eastAsia="Times New Roman" w:hAnsi="Century Gothic" w:cs="Arial"/>
                <w:color w:val="000000" w:themeColor="text1"/>
                <w:sz w:val="20"/>
                <w:szCs w:val="20"/>
              </w:rPr>
              <w:t xml:space="preserve">Componente vial mercado El Potrerillo </w:t>
            </w:r>
          </w:p>
        </w:tc>
      </w:tr>
    </w:tbl>
    <w:p w14:paraId="1FFD68CE" w14:textId="11925224" w:rsidR="0005129F" w:rsidRPr="00134A51" w:rsidRDefault="0005129F" w:rsidP="00802CDB">
      <w:pPr>
        <w:tabs>
          <w:tab w:val="left" w:pos="810"/>
        </w:tabs>
        <w:jc w:val="center"/>
        <w:rPr>
          <w:rFonts w:ascii="Century Gothic" w:hAnsi="Century Gothic"/>
          <w:sz w:val="20"/>
          <w:lang w:val="es-ES"/>
        </w:rPr>
      </w:pPr>
      <w:r w:rsidRPr="00134A51">
        <w:rPr>
          <w:rFonts w:ascii="Century Gothic" w:hAnsi="Century Gothic"/>
          <w:sz w:val="20"/>
          <w:lang w:val="es-ES"/>
        </w:rPr>
        <w:t>Fuen</w:t>
      </w:r>
      <w:r w:rsidR="00802CDB" w:rsidRPr="00134A51">
        <w:rPr>
          <w:rFonts w:ascii="Century Gothic" w:hAnsi="Century Gothic"/>
          <w:sz w:val="20"/>
          <w:lang w:val="es-ES"/>
        </w:rPr>
        <w:t xml:space="preserve">te: Secretaría de Hacienda, </w:t>
      </w:r>
      <w:r w:rsidR="008A1ECB" w:rsidRPr="00134A51">
        <w:rPr>
          <w:rFonts w:ascii="Century Gothic" w:hAnsi="Century Gothic"/>
          <w:sz w:val="20"/>
          <w:lang w:val="es-ES"/>
        </w:rPr>
        <w:t>2018</w:t>
      </w:r>
    </w:p>
    <w:p w14:paraId="05EED6B0" w14:textId="67613654" w:rsidR="00677466" w:rsidRPr="00134A51" w:rsidRDefault="005C1112" w:rsidP="00552486">
      <w:pPr>
        <w:pStyle w:val="Ttulo3"/>
        <w:rPr>
          <w:color w:val="000000" w:themeColor="text1"/>
          <w:lang w:val="es-ES"/>
        </w:rPr>
      </w:pPr>
      <w:bookmarkStart w:id="124" w:name="_Toc532565953"/>
      <w:r w:rsidRPr="00134A51">
        <w:rPr>
          <w:color w:val="000000" w:themeColor="text1"/>
          <w:lang w:val="es-ES"/>
        </w:rPr>
        <w:t xml:space="preserve">Servicio de la deuda </w:t>
      </w:r>
      <w:r w:rsidR="00677466" w:rsidRPr="00134A51">
        <w:rPr>
          <w:color w:val="000000" w:themeColor="text1"/>
          <w:lang w:val="es-ES"/>
        </w:rPr>
        <w:t>201</w:t>
      </w:r>
      <w:r w:rsidR="00802CDB" w:rsidRPr="00134A51">
        <w:rPr>
          <w:color w:val="000000" w:themeColor="text1"/>
          <w:lang w:val="es-ES"/>
        </w:rPr>
        <w:t>9</w:t>
      </w:r>
      <w:r w:rsidR="00677466" w:rsidRPr="00134A51">
        <w:rPr>
          <w:color w:val="000000" w:themeColor="text1"/>
          <w:lang w:val="es-ES"/>
        </w:rPr>
        <w:t xml:space="preserve"> </w:t>
      </w:r>
      <w:r w:rsidR="0094168B" w:rsidRPr="00134A51">
        <w:rPr>
          <w:color w:val="000000" w:themeColor="text1"/>
          <w:lang w:val="es-ES"/>
        </w:rPr>
        <w:t xml:space="preserve">– </w:t>
      </w:r>
      <w:r w:rsidR="00677466" w:rsidRPr="00134A51">
        <w:rPr>
          <w:color w:val="000000" w:themeColor="text1"/>
          <w:lang w:val="es-ES"/>
        </w:rPr>
        <w:t>20</w:t>
      </w:r>
      <w:r w:rsidR="00802CDB" w:rsidRPr="00134A51">
        <w:rPr>
          <w:color w:val="000000" w:themeColor="text1"/>
          <w:lang w:val="es-ES"/>
        </w:rPr>
        <w:t>29</w:t>
      </w:r>
      <w:bookmarkEnd w:id="124"/>
    </w:p>
    <w:p w14:paraId="36AED17D" w14:textId="59A377D2" w:rsidR="00EC76D2" w:rsidRPr="00134A51" w:rsidRDefault="00802CDB" w:rsidP="00552486">
      <w:pPr>
        <w:pStyle w:val="Textoindependiente"/>
        <w:spacing w:after="200" w:line="276" w:lineRule="auto"/>
        <w:jc w:val="both"/>
        <w:rPr>
          <w:sz w:val="22"/>
          <w:szCs w:val="22"/>
          <w:lang w:val="es-ES"/>
        </w:rPr>
      </w:pPr>
      <w:r w:rsidRPr="00134A51">
        <w:rPr>
          <w:sz w:val="22"/>
          <w:szCs w:val="22"/>
          <w:lang w:val="es-ES"/>
        </w:rPr>
        <w:t xml:space="preserve">El servicio de la deuda que el municipio deberá cubrir </w:t>
      </w:r>
      <w:r w:rsidR="00134A51" w:rsidRPr="00134A51">
        <w:rPr>
          <w:sz w:val="22"/>
          <w:szCs w:val="22"/>
          <w:lang w:val="es-ES"/>
        </w:rPr>
        <w:t xml:space="preserve">durante </w:t>
      </w:r>
      <w:r w:rsidRPr="00134A51">
        <w:rPr>
          <w:sz w:val="22"/>
          <w:szCs w:val="22"/>
          <w:lang w:val="es-ES"/>
        </w:rPr>
        <w:t>el periodo 2019 – 2029</w:t>
      </w:r>
      <w:r w:rsidR="00134A51" w:rsidRPr="00134A51">
        <w:rPr>
          <w:sz w:val="22"/>
          <w:szCs w:val="22"/>
          <w:lang w:val="es-ES"/>
        </w:rPr>
        <w:t>,</w:t>
      </w:r>
      <w:r w:rsidRPr="00134A51">
        <w:rPr>
          <w:sz w:val="22"/>
          <w:szCs w:val="22"/>
          <w:lang w:val="es-ES"/>
        </w:rPr>
        <w:t xml:space="preserve"> incluido el nuevo endeudamiento</w:t>
      </w:r>
      <w:r w:rsidR="00134A51" w:rsidRPr="00134A51">
        <w:rPr>
          <w:sz w:val="22"/>
          <w:szCs w:val="22"/>
          <w:lang w:val="es-ES"/>
        </w:rPr>
        <w:t>, su</w:t>
      </w:r>
      <w:r w:rsidR="00134A51">
        <w:rPr>
          <w:sz w:val="22"/>
          <w:szCs w:val="22"/>
          <w:lang w:val="es-ES"/>
        </w:rPr>
        <w:t>s</w:t>
      </w:r>
      <w:r w:rsidR="00134A51" w:rsidRPr="00134A51">
        <w:rPr>
          <w:sz w:val="22"/>
          <w:szCs w:val="22"/>
          <w:lang w:val="es-ES"/>
        </w:rPr>
        <w:t xml:space="preserve"> </w:t>
      </w:r>
      <w:r w:rsidRPr="00134A51">
        <w:rPr>
          <w:sz w:val="22"/>
          <w:szCs w:val="22"/>
          <w:lang w:val="es-ES"/>
        </w:rPr>
        <w:t xml:space="preserve">proyecciones y los planes de amortización del crédito vigente se </w:t>
      </w:r>
      <w:r w:rsidR="00134A51" w:rsidRPr="00134A51">
        <w:rPr>
          <w:sz w:val="22"/>
          <w:szCs w:val="22"/>
          <w:lang w:val="es-ES"/>
        </w:rPr>
        <w:t xml:space="preserve">detalla </w:t>
      </w:r>
      <w:r w:rsidRPr="00134A51">
        <w:rPr>
          <w:sz w:val="22"/>
          <w:szCs w:val="22"/>
          <w:lang w:val="es-ES"/>
        </w:rPr>
        <w:t>a continuación:</w:t>
      </w:r>
    </w:p>
    <w:p w14:paraId="6BA7810C" w14:textId="1418324D" w:rsidR="00677466" w:rsidRPr="00134C61" w:rsidRDefault="00677466" w:rsidP="00802CDB">
      <w:pPr>
        <w:pStyle w:val="Epgrafe"/>
        <w:spacing w:after="0" w:line="276" w:lineRule="auto"/>
        <w:jc w:val="center"/>
        <w:rPr>
          <w:rFonts w:ascii="Century Gothic" w:hAnsi="Century Gothic"/>
          <w:b w:val="0"/>
          <w:color w:val="auto"/>
          <w:sz w:val="22"/>
          <w:szCs w:val="22"/>
          <w:lang w:val="es-ES"/>
        </w:rPr>
      </w:pPr>
      <w:bookmarkStart w:id="125" w:name="_Toc532570552"/>
      <w:r w:rsidRPr="00134A51">
        <w:rPr>
          <w:rFonts w:ascii="Century Gothic" w:hAnsi="Century Gothic"/>
          <w:b w:val="0"/>
          <w:color w:val="auto"/>
          <w:sz w:val="22"/>
          <w:szCs w:val="22"/>
          <w:lang w:val="es-ES"/>
        </w:rPr>
        <w:t xml:space="preserve">Tabla </w:t>
      </w:r>
      <w:r w:rsidR="00A83A24" w:rsidRPr="00134A51">
        <w:rPr>
          <w:rFonts w:ascii="Century Gothic" w:hAnsi="Century Gothic"/>
          <w:b w:val="0"/>
          <w:color w:val="auto"/>
          <w:sz w:val="22"/>
          <w:szCs w:val="22"/>
          <w:lang w:val="es-ES"/>
        </w:rPr>
        <w:fldChar w:fldCharType="begin"/>
      </w:r>
      <w:r w:rsidRPr="00134A51">
        <w:rPr>
          <w:rFonts w:ascii="Century Gothic" w:hAnsi="Century Gothic"/>
          <w:b w:val="0"/>
          <w:color w:val="auto"/>
          <w:sz w:val="22"/>
          <w:szCs w:val="22"/>
          <w:lang w:val="es-ES"/>
        </w:rPr>
        <w:instrText xml:space="preserve"> SEQ Tabla \* ARABIC </w:instrText>
      </w:r>
      <w:r w:rsidR="00A83A24" w:rsidRPr="00134A51">
        <w:rPr>
          <w:rFonts w:ascii="Century Gothic" w:hAnsi="Century Gothic"/>
          <w:b w:val="0"/>
          <w:color w:val="auto"/>
          <w:sz w:val="22"/>
          <w:szCs w:val="22"/>
          <w:lang w:val="es-ES"/>
        </w:rPr>
        <w:fldChar w:fldCharType="separate"/>
      </w:r>
      <w:r w:rsidR="00934BA3" w:rsidRPr="00134A51">
        <w:rPr>
          <w:rFonts w:ascii="Century Gothic" w:hAnsi="Century Gothic"/>
          <w:b w:val="0"/>
          <w:noProof/>
          <w:color w:val="auto"/>
          <w:sz w:val="22"/>
          <w:szCs w:val="22"/>
          <w:lang w:val="es-ES"/>
        </w:rPr>
        <w:t>61</w:t>
      </w:r>
      <w:r w:rsidR="00A83A24" w:rsidRPr="00134A51">
        <w:rPr>
          <w:rFonts w:ascii="Century Gothic" w:hAnsi="Century Gothic"/>
          <w:b w:val="0"/>
          <w:color w:val="auto"/>
          <w:sz w:val="22"/>
          <w:szCs w:val="22"/>
          <w:lang w:val="es-ES"/>
        </w:rPr>
        <w:fldChar w:fldCharType="end"/>
      </w:r>
      <w:r w:rsidRPr="00134A51">
        <w:rPr>
          <w:rFonts w:ascii="Century Gothic" w:hAnsi="Century Gothic"/>
          <w:b w:val="0"/>
          <w:color w:val="auto"/>
          <w:sz w:val="22"/>
          <w:szCs w:val="22"/>
          <w:lang w:val="es-ES"/>
        </w:rPr>
        <w:t xml:space="preserve">. </w:t>
      </w:r>
      <w:r w:rsidRPr="00134A51">
        <w:rPr>
          <w:rFonts w:ascii="Century Gothic" w:eastAsia="Times New Roman" w:hAnsi="Century Gothic" w:cs="Arial"/>
          <w:b w:val="0"/>
          <w:color w:val="auto"/>
          <w:sz w:val="22"/>
          <w:szCs w:val="22"/>
          <w:lang w:val="es-ES"/>
        </w:rPr>
        <w:t xml:space="preserve">Servicio de </w:t>
      </w:r>
      <w:r w:rsidRPr="00134C61">
        <w:rPr>
          <w:rFonts w:ascii="Century Gothic" w:eastAsia="Times New Roman" w:hAnsi="Century Gothic" w:cs="Arial"/>
          <w:b w:val="0"/>
          <w:color w:val="auto"/>
          <w:sz w:val="22"/>
          <w:szCs w:val="22"/>
          <w:lang w:val="es-ES"/>
        </w:rPr>
        <w:t>la deuda</w:t>
      </w:r>
      <w:bookmarkEnd w:id="125"/>
      <w:r w:rsidRPr="00134C61">
        <w:rPr>
          <w:rFonts w:ascii="Century Gothic" w:eastAsia="Times New Roman" w:hAnsi="Century Gothic" w:cs="Arial"/>
          <w:b w:val="0"/>
          <w:color w:val="auto"/>
          <w:sz w:val="22"/>
          <w:szCs w:val="22"/>
          <w:lang w:val="es-ES"/>
        </w:rPr>
        <w:t xml:space="preserve"> </w:t>
      </w:r>
    </w:p>
    <w:p w14:paraId="140EA4FE" w14:textId="4FA721BB" w:rsidR="00677466" w:rsidRPr="00134C61" w:rsidRDefault="00802CDB" w:rsidP="00802CDB">
      <w:pPr>
        <w:pStyle w:val="Textoindependiente"/>
        <w:spacing w:line="276" w:lineRule="auto"/>
        <w:jc w:val="both"/>
        <w:rPr>
          <w:sz w:val="22"/>
          <w:szCs w:val="22"/>
          <w:lang w:val="es-ES"/>
        </w:rPr>
      </w:pPr>
      <w:r w:rsidRPr="00134C61">
        <w:rPr>
          <w:noProof/>
          <w:lang w:val="es-ES" w:eastAsia="es-ES"/>
        </w:rPr>
        <w:drawing>
          <wp:inline distT="0" distB="0" distL="0" distR="0" wp14:anchorId="59C5D8E0" wp14:editId="161DF054">
            <wp:extent cx="5534025" cy="2594610"/>
            <wp:effectExtent l="0" t="0" r="9525" b="0"/>
            <wp:docPr id="79" name="Imagen 79"/>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34025" cy="2594610"/>
                    </a:xfrm>
                    <a:prstGeom prst="rect">
                      <a:avLst/>
                    </a:prstGeom>
                    <a:noFill/>
                    <a:ln>
                      <a:noFill/>
                    </a:ln>
                  </pic:spPr>
                </pic:pic>
              </a:graphicData>
            </a:graphic>
          </wp:inline>
        </w:drawing>
      </w:r>
    </w:p>
    <w:p w14:paraId="10DC7307" w14:textId="6518D84C" w:rsidR="00176DB3" w:rsidRPr="00134C61" w:rsidRDefault="00176DB3" w:rsidP="00552486">
      <w:pPr>
        <w:widowControl w:val="0"/>
        <w:jc w:val="center"/>
        <w:rPr>
          <w:rFonts w:ascii="Century Gothic" w:hAnsi="Century Gothic"/>
          <w:sz w:val="20"/>
          <w:lang w:val="es-ES"/>
        </w:rPr>
      </w:pPr>
      <w:r w:rsidRPr="00134C61">
        <w:rPr>
          <w:rFonts w:ascii="Century Gothic" w:hAnsi="Century Gothic"/>
          <w:sz w:val="20"/>
          <w:lang w:val="es-ES"/>
        </w:rPr>
        <w:t>Fuente: Secretaría de Hacienda, 201</w:t>
      </w:r>
      <w:r w:rsidR="00802CDB" w:rsidRPr="00134C61">
        <w:rPr>
          <w:rFonts w:ascii="Century Gothic" w:hAnsi="Century Gothic"/>
          <w:sz w:val="20"/>
          <w:lang w:val="es-ES"/>
        </w:rPr>
        <w:t>8</w:t>
      </w:r>
    </w:p>
    <w:p w14:paraId="74358358" w14:textId="1DB83D56" w:rsidR="00355336" w:rsidRPr="00134C61" w:rsidRDefault="00802CDB" w:rsidP="00355336">
      <w:pPr>
        <w:widowControl w:val="0"/>
        <w:jc w:val="both"/>
        <w:rPr>
          <w:rFonts w:ascii="Century Gothic" w:hAnsi="Century Gothic"/>
          <w:lang w:val="es-ES"/>
        </w:rPr>
      </w:pPr>
      <w:r w:rsidRPr="00134C61">
        <w:rPr>
          <w:rFonts w:ascii="Century Gothic" w:hAnsi="Century Gothic"/>
          <w:lang w:val="es-ES"/>
        </w:rPr>
        <w:t xml:space="preserve">Una de las características fundamentales del endeudamiento de Pasto, ha sido la implementación de una buena estrategia de gestión, </w:t>
      </w:r>
      <w:r w:rsidR="00134C61" w:rsidRPr="00134C61">
        <w:rPr>
          <w:rFonts w:ascii="Century Gothic" w:hAnsi="Century Gothic"/>
          <w:lang w:val="es-ES"/>
        </w:rPr>
        <w:t xml:space="preserve">en el nivel y </w:t>
      </w:r>
      <w:r w:rsidRPr="00134C61">
        <w:rPr>
          <w:rFonts w:ascii="Century Gothic" w:hAnsi="Century Gothic"/>
          <w:lang w:val="es-ES"/>
        </w:rPr>
        <w:t>comportamiento</w:t>
      </w:r>
      <w:r w:rsidR="00134C61" w:rsidRPr="00134C61">
        <w:rPr>
          <w:rFonts w:ascii="Century Gothic" w:hAnsi="Century Gothic"/>
          <w:lang w:val="es-ES"/>
        </w:rPr>
        <w:t xml:space="preserve"> de la deuda,</w:t>
      </w:r>
      <w:r w:rsidRPr="00134C61">
        <w:rPr>
          <w:rFonts w:ascii="Century Gothic" w:hAnsi="Century Gothic"/>
          <w:lang w:val="es-ES"/>
        </w:rPr>
        <w:t xml:space="preserve"> </w:t>
      </w:r>
      <w:r w:rsidR="00134C61" w:rsidRPr="00134C61">
        <w:rPr>
          <w:rFonts w:ascii="Century Gothic" w:hAnsi="Century Gothic"/>
          <w:lang w:val="es-ES"/>
        </w:rPr>
        <w:t xml:space="preserve">que aseguren su solvencia y sostenibilidad </w:t>
      </w:r>
      <w:r w:rsidRPr="00134C61">
        <w:rPr>
          <w:rFonts w:ascii="Century Gothic" w:hAnsi="Century Gothic"/>
          <w:lang w:val="es-ES"/>
        </w:rPr>
        <w:t>para atender el servicio en diversas circunstancias, al tiempo que se satisfacen los objetivos de bajo costo y riesgo.</w:t>
      </w:r>
    </w:p>
    <w:p w14:paraId="43FCC2D3" w14:textId="7F4E74C8" w:rsidR="00677466" w:rsidRPr="00134C61" w:rsidRDefault="00FC65DE" w:rsidP="0016186A">
      <w:pPr>
        <w:pStyle w:val="Ttulo1"/>
        <w:rPr>
          <w:lang w:val="es-ES"/>
        </w:rPr>
      </w:pPr>
      <w:bookmarkStart w:id="126" w:name="_Toc532565954"/>
      <w:r w:rsidRPr="00134C61">
        <w:t>C</w:t>
      </w:r>
      <w:r w:rsidR="003F73B9" w:rsidRPr="00134C61">
        <w:t>álculo actualizado de indicadores</w:t>
      </w:r>
      <w:bookmarkEnd w:id="126"/>
    </w:p>
    <w:p w14:paraId="64DF0E47" w14:textId="75188A0B" w:rsidR="00802CDB" w:rsidRPr="00134C61" w:rsidRDefault="00802CDB" w:rsidP="00802CDB">
      <w:pPr>
        <w:widowControl w:val="0"/>
        <w:jc w:val="both"/>
        <w:rPr>
          <w:rFonts w:ascii="Century Gothic" w:hAnsi="Century Gothic"/>
          <w:lang w:val="es-ES"/>
        </w:rPr>
      </w:pPr>
      <w:r w:rsidRPr="00134C61">
        <w:rPr>
          <w:rFonts w:ascii="Century Gothic" w:hAnsi="Century Gothic"/>
          <w:lang w:val="es-ES"/>
        </w:rPr>
        <w:t>Atendiendo lo establecido en la Ley 819 una vez consolidada la proyección del servicio de la deuda, que en sus componentes intereses y amortización, de la deuda vigente y del nuevo endeudamiento, así como las pr</w:t>
      </w:r>
      <w:r w:rsidR="008A1ECB" w:rsidRPr="00134C61">
        <w:rPr>
          <w:rFonts w:ascii="Century Gothic" w:hAnsi="Century Gothic"/>
          <w:lang w:val="es-ES"/>
        </w:rPr>
        <w:t xml:space="preserve">oyecciones del Plan Financiero </w:t>
      </w:r>
      <w:r w:rsidRPr="00134C61">
        <w:rPr>
          <w:rFonts w:ascii="Century Gothic" w:hAnsi="Century Gothic"/>
          <w:lang w:val="es-ES"/>
        </w:rPr>
        <w:t xml:space="preserve">en relación a </w:t>
      </w:r>
      <w:r w:rsidR="00134C61" w:rsidRPr="00134C61">
        <w:rPr>
          <w:rFonts w:ascii="Century Gothic" w:hAnsi="Century Gothic"/>
          <w:lang w:val="es-ES"/>
        </w:rPr>
        <w:t>los ingresos corrientes y gastos de f</w:t>
      </w:r>
      <w:r w:rsidRPr="00134C61">
        <w:rPr>
          <w:rFonts w:ascii="Century Gothic" w:hAnsi="Century Gothic"/>
          <w:lang w:val="es-ES"/>
        </w:rPr>
        <w:t>uncionamiento</w:t>
      </w:r>
      <w:r w:rsidR="00134C61" w:rsidRPr="00134C61">
        <w:rPr>
          <w:rFonts w:ascii="Century Gothic" w:hAnsi="Century Gothic"/>
          <w:lang w:val="es-ES"/>
        </w:rPr>
        <w:t>,</w:t>
      </w:r>
      <w:r w:rsidRPr="00134C61">
        <w:rPr>
          <w:rFonts w:ascii="Century Gothic" w:hAnsi="Century Gothic"/>
          <w:lang w:val="es-ES"/>
        </w:rPr>
        <w:t xml:space="preserve"> se determina el saldo proyectado de la deuda y la proyección de in</w:t>
      </w:r>
      <w:r w:rsidR="00134C61">
        <w:rPr>
          <w:rFonts w:ascii="Century Gothic" w:hAnsi="Century Gothic"/>
          <w:lang w:val="es-ES"/>
        </w:rPr>
        <w:t xml:space="preserve">dicadores de la Ley 358 de 1997, la cual asocia de manera directa, </w:t>
      </w:r>
      <w:r w:rsidRPr="00134C61">
        <w:rPr>
          <w:rFonts w:ascii="Century Gothic" w:hAnsi="Century Gothic"/>
          <w:lang w:val="es-ES"/>
        </w:rPr>
        <w:t>la capacidad de pago</w:t>
      </w:r>
      <w:r w:rsidR="00134C61">
        <w:rPr>
          <w:rFonts w:ascii="Century Gothic" w:hAnsi="Century Gothic"/>
          <w:lang w:val="es-ES"/>
        </w:rPr>
        <w:t>,</w:t>
      </w:r>
      <w:r w:rsidRPr="00134C61">
        <w:rPr>
          <w:rFonts w:ascii="Century Gothic" w:hAnsi="Century Gothic"/>
          <w:lang w:val="es-ES"/>
        </w:rPr>
        <w:t xml:space="preserve"> a la </w:t>
      </w:r>
      <w:r w:rsidRPr="00134C61">
        <w:rPr>
          <w:rFonts w:ascii="Century Gothic" w:hAnsi="Century Gothic"/>
          <w:lang w:val="es-ES"/>
        </w:rPr>
        <w:lastRenderedPageBreak/>
        <w:t xml:space="preserve">generación de ahorro operacional. </w:t>
      </w:r>
    </w:p>
    <w:p w14:paraId="5C339385" w14:textId="66EB9734" w:rsidR="00802CDB" w:rsidRPr="00134C61" w:rsidRDefault="00802CDB" w:rsidP="00802CDB">
      <w:pPr>
        <w:widowControl w:val="0"/>
        <w:jc w:val="both"/>
        <w:rPr>
          <w:rFonts w:ascii="Century Gothic" w:hAnsi="Century Gothic"/>
          <w:lang w:val="es-ES"/>
        </w:rPr>
      </w:pPr>
      <w:r w:rsidRPr="00134C61">
        <w:rPr>
          <w:rFonts w:ascii="Century Gothic" w:hAnsi="Century Gothic"/>
          <w:lang w:val="es-ES"/>
        </w:rPr>
        <w:t>La aplicación de estos conceptos</w:t>
      </w:r>
      <w:r w:rsidR="00134C61" w:rsidRPr="00134C61">
        <w:rPr>
          <w:rFonts w:ascii="Century Gothic" w:hAnsi="Century Gothic"/>
          <w:lang w:val="es-ES"/>
        </w:rPr>
        <w:t>,</w:t>
      </w:r>
      <w:r w:rsidRPr="00134C61">
        <w:rPr>
          <w:rFonts w:ascii="Century Gothic" w:hAnsi="Century Gothic"/>
          <w:lang w:val="es-ES"/>
        </w:rPr>
        <w:t xml:space="preserve"> permite</w:t>
      </w:r>
      <w:r w:rsidR="00134C61" w:rsidRPr="00134C61">
        <w:rPr>
          <w:rFonts w:ascii="Century Gothic" w:hAnsi="Century Gothic"/>
          <w:lang w:val="es-ES"/>
        </w:rPr>
        <w:t>n</w:t>
      </w:r>
      <w:r w:rsidRPr="00134C61">
        <w:rPr>
          <w:rFonts w:ascii="Century Gothic" w:hAnsi="Century Gothic"/>
          <w:lang w:val="es-ES"/>
        </w:rPr>
        <w:t xml:space="preserve"> determinar si el flujo del crédito compromete o no la estabilidad financiera de</w:t>
      </w:r>
      <w:r w:rsidR="00134C61" w:rsidRPr="00134C61">
        <w:rPr>
          <w:rFonts w:ascii="Century Gothic" w:hAnsi="Century Gothic"/>
          <w:lang w:val="es-ES"/>
        </w:rPr>
        <w:t>l municipio en</w:t>
      </w:r>
      <w:r w:rsidRPr="00134C61">
        <w:rPr>
          <w:rFonts w:ascii="Century Gothic" w:hAnsi="Century Gothic"/>
          <w:lang w:val="es-ES"/>
        </w:rPr>
        <w:t xml:space="preserve"> el corto, mediano o largo plazo. </w:t>
      </w:r>
    </w:p>
    <w:p w14:paraId="78C7E22A" w14:textId="174EBF13" w:rsidR="00802CDB" w:rsidRPr="00134C61" w:rsidRDefault="00802CDB" w:rsidP="00802CDB">
      <w:pPr>
        <w:widowControl w:val="0"/>
        <w:jc w:val="both"/>
        <w:rPr>
          <w:rFonts w:ascii="Century Gothic" w:hAnsi="Century Gothic"/>
          <w:lang w:val="es-ES"/>
        </w:rPr>
      </w:pPr>
      <w:r w:rsidRPr="00134C61">
        <w:rPr>
          <w:rFonts w:ascii="Century Gothic" w:hAnsi="Century Gothic"/>
          <w:lang w:val="es-ES"/>
        </w:rPr>
        <w:t xml:space="preserve">Se ha dado un manejo serio y responsable del endeudamiento público, con prioridad en el cumplimiento de los compromisos adquiridos y una amplia observancia a los indicadores de la Ley 358 de 1997 sin necesidad de suscribir planes de desempeño ante el Ministerio </w:t>
      </w:r>
      <w:r w:rsidR="00134C61" w:rsidRPr="00134C61">
        <w:rPr>
          <w:rFonts w:ascii="Century Gothic" w:hAnsi="Century Gothic"/>
          <w:lang w:val="es-ES"/>
        </w:rPr>
        <w:t>de Hacienda y Crédito Público.</w:t>
      </w:r>
    </w:p>
    <w:p w14:paraId="1C025789" w14:textId="15C81BDE" w:rsidR="00355336" w:rsidRPr="00134C61" w:rsidRDefault="00802CDB" w:rsidP="00802CDB">
      <w:pPr>
        <w:widowControl w:val="0"/>
        <w:jc w:val="both"/>
        <w:rPr>
          <w:rFonts w:ascii="Century Gothic" w:hAnsi="Century Gothic"/>
          <w:lang w:val="es-ES"/>
        </w:rPr>
      </w:pPr>
      <w:r w:rsidRPr="00134C61">
        <w:rPr>
          <w:rFonts w:ascii="Century Gothic" w:hAnsi="Century Gothic"/>
          <w:lang w:val="es-ES"/>
        </w:rPr>
        <w:t>Lo anterior</w:t>
      </w:r>
      <w:r w:rsidR="00134C61" w:rsidRPr="00134C61">
        <w:rPr>
          <w:rFonts w:ascii="Century Gothic" w:hAnsi="Century Gothic"/>
          <w:lang w:val="es-ES"/>
        </w:rPr>
        <w:t>,</w:t>
      </w:r>
      <w:r w:rsidRPr="00134C61">
        <w:rPr>
          <w:rFonts w:ascii="Century Gothic" w:hAnsi="Century Gothic"/>
          <w:lang w:val="es-ES"/>
        </w:rPr>
        <w:t xml:space="preserve"> puede observarse en la proyección de los indicadores en concordancia con las exigencias de la normativa vigente y que contempla la deuda vigente y el nuevo endeudamiento así:</w:t>
      </w:r>
    </w:p>
    <w:p w14:paraId="20E4F591" w14:textId="1AD90C51" w:rsidR="00355336" w:rsidRPr="00134C61" w:rsidRDefault="007C7E2A" w:rsidP="001F26FF">
      <w:pPr>
        <w:pStyle w:val="Epgrafe"/>
        <w:spacing w:after="0" w:line="276" w:lineRule="auto"/>
        <w:jc w:val="center"/>
        <w:rPr>
          <w:rFonts w:ascii="Century Gothic" w:hAnsi="Century Gothic"/>
          <w:b w:val="0"/>
          <w:color w:val="auto"/>
          <w:sz w:val="22"/>
          <w:szCs w:val="22"/>
          <w:lang w:val="es-ES"/>
        </w:rPr>
      </w:pPr>
      <w:bookmarkStart w:id="127" w:name="_Toc532570553"/>
      <w:r w:rsidRPr="00134C61">
        <w:rPr>
          <w:rFonts w:ascii="Century Gothic" w:hAnsi="Century Gothic"/>
          <w:b w:val="0"/>
          <w:color w:val="auto"/>
          <w:sz w:val="22"/>
          <w:szCs w:val="22"/>
          <w:lang w:val="es-ES"/>
        </w:rPr>
        <w:t xml:space="preserve">Tabla </w:t>
      </w:r>
      <w:r w:rsidRPr="00134C61">
        <w:rPr>
          <w:rFonts w:ascii="Century Gothic" w:hAnsi="Century Gothic"/>
          <w:b w:val="0"/>
          <w:color w:val="auto"/>
          <w:sz w:val="22"/>
          <w:szCs w:val="22"/>
          <w:lang w:val="es-ES"/>
        </w:rPr>
        <w:fldChar w:fldCharType="begin"/>
      </w:r>
      <w:r w:rsidRPr="00134C61">
        <w:rPr>
          <w:rFonts w:ascii="Century Gothic" w:hAnsi="Century Gothic"/>
          <w:b w:val="0"/>
          <w:color w:val="auto"/>
          <w:sz w:val="22"/>
          <w:szCs w:val="22"/>
          <w:lang w:val="es-ES"/>
        </w:rPr>
        <w:instrText xml:space="preserve"> SEQ Tabla \* ARABIC </w:instrText>
      </w:r>
      <w:r w:rsidRPr="00134C61">
        <w:rPr>
          <w:rFonts w:ascii="Century Gothic" w:hAnsi="Century Gothic"/>
          <w:b w:val="0"/>
          <w:color w:val="auto"/>
          <w:sz w:val="22"/>
          <w:szCs w:val="22"/>
          <w:lang w:val="es-ES"/>
        </w:rPr>
        <w:fldChar w:fldCharType="separate"/>
      </w:r>
      <w:r w:rsidR="00934BA3" w:rsidRPr="00134C61">
        <w:rPr>
          <w:rFonts w:ascii="Century Gothic" w:hAnsi="Century Gothic"/>
          <w:b w:val="0"/>
          <w:noProof/>
          <w:color w:val="auto"/>
          <w:sz w:val="22"/>
          <w:szCs w:val="22"/>
          <w:lang w:val="es-ES"/>
        </w:rPr>
        <w:t>62</w:t>
      </w:r>
      <w:r w:rsidRPr="00134C61">
        <w:rPr>
          <w:rFonts w:ascii="Century Gothic" w:hAnsi="Century Gothic"/>
          <w:b w:val="0"/>
          <w:color w:val="auto"/>
          <w:sz w:val="22"/>
          <w:szCs w:val="22"/>
          <w:lang w:val="es-ES"/>
        </w:rPr>
        <w:fldChar w:fldCharType="end"/>
      </w:r>
      <w:r w:rsidRPr="00134C61">
        <w:rPr>
          <w:rFonts w:ascii="Century Gothic" w:hAnsi="Century Gothic"/>
          <w:b w:val="0"/>
          <w:color w:val="auto"/>
          <w:sz w:val="22"/>
          <w:szCs w:val="22"/>
          <w:lang w:val="es-ES"/>
        </w:rPr>
        <w:t>. Proyección de indicadores – Ley 358 de 1997</w:t>
      </w:r>
      <w:bookmarkEnd w:id="127"/>
    </w:p>
    <w:tbl>
      <w:tblPr>
        <w:tblStyle w:val="Tablaconcuadrcula4-nfasis31"/>
        <w:tblW w:w="8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615"/>
        <w:gridCol w:w="615"/>
        <w:gridCol w:w="615"/>
        <w:gridCol w:w="615"/>
        <w:gridCol w:w="615"/>
        <w:gridCol w:w="615"/>
        <w:gridCol w:w="627"/>
        <w:gridCol w:w="571"/>
        <w:gridCol w:w="571"/>
        <w:gridCol w:w="571"/>
        <w:gridCol w:w="571"/>
      </w:tblGrid>
      <w:tr w:rsidR="00085216" w:rsidRPr="00134C61" w14:paraId="08C5E4D5" w14:textId="77777777" w:rsidTr="00095918">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861" w:type="dxa"/>
            <w:gridSpan w:val="12"/>
            <w:tcBorders>
              <w:top w:val="none" w:sz="0" w:space="0" w:color="auto"/>
              <w:left w:val="none" w:sz="0" w:space="0" w:color="auto"/>
              <w:bottom w:val="none" w:sz="0" w:space="0" w:color="auto"/>
              <w:right w:val="none" w:sz="0" w:space="0" w:color="auto"/>
            </w:tcBorders>
            <w:shd w:val="clear" w:color="auto" w:fill="C2D69B" w:themeFill="accent3" w:themeFillTint="99"/>
            <w:noWrap/>
            <w:hideMark/>
          </w:tcPr>
          <w:p w14:paraId="45B9ED00" w14:textId="77777777" w:rsidR="00085216" w:rsidRPr="00134C61" w:rsidRDefault="00085216" w:rsidP="00095918">
            <w:pPr>
              <w:jc w:val="center"/>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PROYECCION INDICADORES LEY 358 DE 19972019 - 2029</w:t>
            </w:r>
          </w:p>
        </w:tc>
      </w:tr>
      <w:tr w:rsidR="00085216" w:rsidRPr="00134C61" w14:paraId="2C1E8E4B" w14:textId="77777777" w:rsidTr="0009591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92" w:type="dxa"/>
            <w:shd w:val="clear" w:color="auto" w:fill="D6E3BC" w:themeFill="accent3" w:themeFillTint="66"/>
            <w:noWrap/>
            <w:hideMark/>
          </w:tcPr>
          <w:p w14:paraId="2AE86BF6" w14:textId="77777777" w:rsidR="00085216" w:rsidRPr="00134C61" w:rsidRDefault="00085216" w:rsidP="00095918">
            <w:pPr>
              <w:jc w:val="center"/>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INDICADORES</w:t>
            </w:r>
          </w:p>
        </w:tc>
        <w:tc>
          <w:tcPr>
            <w:tcW w:w="612" w:type="dxa"/>
            <w:shd w:val="clear" w:color="auto" w:fill="D6E3BC" w:themeFill="accent3" w:themeFillTint="66"/>
            <w:noWrap/>
            <w:hideMark/>
          </w:tcPr>
          <w:p w14:paraId="31829921"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2019</w:t>
            </w:r>
          </w:p>
        </w:tc>
        <w:tc>
          <w:tcPr>
            <w:tcW w:w="612" w:type="dxa"/>
            <w:shd w:val="clear" w:color="auto" w:fill="D6E3BC" w:themeFill="accent3" w:themeFillTint="66"/>
            <w:noWrap/>
            <w:hideMark/>
          </w:tcPr>
          <w:p w14:paraId="7A395BE1"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2020</w:t>
            </w:r>
          </w:p>
        </w:tc>
        <w:tc>
          <w:tcPr>
            <w:tcW w:w="612" w:type="dxa"/>
            <w:shd w:val="clear" w:color="auto" w:fill="D6E3BC" w:themeFill="accent3" w:themeFillTint="66"/>
            <w:noWrap/>
            <w:hideMark/>
          </w:tcPr>
          <w:p w14:paraId="0586BF3A"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2021</w:t>
            </w:r>
          </w:p>
        </w:tc>
        <w:tc>
          <w:tcPr>
            <w:tcW w:w="612" w:type="dxa"/>
            <w:shd w:val="clear" w:color="auto" w:fill="D6E3BC" w:themeFill="accent3" w:themeFillTint="66"/>
            <w:noWrap/>
            <w:hideMark/>
          </w:tcPr>
          <w:p w14:paraId="1D62CA8C"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2022</w:t>
            </w:r>
          </w:p>
        </w:tc>
        <w:tc>
          <w:tcPr>
            <w:tcW w:w="612" w:type="dxa"/>
            <w:shd w:val="clear" w:color="auto" w:fill="D6E3BC" w:themeFill="accent3" w:themeFillTint="66"/>
            <w:noWrap/>
            <w:hideMark/>
          </w:tcPr>
          <w:p w14:paraId="7201125B"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2023</w:t>
            </w:r>
          </w:p>
        </w:tc>
        <w:tc>
          <w:tcPr>
            <w:tcW w:w="612" w:type="dxa"/>
            <w:shd w:val="clear" w:color="auto" w:fill="D6E3BC" w:themeFill="accent3" w:themeFillTint="66"/>
            <w:noWrap/>
            <w:hideMark/>
          </w:tcPr>
          <w:p w14:paraId="2E2A216C"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2024</w:t>
            </w:r>
          </w:p>
        </w:tc>
        <w:tc>
          <w:tcPr>
            <w:tcW w:w="627" w:type="dxa"/>
            <w:shd w:val="clear" w:color="auto" w:fill="D6E3BC" w:themeFill="accent3" w:themeFillTint="66"/>
            <w:noWrap/>
            <w:hideMark/>
          </w:tcPr>
          <w:p w14:paraId="21510986"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2025</w:t>
            </w:r>
          </w:p>
        </w:tc>
        <w:tc>
          <w:tcPr>
            <w:tcW w:w="567" w:type="dxa"/>
            <w:shd w:val="clear" w:color="auto" w:fill="D6E3BC" w:themeFill="accent3" w:themeFillTint="66"/>
            <w:noWrap/>
            <w:hideMark/>
          </w:tcPr>
          <w:p w14:paraId="3CE712A0"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2026</w:t>
            </w:r>
          </w:p>
        </w:tc>
        <w:tc>
          <w:tcPr>
            <w:tcW w:w="567" w:type="dxa"/>
            <w:shd w:val="clear" w:color="auto" w:fill="D6E3BC" w:themeFill="accent3" w:themeFillTint="66"/>
            <w:noWrap/>
            <w:hideMark/>
          </w:tcPr>
          <w:p w14:paraId="07C25FC4"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2027</w:t>
            </w:r>
          </w:p>
        </w:tc>
        <w:tc>
          <w:tcPr>
            <w:tcW w:w="567" w:type="dxa"/>
            <w:shd w:val="clear" w:color="auto" w:fill="D6E3BC" w:themeFill="accent3" w:themeFillTint="66"/>
            <w:noWrap/>
            <w:hideMark/>
          </w:tcPr>
          <w:p w14:paraId="46E09B4C"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2028</w:t>
            </w:r>
          </w:p>
        </w:tc>
        <w:tc>
          <w:tcPr>
            <w:tcW w:w="567" w:type="dxa"/>
            <w:shd w:val="clear" w:color="auto" w:fill="D6E3BC" w:themeFill="accent3" w:themeFillTint="66"/>
            <w:noWrap/>
            <w:hideMark/>
          </w:tcPr>
          <w:p w14:paraId="31B29C2F" w14:textId="77777777" w:rsidR="00085216" w:rsidRPr="00134C61" w:rsidRDefault="00085216" w:rsidP="0009591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2029</w:t>
            </w:r>
          </w:p>
        </w:tc>
      </w:tr>
      <w:tr w:rsidR="00085216" w:rsidRPr="00134C61" w14:paraId="27C69C6E" w14:textId="77777777" w:rsidTr="00095918">
        <w:trPr>
          <w:trHeight w:val="303"/>
        </w:trPr>
        <w:tc>
          <w:tcPr>
            <w:cnfStyle w:val="001000000000" w:firstRow="0" w:lastRow="0" w:firstColumn="1" w:lastColumn="0" w:oddVBand="0" w:evenVBand="0" w:oddHBand="0" w:evenHBand="0" w:firstRowFirstColumn="0" w:firstRowLastColumn="0" w:lastRowFirstColumn="0" w:lastRowLastColumn="0"/>
            <w:tcW w:w="8861" w:type="dxa"/>
            <w:gridSpan w:val="12"/>
            <w:noWrap/>
            <w:hideMark/>
          </w:tcPr>
          <w:p w14:paraId="2B459735" w14:textId="77777777" w:rsidR="00085216" w:rsidRPr="00134C61" w:rsidRDefault="00085216" w:rsidP="00095918">
            <w:pPr>
              <w:jc w:val="center"/>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SEMAFORO VERDE</w:t>
            </w:r>
          </w:p>
        </w:tc>
      </w:tr>
      <w:tr w:rsidR="00085216" w:rsidRPr="00134C61" w14:paraId="52F433F3" w14:textId="77777777" w:rsidTr="0009591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292" w:type="dxa"/>
            <w:shd w:val="clear" w:color="auto" w:fill="D6E3BC" w:themeFill="accent3" w:themeFillTint="66"/>
            <w:noWrap/>
            <w:hideMark/>
          </w:tcPr>
          <w:p w14:paraId="096BE914" w14:textId="77777777" w:rsidR="00085216" w:rsidRPr="00134C61" w:rsidRDefault="00085216" w:rsidP="00095918">
            <w:pPr>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SOLVENCIA &lt; 40%</w:t>
            </w:r>
          </w:p>
        </w:tc>
        <w:tc>
          <w:tcPr>
            <w:tcW w:w="612" w:type="dxa"/>
            <w:shd w:val="clear" w:color="auto" w:fill="auto"/>
            <w:noWrap/>
            <w:hideMark/>
          </w:tcPr>
          <w:p w14:paraId="0BD951D3"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21.48</w:t>
            </w:r>
          </w:p>
        </w:tc>
        <w:tc>
          <w:tcPr>
            <w:tcW w:w="612" w:type="dxa"/>
            <w:shd w:val="clear" w:color="auto" w:fill="auto"/>
            <w:noWrap/>
            <w:hideMark/>
          </w:tcPr>
          <w:p w14:paraId="2B24CFEA"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15.64</w:t>
            </w:r>
          </w:p>
        </w:tc>
        <w:tc>
          <w:tcPr>
            <w:tcW w:w="612" w:type="dxa"/>
            <w:shd w:val="clear" w:color="auto" w:fill="auto"/>
            <w:noWrap/>
            <w:hideMark/>
          </w:tcPr>
          <w:p w14:paraId="3E4909B1"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12.47</w:t>
            </w:r>
          </w:p>
        </w:tc>
        <w:tc>
          <w:tcPr>
            <w:tcW w:w="612" w:type="dxa"/>
            <w:shd w:val="clear" w:color="auto" w:fill="auto"/>
            <w:noWrap/>
            <w:hideMark/>
          </w:tcPr>
          <w:p w14:paraId="1305A24C"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9.46</w:t>
            </w:r>
          </w:p>
        </w:tc>
        <w:tc>
          <w:tcPr>
            <w:tcW w:w="612" w:type="dxa"/>
            <w:shd w:val="clear" w:color="auto" w:fill="auto"/>
            <w:noWrap/>
            <w:hideMark/>
          </w:tcPr>
          <w:p w14:paraId="5A2FECAA"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6.80</w:t>
            </w:r>
          </w:p>
        </w:tc>
        <w:tc>
          <w:tcPr>
            <w:tcW w:w="612" w:type="dxa"/>
            <w:shd w:val="clear" w:color="auto" w:fill="auto"/>
            <w:noWrap/>
            <w:hideMark/>
          </w:tcPr>
          <w:p w14:paraId="7B97124A"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4.50</w:t>
            </w:r>
          </w:p>
        </w:tc>
        <w:tc>
          <w:tcPr>
            <w:tcW w:w="627" w:type="dxa"/>
            <w:shd w:val="clear" w:color="auto" w:fill="auto"/>
            <w:noWrap/>
            <w:hideMark/>
          </w:tcPr>
          <w:p w14:paraId="6DA5AD98"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2.77</w:t>
            </w:r>
          </w:p>
        </w:tc>
        <w:tc>
          <w:tcPr>
            <w:tcW w:w="567" w:type="dxa"/>
            <w:shd w:val="clear" w:color="auto" w:fill="auto"/>
            <w:noWrap/>
            <w:hideMark/>
          </w:tcPr>
          <w:p w14:paraId="0801A512"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1.55</w:t>
            </w:r>
          </w:p>
        </w:tc>
        <w:tc>
          <w:tcPr>
            <w:tcW w:w="567" w:type="dxa"/>
            <w:shd w:val="clear" w:color="auto" w:fill="auto"/>
            <w:noWrap/>
            <w:hideMark/>
          </w:tcPr>
          <w:p w14:paraId="422658F7"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0.73</w:t>
            </w:r>
          </w:p>
        </w:tc>
        <w:tc>
          <w:tcPr>
            <w:tcW w:w="567" w:type="dxa"/>
            <w:shd w:val="clear" w:color="auto" w:fill="auto"/>
            <w:noWrap/>
            <w:hideMark/>
          </w:tcPr>
          <w:p w14:paraId="542FC2C3"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0.16</w:t>
            </w:r>
          </w:p>
        </w:tc>
        <w:tc>
          <w:tcPr>
            <w:tcW w:w="567" w:type="dxa"/>
            <w:shd w:val="clear" w:color="auto" w:fill="auto"/>
            <w:noWrap/>
            <w:hideMark/>
          </w:tcPr>
          <w:p w14:paraId="474F942C" w14:textId="77777777" w:rsidR="00085216" w:rsidRPr="00134C61" w:rsidRDefault="00085216" w:rsidP="00095918">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0.03</w:t>
            </w:r>
          </w:p>
        </w:tc>
      </w:tr>
      <w:tr w:rsidR="00085216" w:rsidRPr="00134C61" w14:paraId="471F5990" w14:textId="77777777" w:rsidTr="00095918">
        <w:trPr>
          <w:trHeight w:val="303"/>
        </w:trPr>
        <w:tc>
          <w:tcPr>
            <w:cnfStyle w:val="001000000000" w:firstRow="0" w:lastRow="0" w:firstColumn="1" w:lastColumn="0" w:oddVBand="0" w:evenVBand="0" w:oddHBand="0" w:evenHBand="0" w:firstRowFirstColumn="0" w:firstRowLastColumn="0" w:lastRowFirstColumn="0" w:lastRowLastColumn="0"/>
            <w:tcW w:w="2292" w:type="dxa"/>
            <w:shd w:val="clear" w:color="auto" w:fill="D6E3BC" w:themeFill="accent3" w:themeFillTint="66"/>
            <w:noWrap/>
            <w:hideMark/>
          </w:tcPr>
          <w:p w14:paraId="7D79D48E" w14:textId="77777777" w:rsidR="00085216" w:rsidRPr="00134C61" w:rsidRDefault="00085216" w:rsidP="00095918">
            <w:pPr>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SOSTENIBILIDAD&lt; 80%</w:t>
            </w:r>
          </w:p>
        </w:tc>
        <w:tc>
          <w:tcPr>
            <w:tcW w:w="612" w:type="dxa"/>
            <w:shd w:val="clear" w:color="auto" w:fill="auto"/>
            <w:noWrap/>
            <w:hideMark/>
          </w:tcPr>
          <w:p w14:paraId="45DC3F46"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51.77</w:t>
            </w:r>
          </w:p>
        </w:tc>
        <w:tc>
          <w:tcPr>
            <w:tcW w:w="612" w:type="dxa"/>
            <w:shd w:val="clear" w:color="auto" w:fill="auto"/>
            <w:noWrap/>
            <w:hideMark/>
          </w:tcPr>
          <w:p w14:paraId="2D744BA7"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51.52</w:t>
            </w:r>
          </w:p>
        </w:tc>
        <w:tc>
          <w:tcPr>
            <w:tcW w:w="612" w:type="dxa"/>
            <w:shd w:val="clear" w:color="auto" w:fill="auto"/>
            <w:noWrap/>
            <w:hideMark/>
          </w:tcPr>
          <w:p w14:paraId="61871CBC"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38.86</w:t>
            </w:r>
          </w:p>
        </w:tc>
        <w:tc>
          <w:tcPr>
            <w:tcW w:w="612" w:type="dxa"/>
            <w:shd w:val="clear" w:color="auto" w:fill="auto"/>
            <w:noWrap/>
            <w:hideMark/>
          </w:tcPr>
          <w:p w14:paraId="176634B0"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27.80</w:t>
            </w:r>
          </w:p>
        </w:tc>
        <w:tc>
          <w:tcPr>
            <w:tcW w:w="612" w:type="dxa"/>
            <w:shd w:val="clear" w:color="auto" w:fill="auto"/>
            <w:noWrap/>
            <w:hideMark/>
          </w:tcPr>
          <w:p w14:paraId="46FFF5FD"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17.90</w:t>
            </w:r>
          </w:p>
        </w:tc>
        <w:tc>
          <w:tcPr>
            <w:tcW w:w="612" w:type="dxa"/>
            <w:shd w:val="clear" w:color="auto" w:fill="auto"/>
            <w:noWrap/>
            <w:hideMark/>
          </w:tcPr>
          <w:p w14:paraId="648CD1A3"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10.01</w:t>
            </w:r>
          </w:p>
        </w:tc>
        <w:tc>
          <w:tcPr>
            <w:tcW w:w="627" w:type="dxa"/>
            <w:shd w:val="clear" w:color="auto" w:fill="auto"/>
            <w:noWrap/>
            <w:hideMark/>
          </w:tcPr>
          <w:p w14:paraId="0953352E"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4.17</w:t>
            </w:r>
          </w:p>
        </w:tc>
        <w:tc>
          <w:tcPr>
            <w:tcW w:w="567" w:type="dxa"/>
            <w:shd w:val="clear" w:color="auto" w:fill="auto"/>
            <w:noWrap/>
            <w:hideMark/>
          </w:tcPr>
          <w:p w14:paraId="582BECD1"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0.94</w:t>
            </w:r>
          </w:p>
        </w:tc>
        <w:tc>
          <w:tcPr>
            <w:tcW w:w="567" w:type="dxa"/>
            <w:shd w:val="clear" w:color="auto" w:fill="auto"/>
            <w:noWrap/>
            <w:hideMark/>
          </w:tcPr>
          <w:p w14:paraId="2828F63A"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0.93</w:t>
            </w:r>
          </w:p>
        </w:tc>
        <w:tc>
          <w:tcPr>
            <w:tcW w:w="567" w:type="dxa"/>
            <w:shd w:val="clear" w:color="auto" w:fill="auto"/>
            <w:noWrap/>
            <w:hideMark/>
          </w:tcPr>
          <w:p w14:paraId="467AE2EA"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0.90</w:t>
            </w:r>
          </w:p>
        </w:tc>
        <w:tc>
          <w:tcPr>
            <w:tcW w:w="567" w:type="dxa"/>
            <w:shd w:val="clear" w:color="auto" w:fill="auto"/>
            <w:noWrap/>
            <w:hideMark/>
          </w:tcPr>
          <w:p w14:paraId="73600EA9" w14:textId="77777777" w:rsidR="00085216" w:rsidRPr="00134C61" w:rsidRDefault="00085216" w:rsidP="00095918">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134C61">
              <w:rPr>
                <w:rFonts w:ascii="Century Gothic" w:eastAsia="Times New Roman" w:hAnsi="Century Gothic" w:cs="Arial"/>
                <w:color w:val="000000" w:themeColor="text1"/>
                <w:sz w:val="16"/>
                <w:szCs w:val="16"/>
              </w:rPr>
              <w:t>0.01</w:t>
            </w:r>
          </w:p>
        </w:tc>
      </w:tr>
    </w:tbl>
    <w:p w14:paraId="3EA72DA3" w14:textId="730FE22F" w:rsidR="00355336" w:rsidRPr="00134C61" w:rsidRDefault="007C7E2A" w:rsidP="007C7E2A">
      <w:pPr>
        <w:widowControl w:val="0"/>
        <w:jc w:val="center"/>
        <w:rPr>
          <w:rFonts w:ascii="Century Gothic" w:hAnsi="Century Gothic"/>
          <w:sz w:val="20"/>
          <w:lang w:val="es-ES"/>
        </w:rPr>
      </w:pPr>
      <w:r w:rsidRPr="00134C61">
        <w:rPr>
          <w:rFonts w:ascii="Century Gothic" w:hAnsi="Century Gothic"/>
          <w:sz w:val="20"/>
          <w:lang w:val="es-ES"/>
        </w:rPr>
        <w:t>Fuen</w:t>
      </w:r>
      <w:r w:rsidR="001F26FF" w:rsidRPr="00134C61">
        <w:rPr>
          <w:rFonts w:ascii="Century Gothic" w:hAnsi="Century Gothic"/>
          <w:sz w:val="20"/>
          <w:lang w:val="es-ES"/>
        </w:rPr>
        <w:t>te: Secretaría de Hacienda, 2018</w:t>
      </w:r>
    </w:p>
    <w:p w14:paraId="719EB747" w14:textId="25E03217" w:rsidR="001F26FF" w:rsidRPr="003C1733" w:rsidRDefault="00085216" w:rsidP="001F26FF">
      <w:pPr>
        <w:widowControl w:val="0"/>
        <w:jc w:val="both"/>
        <w:rPr>
          <w:rFonts w:ascii="Century Gothic" w:hAnsi="Century Gothic"/>
          <w:lang w:val="es-ES"/>
        </w:rPr>
      </w:pPr>
      <w:r w:rsidRPr="003C1733">
        <w:rPr>
          <w:rFonts w:ascii="Century Gothic" w:hAnsi="Century Gothic"/>
          <w:lang w:val="es-ES"/>
        </w:rPr>
        <w:t>El indicador de solvencia, durante el horizonte de proyección 2019–2029, presenta un comportamiento que mejora la capacidad de pago, sin comprometer el cumplimiento del límite del 40 por ciento, establecido en la Ley 358 de 1997.</w:t>
      </w:r>
    </w:p>
    <w:p w14:paraId="3357D039" w14:textId="288F23FF" w:rsidR="00355336" w:rsidRPr="003C1733" w:rsidRDefault="001F26FF" w:rsidP="001F26FF">
      <w:pPr>
        <w:widowControl w:val="0"/>
        <w:jc w:val="both"/>
        <w:rPr>
          <w:rFonts w:ascii="Century Gothic" w:hAnsi="Century Gothic"/>
          <w:lang w:val="es-ES"/>
        </w:rPr>
      </w:pPr>
      <w:r w:rsidRPr="003C1733">
        <w:rPr>
          <w:rFonts w:ascii="Century Gothic" w:hAnsi="Century Gothic"/>
          <w:lang w:val="es-ES"/>
        </w:rPr>
        <w:t>Por su parte, en el período de proyección, el indicador de sost</w:t>
      </w:r>
      <w:r w:rsidR="003C1733" w:rsidRPr="003C1733">
        <w:rPr>
          <w:rFonts w:ascii="Century Gothic" w:hAnsi="Century Gothic"/>
          <w:lang w:val="es-ES"/>
        </w:rPr>
        <w:t>enibilidad se mantiene entre 48,</w:t>
      </w:r>
      <w:r w:rsidRPr="003C1733">
        <w:rPr>
          <w:rFonts w:ascii="Century Gothic" w:hAnsi="Century Gothic"/>
          <w:lang w:val="es-ES"/>
        </w:rPr>
        <w:t>37</w:t>
      </w:r>
      <w:r w:rsidR="00AA639F" w:rsidRPr="003C1733">
        <w:rPr>
          <w:rFonts w:ascii="Century Gothic" w:hAnsi="Century Gothic"/>
          <w:lang w:val="es-ES"/>
        </w:rPr>
        <w:t xml:space="preserve"> por ciento</w:t>
      </w:r>
      <w:r w:rsidR="003C1733" w:rsidRPr="003C1733">
        <w:rPr>
          <w:rFonts w:ascii="Century Gothic" w:hAnsi="Century Gothic"/>
          <w:lang w:val="es-ES"/>
        </w:rPr>
        <w:t xml:space="preserve"> y 54,</w:t>
      </w:r>
      <w:r w:rsidRPr="003C1733">
        <w:rPr>
          <w:rFonts w:ascii="Century Gothic" w:hAnsi="Century Gothic"/>
          <w:lang w:val="es-ES"/>
        </w:rPr>
        <w:t>43</w:t>
      </w:r>
      <w:r w:rsidR="00AA639F" w:rsidRPr="003C1733">
        <w:rPr>
          <w:rFonts w:ascii="Century Gothic" w:hAnsi="Century Gothic"/>
          <w:lang w:val="es-ES"/>
        </w:rPr>
        <w:t xml:space="preserve"> por ciento</w:t>
      </w:r>
      <w:r w:rsidR="003C1733" w:rsidRPr="003C1733">
        <w:rPr>
          <w:rFonts w:ascii="Century Gothic" w:hAnsi="Century Gothic"/>
          <w:lang w:val="es-ES"/>
        </w:rPr>
        <w:t>,</w:t>
      </w:r>
      <w:r w:rsidRPr="003C1733">
        <w:rPr>
          <w:rFonts w:ascii="Century Gothic" w:hAnsi="Century Gothic"/>
          <w:lang w:val="es-ES"/>
        </w:rPr>
        <w:t xml:space="preserve"> alcanzando un mayor incremento en el 2019 por efecto de la autorización de vigencias futuras y nuevos desembolsos, sin embargo, asegura el cumplimiento del límite de 80</w:t>
      </w:r>
      <w:r w:rsidR="00AA639F" w:rsidRPr="003C1733">
        <w:rPr>
          <w:rFonts w:ascii="Century Gothic" w:hAnsi="Century Gothic"/>
          <w:lang w:val="es-ES"/>
        </w:rPr>
        <w:t xml:space="preserve"> por ciento</w:t>
      </w:r>
      <w:r w:rsidRPr="003C1733">
        <w:rPr>
          <w:rFonts w:ascii="Century Gothic" w:hAnsi="Century Gothic"/>
          <w:lang w:val="es-ES"/>
        </w:rPr>
        <w:t>, establecido en la Ley 358 de 1997.</w:t>
      </w:r>
    </w:p>
    <w:p w14:paraId="4ADBE4F6" w14:textId="77777777" w:rsidR="00677466" w:rsidRPr="003C1733" w:rsidRDefault="003F73B9" w:rsidP="001F26FF">
      <w:pPr>
        <w:pStyle w:val="Ttulo1"/>
        <w:rPr>
          <w:lang w:val="es-ES"/>
        </w:rPr>
      </w:pPr>
      <w:bookmarkStart w:id="128" w:name="_Toc532565955"/>
      <w:r w:rsidRPr="003C1733">
        <w:rPr>
          <w:lang w:val="es-ES"/>
        </w:rPr>
        <w:t>Ahorro operacional</w:t>
      </w:r>
      <w:r w:rsidR="00FC65DE" w:rsidRPr="003C1733">
        <w:rPr>
          <w:lang w:val="es-ES"/>
        </w:rPr>
        <w:t>.</w:t>
      </w:r>
      <w:bookmarkEnd w:id="128"/>
    </w:p>
    <w:p w14:paraId="77B36A82" w14:textId="6852A743" w:rsidR="001F26FF" w:rsidRPr="003C1733" w:rsidRDefault="003C1733" w:rsidP="001F26FF">
      <w:pPr>
        <w:jc w:val="both"/>
        <w:rPr>
          <w:rFonts w:ascii="Century Gothic" w:hAnsi="Century Gothic" w:cs="Arial"/>
          <w:lang w:val="es-ES" w:eastAsia="es-ES"/>
        </w:rPr>
      </w:pPr>
      <w:r w:rsidRPr="003C1733">
        <w:rPr>
          <w:rFonts w:ascii="Century Gothic" w:hAnsi="Century Gothic" w:cs="Arial"/>
          <w:lang w:val="es-ES" w:eastAsia="es-ES"/>
        </w:rPr>
        <w:t>P</w:t>
      </w:r>
      <w:r w:rsidR="001F26FF" w:rsidRPr="003C1733">
        <w:rPr>
          <w:rFonts w:ascii="Century Gothic" w:hAnsi="Century Gothic" w:cs="Arial"/>
          <w:lang w:val="es-ES" w:eastAsia="es-ES"/>
        </w:rPr>
        <w:t>ermite medir el potencial de recursos, con que cuenta el municipio, para atender el servicio de la deuda y los proyectos de inversión, una vez cubiertos los gastos fijos; es el resultado de restar de los ingresos corrientes, los gastos de funcionamiento y las transferencias pagadas por el municipio.</w:t>
      </w:r>
    </w:p>
    <w:p w14:paraId="1750E18A" w14:textId="3AB2A1EA" w:rsidR="00E74FB1" w:rsidRDefault="001F26FF" w:rsidP="001F26FF">
      <w:pPr>
        <w:jc w:val="both"/>
        <w:rPr>
          <w:rFonts w:ascii="Century Gothic" w:hAnsi="Century Gothic" w:cs="Arial"/>
          <w:lang w:val="es-ES" w:eastAsia="es-ES"/>
        </w:rPr>
      </w:pPr>
      <w:r w:rsidRPr="003C1733">
        <w:rPr>
          <w:rFonts w:ascii="Century Gothic" w:hAnsi="Century Gothic" w:cs="Arial"/>
          <w:lang w:val="es-ES" w:eastAsia="es-ES"/>
        </w:rPr>
        <w:t>En consecuencia el ahorro operacional proyectado es el siguiente:</w:t>
      </w:r>
    </w:p>
    <w:p w14:paraId="71FA60E0" w14:textId="77777777" w:rsidR="00E74FB1" w:rsidRDefault="00E74FB1">
      <w:pPr>
        <w:rPr>
          <w:rFonts w:ascii="Century Gothic" w:hAnsi="Century Gothic" w:cs="Arial"/>
          <w:lang w:val="es-ES" w:eastAsia="es-ES"/>
        </w:rPr>
      </w:pPr>
      <w:r>
        <w:rPr>
          <w:rFonts w:ascii="Century Gothic" w:hAnsi="Century Gothic" w:cs="Arial"/>
          <w:lang w:val="es-ES" w:eastAsia="es-ES"/>
        </w:rPr>
        <w:br w:type="page"/>
      </w:r>
    </w:p>
    <w:p w14:paraId="14E9383D" w14:textId="4E199F7A" w:rsidR="00677466" w:rsidRPr="003C1733" w:rsidRDefault="00677466" w:rsidP="001F26FF">
      <w:pPr>
        <w:pStyle w:val="Epgrafe"/>
        <w:spacing w:after="0" w:line="276" w:lineRule="auto"/>
        <w:jc w:val="center"/>
        <w:rPr>
          <w:rFonts w:ascii="Century Gothic" w:hAnsi="Century Gothic" w:cs="Arial"/>
          <w:b w:val="0"/>
          <w:color w:val="auto"/>
          <w:sz w:val="22"/>
          <w:szCs w:val="22"/>
          <w:lang w:val="es-ES" w:eastAsia="es-ES"/>
        </w:rPr>
      </w:pPr>
      <w:bookmarkStart w:id="129" w:name="_Toc532570554"/>
      <w:bookmarkStart w:id="130" w:name="_GoBack"/>
      <w:bookmarkEnd w:id="130"/>
      <w:r w:rsidRPr="003C1733">
        <w:rPr>
          <w:rFonts w:ascii="Century Gothic" w:hAnsi="Century Gothic"/>
          <w:b w:val="0"/>
          <w:color w:val="auto"/>
          <w:sz w:val="22"/>
          <w:szCs w:val="22"/>
          <w:lang w:val="es-ES"/>
        </w:rPr>
        <w:lastRenderedPageBreak/>
        <w:t xml:space="preserve">Tabla </w:t>
      </w:r>
      <w:r w:rsidR="00A83A24" w:rsidRPr="003C1733">
        <w:rPr>
          <w:rFonts w:ascii="Century Gothic" w:hAnsi="Century Gothic"/>
          <w:b w:val="0"/>
          <w:color w:val="auto"/>
          <w:sz w:val="22"/>
          <w:szCs w:val="22"/>
          <w:lang w:val="es-ES"/>
        </w:rPr>
        <w:fldChar w:fldCharType="begin"/>
      </w:r>
      <w:r w:rsidRPr="003C1733">
        <w:rPr>
          <w:rFonts w:ascii="Century Gothic" w:hAnsi="Century Gothic"/>
          <w:b w:val="0"/>
          <w:color w:val="auto"/>
          <w:sz w:val="22"/>
          <w:szCs w:val="22"/>
          <w:lang w:val="es-ES"/>
        </w:rPr>
        <w:instrText xml:space="preserve"> SEQ Tabla \* ARABIC </w:instrText>
      </w:r>
      <w:r w:rsidR="00A83A24" w:rsidRPr="003C1733">
        <w:rPr>
          <w:rFonts w:ascii="Century Gothic" w:hAnsi="Century Gothic"/>
          <w:b w:val="0"/>
          <w:color w:val="auto"/>
          <w:sz w:val="22"/>
          <w:szCs w:val="22"/>
          <w:lang w:val="es-ES"/>
        </w:rPr>
        <w:fldChar w:fldCharType="separate"/>
      </w:r>
      <w:r w:rsidR="00934BA3" w:rsidRPr="003C1733">
        <w:rPr>
          <w:rFonts w:ascii="Century Gothic" w:hAnsi="Century Gothic"/>
          <w:b w:val="0"/>
          <w:noProof/>
          <w:color w:val="auto"/>
          <w:sz w:val="22"/>
          <w:szCs w:val="22"/>
          <w:lang w:val="es-ES"/>
        </w:rPr>
        <w:t>63</w:t>
      </w:r>
      <w:r w:rsidR="00A83A24" w:rsidRPr="003C1733">
        <w:rPr>
          <w:rFonts w:ascii="Century Gothic" w:hAnsi="Century Gothic"/>
          <w:b w:val="0"/>
          <w:color w:val="auto"/>
          <w:sz w:val="22"/>
          <w:szCs w:val="22"/>
          <w:lang w:val="es-ES"/>
        </w:rPr>
        <w:fldChar w:fldCharType="end"/>
      </w:r>
      <w:r w:rsidRPr="003C1733">
        <w:rPr>
          <w:rFonts w:ascii="Century Gothic" w:hAnsi="Century Gothic"/>
          <w:b w:val="0"/>
          <w:color w:val="auto"/>
          <w:sz w:val="22"/>
          <w:szCs w:val="22"/>
          <w:lang w:val="es-ES"/>
        </w:rPr>
        <w:t>. Ahorro operacional = ingresos</w:t>
      </w:r>
      <w:r w:rsidR="00D504DE" w:rsidRPr="003C1733">
        <w:rPr>
          <w:rFonts w:ascii="Century Gothic" w:hAnsi="Century Gothic"/>
          <w:b w:val="0"/>
          <w:color w:val="auto"/>
          <w:sz w:val="22"/>
          <w:szCs w:val="22"/>
          <w:lang w:val="es-ES"/>
        </w:rPr>
        <w:t xml:space="preserve"> corrientes</w:t>
      </w:r>
      <w:r w:rsidRPr="003C1733">
        <w:rPr>
          <w:rFonts w:ascii="Century Gothic" w:hAnsi="Century Gothic"/>
          <w:b w:val="0"/>
          <w:color w:val="auto"/>
          <w:sz w:val="22"/>
          <w:szCs w:val="22"/>
          <w:lang w:val="es-ES"/>
        </w:rPr>
        <w:t xml:space="preserve"> – Gastos de funcionamiento</w:t>
      </w:r>
      <w:bookmarkEnd w:id="129"/>
    </w:p>
    <w:tbl>
      <w:tblPr>
        <w:tblStyle w:val="Tablaconcuadrcula4-nfasis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
        <w:gridCol w:w="708"/>
        <w:gridCol w:w="710"/>
        <w:gridCol w:w="710"/>
        <w:gridCol w:w="712"/>
        <w:gridCol w:w="712"/>
        <w:gridCol w:w="710"/>
        <w:gridCol w:w="849"/>
        <w:gridCol w:w="849"/>
        <w:gridCol w:w="853"/>
        <w:gridCol w:w="858"/>
      </w:tblGrid>
      <w:tr w:rsidR="00085216" w:rsidRPr="003C1733" w14:paraId="2B02FA10" w14:textId="77777777" w:rsidTr="006C400F">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000" w:type="pct"/>
            <w:gridSpan w:val="12"/>
            <w:tcBorders>
              <w:top w:val="none" w:sz="0" w:space="0" w:color="auto"/>
              <w:left w:val="none" w:sz="0" w:space="0" w:color="auto"/>
              <w:bottom w:val="none" w:sz="0" w:space="0" w:color="auto"/>
              <w:right w:val="none" w:sz="0" w:space="0" w:color="auto"/>
            </w:tcBorders>
            <w:shd w:val="clear" w:color="auto" w:fill="C2D69B" w:themeFill="accent3" w:themeFillTint="99"/>
            <w:noWrap/>
            <w:vAlign w:val="center"/>
            <w:hideMark/>
          </w:tcPr>
          <w:p w14:paraId="7FBA595B" w14:textId="77777777" w:rsidR="00085216" w:rsidRPr="003C1733" w:rsidRDefault="00085216" w:rsidP="00095918">
            <w:pPr>
              <w:jc w:val="center"/>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Ahorro operacional = ingresos corrientes - gastos de funcionamiento</w:t>
            </w:r>
          </w:p>
        </w:tc>
      </w:tr>
      <w:tr w:rsidR="006C400F" w:rsidRPr="003C1733" w14:paraId="3C154B55" w14:textId="77777777" w:rsidTr="006C400F">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73" w:type="pct"/>
            <w:vMerge w:val="restart"/>
            <w:shd w:val="clear" w:color="auto" w:fill="C2D69B" w:themeFill="accent3" w:themeFillTint="99"/>
            <w:noWrap/>
            <w:textDirection w:val="btLr"/>
            <w:vAlign w:val="center"/>
            <w:hideMark/>
          </w:tcPr>
          <w:p w14:paraId="2C3FF0FC" w14:textId="2C1B6215" w:rsidR="00085216" w:rsidRPr="003C1733" w:rsidRDefault="00085216" w:rsidP="006C400F">
            <w:pPr>
              <w:ind w:left="113" w:right="113"/>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Ahorro operacional</w:t>
            </w:r>
          </w:p>
        </w:tc>
        <w:tc>
          <w:tcPr>
            <w:tcW w:w="391" w:type="pct"/>
            <w:shd w:val="clear" w:color="auto" w:fill="D6E3BC" w:themeFill="accent3" w:themeFillTint="66"/>
            <w:noWrap/>
            <w:vAlign w:val="center"/>
            <w:hideMark/>
          </w:tcPr>
          <w:p w14:paraId="2C0CBDBA"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2019</w:t>
            </w:r>
          </w:p>
        </w:tc>
        <w:tc>
          <w:tcPr>
            <w:tcW w:w="391" w:type="pct"/>
            <w:shd w:val="clear" w:color="auto" w:fill="D6E3BC" w:themeFill="accent3" w:themeFillTint="66"/>
            <w:noWrap/>
            <w:vAlign w:val="center"/>
            <w:hideMark/>
          </w:tcPr>
          <w:p w14:paraId="7FD75BAA"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2020</w:t>
            </w:r>
          </w:p>
        </w:tc>
        <w:tc>
          <w:tcPr>
            <w:tcW w:w="392" w:type="pct"/>
            <w:shd w:val="clear" w:color="auto" w:fill="D6E3BC" w:themeFill="accent3" w:themeFillTint="66"/>
            <w:noWrap/>
            <w:vAlign w:val="center"/>
            <w:hideMark/>
          </w:tcPr>
          <w:p w14:paraId="03E47376"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2021</w:t>
            </w:r>
          </w:p>
        </w:tc>
        <w:tc>
          <w:tcPr>
            <w:tcW w:w="392" w:type="pct"/>
            <w:shd w:val="clear" w:color="auto" w:fill="D6E3BC" w:themeFill="accent3" w:themeFillTint="66"/>
            <w:noWrap/>
            <w:vAlign w:val="center"/>
            <w:hideMark/>
          </w:tcPr>
          <w:p w14:paraId="6E2E1C27"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2022</w:t>
            </w:r>
          </w:p>
        </w:tc>
        <w:tc>
          <w:tcPr>
            <w:tcW w:w="393" w:type="pct"/>
            <w:shd w:val="clear" w:color="auto" w:fill="D6E3BC" w:themeFill="accent3" w:themeFillTint="66"/>
            <w:noWrap/>
            <w:vAlign w:val="center"/>
            <w:hideMark/>
          </w:tcPr>
          <w:p w14:paraId="79FAFD66"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2023</w:t>
            </w:r>
          </w:p>
        </w:tc>
        <w:tc>
          <w:tcPr>
            <w:tcW w:w="393" w:type="pct"/>
            <w:shd w:val="clear" w:color="auto" w:fill="D6E3BC" w:themeFill="accent3" w:themeFillTint="66"/>
            <w:noWrap/>
            <w:vAlign w:val="center"/>
            <w:hideMark/>
          </w:tcPr>
          <w:p w14:paraId="2CD82E36"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2024</w:t>
            </w:r>
          </w:p>
        </w:tc>
        <w:tc>
          <w:tcPr>
            <w:tcW w:w="392" w:type="pct"/>
            <w:shd w:val="clear" w:color="auto" w:fill="D6E3BC" w:themeFill="accent3" w:themeFillTint="66"/>
            <w:noWrap/>
            <w:vAlign w:val="center"/>
            <w:hideMark/>
          </w:tcPr>
          <w:p w14:paraId="7C71A6B4"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2025</w:t>
            </w:r>
          </w:p>
        </w:tc>
        <w:tc>
          <w:tcPr>
            <w:tcW w:w="469" w:type="pct"/>
            <w:shd w:val="clear" w:color="auto" w:fill="D6E3BC" w:themeFill="accent3" w:themeFillTint="66"/>
            <w:noWrap/>
            <w:vAlign w:val="center"/>
            <w:hideMark/>
          </w:tcPr>
          <w:p w14:paraId="2F154678"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2026</w:t>
            </w:r>
          </w:p>
        </w:tc>
        <w:tc>
          <w:tcPr>
            <w:tcW w:w="469" w:type="pct"/>
            <w:shd w:val="clear" w:color="auto" w:fill="D6E3BC" w:themeFill="accent3" w:themeFillTint="66"/>
            <w:noWrap/>
            <w:vAlign w:val="center"/>
            <w:hideMark/>
          </w:tcPr>
          <w:p w14:paraId="5E3D45D4"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2027</w:t>
            </w:r>
          </w:p>
        </w:tc>
        <w:tc>
          <w:tcPr>
            <w:tcW w:w="471" w:type="pct"/>
            <w:shd w:val="clear" w:color="auto" w:fill="D6E3BC" w:themeFill="accent3" w:themeFillTint="66"/>
            <w:noWrap/>
            <w:vAlign w:val="center"/>
            <w:hideMark/>
          </w:tcPr>
          <w:p w14:paraId="6FACC6DB"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2028</w:t>
            </w:r>
          </w:p>
        </w:tc>
        <w:tc>
          <w:tcPr>
            <w:tcW w:w="474" w:type="pct"/>
            <w:shd w:val="clear" w:color="auto" w:fill="D6E3BC" w:themeFill="accent3" w:themeFillTint="66"/>
            <w:noWrap/>
            <w:vAlign w:val="center"/>
            <w:hideMark/>
          </w:tcPr>
          <w:p w14:paraId="5255AE87" w14:textId="77777777" w:rsidR="00085216" w:rsidRPr="003C1733" w:rsidRDefault="00085216" w:rsidP="006C400F">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color w:val="000000" w:themeColor="text1"/>
                <w:sz w:val="16"/>
                <w:szCs w:val="16"/>
              </w:rPr>
            </w:pPr>
            <w:r w:rsidRPr="003C1733">
              <w:rPr>
                <w:rFonts w:ascii="Century Gothic" w:eastAsia="Times New Roman" w:hAnsi="Century Gothic" w:cs="Arial"/>
                <w:b/>
                <w:color w:val="000000" w:themeColor="text1"/>
                <w:sz w:val="16"/>
                <w:szCs w:val="16"/>
              </w:rPr>
              <w:t>2029</w:t>
            </w:r>
          </w:p>
        </w:tc>
      </w:tr>
      <w:tr w:rsidR="006C400F" w:rsidRPr="003C1733" w14:paraId="76385AD2" w14:textId="77777777" w:rsidTr="006C400F">
        <w:trPr>
          <w:trHeight w:val="552"/>
        </w:trPr>
        <w:tc>
          <w:tcPr>
            <w:cnfStyle w:val="001000000000" w:firstRow="0" w:lastRow="0" w:firstColumn="1" w:lastColumn="0" w:oddVBand="0" w:evenVBand="0" w:oddHBand="0" w:evenHBand="0" w:firstRowFirstColumn="0" w:firstRowLastColumn="0" w:lastRowFirstColumn="0" w:lastRowLastColumn="0"/>
            <w:tcW w:w="373" w:type="pct"/>
            <w:vMerge/>
            <w:shd w:val="clear" w:color="auto" w:fill="C2D69B" w:themeFill="accent3" w:themeFillTint="99"/>
            <w:noWrap/>
            <w:hideMark/>
          </w:tcPr>
          <w:p w14:paraId="17F7D100" w14:textId="77777777" w:rsidR="00085216" w:rsidRPr="003C1733" w:rsidRDefault="00085216" w:rsidP="00095918">
            <w:pPr>
              <w:rPr>
                <w:rFonts w:ascii="Century Gothic" w:eastAsia="Times New Roman" w:hAnsi="Century Gothic" w:cs="Arial"/>
                <w:color w:val="000000" w:themeColor="text1"/>
                <w:sz w:val="16"/>
                <w:szCs w:val="16"/>
              </w:rPr>
            </w:pPr>
          </w:p>
        </w:tc>
        <w:tc>
          <w:tcPr>
            <w:tcW w:w="391" w:type="pct"/>
            <w:noWrap/>
            <w:vAlign w:val="center"/>
            <w:hideMark/>
          </w:tcPr>
          <w:p w14:paraId="1919ADAA" w14:textId="51E56671"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48.918</w:t>
            </w:r>
          </w:p>
        </w:tc>
        <w:tc>
          <w:tcPr>
            <w:tcW w:w="391" w:type="pct"/>
            <w:noWrap/>
            <w:vAlign w:val="center"/>
            <w:hideMark/>
          </w:tcPr>
          <w:p w14:paraId="0928233C" w14:textId="6897D52A"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66.190</w:t>
            </w:r>
          </w:p>
        </w:tc>
        <w:tc>
          <w:tcPr>
            <w:tcW w:w="392" w:type="pct"/>
            <w:noWrap/>
            <w:vAlign w:val="center"/>
            <w:hideMark/>
          </w:tcPr>
          <w:p w14:paraId="63DC6B6B" w14:textId="23D99D7A"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71.073</w:t>
            </w:r>
          </w:p>
        </w:tc>
        <w:tc>
          <w:tcPr>
            <w:tcW w:w="392" w:type="pct"/>
            <w:noWrap/>
            <w:vAlign w:val="center"/>
            <w:hideMark/>
          </w:tcPr>
          <w:p w14:paraId="1A11D1AC" w14:textId="6E7B1667"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76.617</w:t>
            </w:r>
          </w:p>
        </w:tc>
        <w:tc>
          <w:tcPr>
            <w:tcW w:w="393" w:type="pct"/>
            <w:noWrap/>
            <w:vAlign w:val="center"/>
            <w:hideMark/>
          </w:tcPr>
          <w:p w14:paraId="38A5793E" w14:textId="03175965"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83.382</w:t>
            </w:r>
          </w:p>
        </w:tc>
        <w:tc>
          <w:tcPr>
            <w:tcW w:w="393" w:type="pct"/>
            <w:noWrap/>
            <w:vAlign w:val="center"/>
            <w:hideMark/>
          </w:tcPr>
          <w:p w14:paraId="3F291D7C" w14:textId="31CD216D"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91.321</w:t>
            </w:r>
          </w:p>
        </w:tc>
        <w:tc>
          <w:tcPr>
            <w:tcW w:w="392" w:type="pct"/>
            <w:noWrap/>
            <w:vAlign w:val="center"/>
            <w:hideMark/>
          </w:tcPr>
          <w:p w14:paraId="275CEF59" w14:textId="77777777"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99.868</w:t>
            </w:r>
          </w:p>
        </w:tc>
        <w:tc>
          <w:tcPr>
            <w:tcW w:w="469" w:type="pct"/>
            <w:noWrap/>
            <w:vAlign w:val="center"/>
            <w:hideMark/>
          </w:tcPr>
          <w:p w14:paraId="3356DFE2" w14:textId="77777777"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109.612</w:t>
            </w:r>
          </w:p>
        </w:tc>
        <w:tc>
          <w:tcPr>
            <w:tcW w:w="469" w:type="pct"/>
            <w:noWrap/>
            <w:vAlign w:val="center"/>
            <w:hideMark/>
          </w:tcPr>
          <w:p w14:paraId="26D79D92" w14:textId="2588331C"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120.255</w:t>
            </w:r>
          </w:p>
        </w:tc>
        <w:tc>
          <w:tcPr>
            <w:tcW w:w="471" w:type="pct"/>
            <w:noWrap/>
            <w:vAlign w:val="center"/>
            <w:hideMark/>
          </w:tcPr>
          <w:p w14:paraId="38C4B3EB" w14:textId="751D81D9"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132.574</w:t>
            </w:r>
          </w:p>
        </w:tc>
        <w:tc>
          <w:tcPr>
            <w:tcW w:w="474" w:type="pct"/>
            <w:noWrap/>
            <w:vAlign w:val="center"/>
            <w:hideMark/>
          </w:tcPr>
          <w:p w14:paraId="6D371BF4" w14:textId="080B6962" w:rsidR="00085216" w:rsidRPr="003C1733" w:rsidRDefault="00085216" w:rsidP="006C400F">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themeColor="text1"/>
                <w:sz w:val="16"/>
                <w:szCs w:val="16"/>
              </w:rPr>
            </w:pPr>
            <w:r w:rsidRPr="003C1733">
              <w:rPr>
                <w:rFonts w:ascii="Century Gothic" w:eastAsia="Times New Roman" w:hAnsi="Century Gothic" w:cs="Arial"/>
                <w:color w:val="000000" w:themeColor="text1"/>
                <w:sz w:val="16"/>
                <w:szCs w:val="16"/>
              </w:rPr>
              <w:t>146.630</w:t>
            </w:r>
          </w:p>
        </w:tc>
      </w:tr>
    </w:tbl>
    <w:p w14:paraId="10EC37F8" w14:textId="116F0D35" w:rsidR="00957A51" w:rsidRPr="003C1733" w:rsidRDefault="00957A51" w:rsidP="00552486">
      <w:pPr>
        <w:widowControl w:val="0"/>
        <w:jc w:val="center"/>
        <w:rPr>
          <w:rFonts w:ascii="Century Gothic" w:hAnsi="Century Gothic"/>
          <w:sz w:val="20"/>
          <w:lang w:val="es-ES"/>
        </w:rPr>
      </w:pPr>
      <w:r w:rsidRPr="003C1733">
        <w:rPr>
          <w:rFonts w:ascii="Century Gothic" w:hAnsi="Century Gothic"/>
          <w:sz w:val="20"/>
          <w:lang w:val="es-ES"/>
        </w:rPr>
        <w:t>Fuente: Secretar</w:t>
      </w:r>
      <w:r w:rsidR="001F26FF" w:rsidRPr="003C1733">
        <w:rPr>
          <w:rFonts w:ascii="Century Gothic" w:hAnsi="Century Gothic"/>
          <w:sz w:val="20"/>
          <w:lang w:val="es-ES"/>
        </w:rPr>
        <w:t>ía de Hacienda, 2018</w:t>
      </w:r>
    </w:p>
    <w:p w14:paraId="1A56C842" w14:textId="77777777" w:rsidR="003C01E5" w:rsidRPr="003C1733" w:rsidRDefault="003F73B9" w:rsidP="0016186A">
      <w:pPr>
        <w:pStyle w:val="Ttulo1"/>
      </w:pPr>
      <w:bookmarkStart w:id="131" w:name="_Toc532565956"/>
      <w:r w:rsidRPr="003C1733">
        <w:rPr>
          <w:rStyle w:val="Ttulo1Car"/>
          <w:b/>
          <w:bCs/>
        </w:rPr>
        <w:t>Acciones y medidas específicas</w:t>
      </w:r>
      <w:bookmarkEnd w:id="131"/>
    </w:p>
    <w:p w14:paraId="37D45818" w14:textId="5820CE84" w:rsidR="00A17D7A" w:rsidRPr="002D372A" w:rsidRDefault="003C1733" w:rsidP="00A17D7A">
      <w:pPr>
        <w:jc w:val="both"/>
        <w:rPr>
          <w:rFonts w:ascii="Century Gothic" w:hAnsi="Century Gothic" w:cs="Arial"/>
          <w:lang w:val="es-ES"/>
        </w:rPr>
      </w:pPr>
      <w:r w:rsidRPr="002D372A">
        <w:rPr>
          <w:rFonts w:ascii="Century Gothic" w:hAnsi="Century Gothic" w:cs="Arial"/>
          <w:lang w:val="es-ES"/>
        </w:rPr>
        <w:t xml:space="preserve">De acuerdo a la calificación emitida por la Calificadora </w:t>
      </w:r>
      <w:proofErr w:type="spellStart"/>
      <w:r w:rsidRPr="002D372A">
        <w:rPr>
          <w:rFonts w:ascii="Century Gothic" w:hAnsi="Century Gothic" w:cs="Arial"/>
          <w:lang w:val="es-ES"/>
        </w:rPr>
        <w:t>Value</w:t>
      </w:r>
      <w:proofErr w:type="spellEnd"/>
      <w:r w:rsidRPr="002D372A">
        <w:rPr>
          <w:rFonts w:ascii="Century Gothic" w:hAnsi="Century Gothic" w:cs="Arial"/>
          <w:lang w:val="es-ES"/>
        </w:rPr>
        <w:t xml:space="preserve"> &amp; </w:t>
      </w:r>
      <w:proofErr w:type="spellStart"/>
      <w:r w:rsidRPr="002D372A">
        <w:rPr>
          <w:rFonts w:ascii="Century Gothic" w:hAnsi="Century Gothic" w:cs="Arial"/>
          <w:lang w:val="es-ES"/>
        </w:rPr>
        <w:t>Risk</w:t>
      </w:r>
      <w:proofErr w:type="spellEnd"/>
      <w:r w:rsidRPr="002D372A">
        <w:rPr>
          <w:rFonts w:ascii="Century Gothic" w:hAnsi="Century Gothic" w:cs="Arial"/>
          <w:lang w:val="es-ES"/>
        </w:rPr>
        <w:t xml:space="preserve"> Rating, </w:t>
      </w:r>
      <w:r w:rsidR="00A17D7A" w:rsidRPr="002D372A">
        <w:rPr>
          <w:rFonts w:ascii="Century Gothic" w:hAnsi="Century Gothic" w:cs="Arial"/>
          <w:lang w:val="es-ES"/>
        </w:rPr>
        <w:t>el municipio de Pasto</w:t>
      </w:r>
      <w:r w:rsidRPr="002D372A">
        <w:rPr>
          <w:rFonts w:ascii="Century Gothic" w:hAnsi="Century Gothic" w:cs="Arial"/>
          <w:lang w:val="es-ES"/>
        </w:rPr>
        <w:t xml:space="preserve"> mantiene un sendero financiero favorable, cuyos </w:t>
      </w:r>
      <w:r w:rsidR="00A17D7A" w:rsidRPr="002D372A">
        <w:rPr>
          <w:rFonts w:ascii="Century Gothic" w:hAnsi="Century Gothic" w:cs="Arial"/>
          <w:lang w:val="es-ES"/>
        </w:rPr>
        <w:t xml:space="preserve">resultados, </w:t>
      </w:r>
      <w:r w:rsidRPr="002D372A">
        <w:rPr>
          <w:rFonts w:ascii="Century Gothic" w:hAnsi="Century Gothic" w:cs="Arial"/>
          <w:lang w:val="es-ES"/>
        </w:rPr>
        <w:t xml:space="preserve">durante los años 2017 y 2018, mantienen </w:t>
      </w:r>
      <w:r w:rsidR="00A17D7A" w:rsidRPr="002D372A">
        <w:rPr>
          <w:rFonts w:ascii="Century Gothic" w:hAnsi="Century Gothic" w:cs="Arial"/>
          <w:lang w:val="es-ES"/>
        </w:rPr>
        <w:t xml:space="preserve">la calificación de largo plazo en A sencilla, </w:t>
      </w:r>
      <w:r w:rsidR="002D372A" w:rsidRPr="002D372A">
        <w:rPr>
          <w:rFonts w:ascii="Century Gothic" w:hAnsi="Century Gothic" w:cs="Arial"/>
          <w:lang w:val="es-ES"/>
        </w:rPr>
        <w:t>sustentado en</w:t>
      </w:r>
      <w:r w:rsidR="00A17D7A" w:rsidRPr="002D372A">
        <w:rPr>
          <w:rFonts w:ascii="Century Gothic" w:hAnsi="Century Gothic" w:cs="Arial"/>
          <w:lang w:val="es-ES"/>
        </w:rPr>
        <w:t>:</w:t>
      </w:r>
    </w:p>
    <w:p w14:paraId="68446E3A"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Destacables niveles de ejecución presupuestal.</w:t>
      </w:r>
    </w:p>
    <w:p w14:paraId="2445A6C0"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Procesos de fiscalización dinámicos que se traducen en una senda creciente y sostenida de las rentas municipales, concretamente en los impuestos de industria y comercio y su complementario de avisos y tableros, y sobretasa a la gasolina. De igual manera se ha dado notable impulso a los cobros persuasivo y coactivo del impuesto predial, el más importante de los impuestos del ente territorial.</w:t>
      </w:r>
    </w:p>
    <w:p w14:paraId="1F1ADB02"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Políticas de austeridad, que le han permitido mantener controlados los gastos de funcionamiento.</w:t>
      </w:r>
    </w:p>
    <w:p w14:paraId="6450AB99" w14:textId="61EA2811"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Adecuado cumplimiento de los indicadores de</w:t>
      </w:r>
      <w:r w:rsidR="002D372A">
        <w:rPr>
          <w:rFonts w:cs="Arial"/>
          <w:lang w:val="es-ES"/>
        </w:rPr>
        <w:t xml:space="preserve"> acuerdo con las leyes </w:t>
      </w:r>
      <w:r w:rsidR="002D372A" w:rsidRPr="002D372A">
        <w:rPr>
          <w:rFonts w:cs="Arial"/>
          <w:lang w:val="es-ES"/>
        </w:rPr>
        <w:t>358 de 1997</w:t>
      </w:r>
      <w:r w:rsidR="002D372A">
        <w:rPr>
          <w:rFonts w:cs="Arial"/>
          <w:lang w:val="es-ES"/>
        </w:rPr>
        <w:t xml:space="preserve"> y 617 de 2000</w:t>
      </w:r>
      <w:r w:rsidRPr="002D372A">
        <w:rPr>
          <w:rFonts w:cs="Arial"/>
          <w:lang w:val="es-ES"/>
        </w:rPr>
        <w:t>.</w:t>
      </w:r>
    </w:p>
    <w:p w14:paraId="05D3FE8D"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Certificaciones de calidad que son actualizadas permanentemente.</w:t>
      </w:r>
    </w:p>
    <w:p w14:paraId="30D92544"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Segunda ciudad capital con el más alto indicador de madurez del MECI.</w:t>
      </w:r>
    </w:p>
    <w:p w14:paraId="15776478"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Índice de Desempeño Institucional e Índice de Control Interno con niveles superiores al promedio del grupo par.</w:t>
      </w:r>
    </w:p>
    <w:p w14:paraId="2055FD01"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Suficientes niveles de liquidez para atender sus compromisos.</w:t>
      </w:r>
    </w:p>
    <w:p w14:paraId="1DD7C5B0"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Cobertura total del pasivo pensional, que le ha permitido liberar recursos adicionales para inversión (educación), mediante el retiro de excedentes en aportes pensionales.</w:t>
      </w:r>
    </w:p>
    <w:p w14:paraId="79C7BEDC" w14:textId="77777777" w:rsidR="00A17D7A" w:rsidRPr="002D372A" w:rsidRDefault="00A17D7A" w:rsidP="002D372A">
      <w:pPr>
        <w:pStyle w:val="Prrafodelista"/>
        <w:numPr>
          <w:ilvl w:val="0"/>
          <w:numId w:val="49"/>
        </w:numPr>
        <w:tabs>
          <w:tab w:val="left" w:pos="284"/>
        </w:tabs>
        <w:spacing w:after="200" w:line="276" w:lineRule="auto"/>
        <w:ind w:left="0" w:firstLine="0"/>
        <w:rPr>
          <w:rFonts w:cs="Arial"/>
          <w:lang w:val="es-ES"/>
        </w:rPr>
      </w:pPr>
      <w:r w:rsidRPr="002D372A">
        <w:rPr>
          <w:rFonts w:cs="Arial"/>
          <w:lang w:val="es-ES"/>
        </w:rPr>
        <w:t>Fortalecimiento continúo a las herramientas tecnológicas que favorecen la eficiencia fiscal.</w:t>
      </w:r>
    </w:p>
    <w:p w14:paraId="2424E995" w14:textId="022450D3" w:rsidR="00A17D7A" w:rsidRPr="002D372A" w:rsidRDefault="002D372A" w:rsidP="00A17D7A">
      <w:pPr>
        <w:jc w:val="both"/>
        <w:rPr>
          <w:rFonts w:ascii="Century Gothic" w:hAnsi="Century Gothic" w:cs="Arial"/>
          <w:lang w:val="es-ES"/>
        </w:rPr>
      </w:pPr>
      <w:r w:rsidRPr="002D372A">
        <w:rPr>
          <w:rFonts w:ascii="Century Gothic" w:hAnsi="Century Gothic" w:cs="Arial"/>
          <w:lang w:val="es-ES"/>
        </w:rPr>
        <w:lastRenderedPageBreak/>
        <w:t xml:space="preserve">El </w:t>
      </w:r>
      <w:r w:rsidR="00A17D7A" w:rsidRPr="002D372A">
        <w:rPr>
          <w:rFonts w:ascii="Century Gothic" w:hAnsi="Century Gothic" w:cs="Arial"/>
          <w:lang w:val="es-ES"/>
        </w:rPr>
        <w:t xml:space="preserve">propósito es ampliar, continuar y profundizar todas aquellas acciones que conduzcan al </w:t>
      </w:r>
      <w:r w:rsidRPr="002D372A">
        <w:rPr>
          <w:rFonts w:ascii="Century Gothic" w:hAnsi="Century Gothic" w:cs="Arial"/>
          <w:lang w:val="es-ES"/>
        </w:rPr>
        <w:t>m</w:t>
      </w:r>
      <w:r w:rsidR="00A17D7A" w:rsidRPr="002D372A">
        <w:rPr>
          <w:rFonts w:ascii="Century Gothic" w:hAnsi="Century Gothic" w:cs="Arial"/>
          <w:lang w:val="es-ES"/>
        </w:rPr>
        <w:t>unicipio de Pasto a fortalecer de manera importante sus ingresos propios, dar cumplimiento estricto a los límites legales establecidos para los gastos de funcionamiento, todo esto, con el objetivo de contar con más recursos para la inversión social que se traduzca</w:t>
      </w:r>
      <w:r w:rsidRPr="002D372A">
        <w:rPr>
          <w:rFonts w:ascii="Century Gothic" w:hAnsi="Century Gothic" w:cs="Arial"/>
          <w:lang w:val="es-ES"/>
        </w:rPr>
        <w:t>n</w:t>
      </w:r>
      <w:r w:rsidR="00A17D7A" w:rsidRPr="002D372A">
        <w:rPr>
          <w:rFonts w:ascii="Century Gothic" w:hAnsi="Century Gothic" w:cs="Arial"/>
          <w:lang w:val="es-ES"/>
        </w:rPr>
        <w:t xml:space="preserve"> en mejorar las condiciones de vida de los sectores más vulnerables de la población y lograr desarrollo y crecimiento económico del </w:t>
      </w:r>
      <w:r w:rsidRPr="002D372A">
        <w:rPr>
          <w:rFonts w:ascii="Century Gothic" w:hAnsi="Century Gothic" w:cs="Arial"/>
          <w:lang w:val="es-ES"/>
        </w:rPr>
        <w:t>e</w:t>
      </w:r>
      <w:r w:rsidR="00A17D7A" w:rsidRPr="002D372A">
        <w:rPr>
          <w:rFonts w:ascii="Century Gothic" w:hAnsi="Century Gothic" w:cs="Arial"/>
          <w:lang w:val="es-ES"/>
        </w:rPr>
        <w:t xml:space="preserve">nte territorial. </w:t>
      </w:r>
    </w:p>
    <w:p w14:paraId="3721B932" w14:textId="7FCA0CEC" w:rsidR="00A17D7A" w:rsidRPr="002D372A" w:rsidRDefault="002D372A" w:rsidP="00A17D7A">
      <w:pPr>
        <w:jc w:val="both"/>
        <w:rPr>
          <w:rFonts w:ascii="Century Gothic" w:hAnsi="Century Gothic" w:cs="Arial"/>
          <w:lang w:val="es-ES"/>
        </w:rPr>
      </w:pPr>
      <w:r>
        <w:rPr>
          <w:rFonts w:ascii="Century Gothic" w:hAnsi="Century Gothic" w:cs="Arial"/>
          <w:lang w:val="es-ES"/>
        </w:rPr>
        <w:t>P</w:t>
      </w:r>
      <w:r w:rsidR="00A17D7A" w:rsidRPr="002D372A">
        <w:rPr>
          <w:rFonts w:ascii="Century Gothic" w:hAnsi="Century Gothic" w:cs="Arial"/>
          <w:lang w:val="es-ES"/>
        </w:rPr>
        <w:t>ara la vigencia fiscal 2019</w:t>
      </w:r>
      <w:r w:rsidRPr="002D372A">
        <w:rPr>
          <w:rFonts w:ascii="Century Gothic" w:hAnsi="Century Gothic" w:cs="Arial"/>
          <w:lang w:val="es-ES"/>
        </w:rPr>
        <w:t>,</w:t>
      </w:r>
      <w:r w:rsidR="00A17D7A" w:rsidRPr="002D372A">
        <w:rPr>
          <w:rFonts w:ascii="Century Gothic" w:hAnsi="Century Gothic" w:cs="Arial"/>
          <w:lang w:val="es-ES"/>
        </w:rPr>
        <w:t xml:space="preserve"> se tiene planeada la continuación, profundización y el desarrollo de nuevas acciones y estrategias</w:t>
      </w:r>
      <w:r w:rsidRPr="002D372A">
        <w:rPr>
          <w:rFonts w:ascii="Century Gothic" w:hAnsi="Century Gothic" w:cs="Arial"/>
          <w:lang w:val="es-ES"/>
        </w:rPr>
        <w:t xml:space="preserve"> para</w:t>
      </w:r>
      <w:r w:rsidR="00A17D7A" w:rsidRPr="002D372A">
        <w:rPr>
          <w:rFonts w:ascii="Century Gothic" w:hAnsi="Century Gothic" w:cs="Arial"/>
          <w:lang w:val="es-ES"/>
        </w:rPr>
        <w:t xml:space="preserve"> mejorar los ingresos, tales como:</w:t>
      </w:r>
    </w:p>
    <w:p w14:paraId="288DFF35" w14:textId="4CF3B291"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lang w:val="es-ES"/>
        </w:rPr>
        <w:t>Dar plena aplicación al Nuevo Estatuto Tributario Municipal y al Nuevo Reglamento Interno de Cartera.</w:t>
      </w:r>
    </w:p>
    <w:p w14:paraId="6A8454B1" w14:textId="4B732284"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lang w:val="es-ES"/>
        </w:rPr>
        <w:t>Realizar brigadas conjuntamente con personal de la Secretaría de Gobierno y de la Cámara de Comercio de Pasto</w:t>
      </w:r>
      <w:r w:rsidR="002D372A" w:rsidRPr="002D372A">
        <w:rPr>
          <w:rFonts w:cs="Arial"/>
          <w:lang w:val="es-ES"/>
        </w:rPr>
        <w:t>,</w:t>
      </w:r>
      <w:r w:rsidR="002D372A" w:rsidRPr="002D372A">
        <w:rPr>
          <w:rFonts w:eastAsia="Times New Roman" w:cs="Arial"/>
          <w:color w:val="222222"/>
          <w:lang w:val="es-ES"/>
        </w:rPr>
        <w:t xml:space="preserve"> para establecer</w:t>
      </w:r>
      <w:r w:rsidRPr="002D372A">
        <w:rPr>
          <w:rFonts w:eastAsia="Times New Roman" w:cs="Arial"/>
          <w:color w:val="222222"/>
          <w:lang w:val="es-ES"/>
        </w:rPr>
        <w:t xml:space="preserve"> en campo, la cancelación o no del Registro Mercantil, y evitar así la evasión del imp</w:t>
      </w:r>
      <w:r w:rsidR="002D372A" w:rsidRPr="002D372A">
        <w:rPr>
          <w:rFonts w:eastAsia="Times New Roman" w:cs="Arial"/>
          <w:color w:val="222222"/>
          <w:lang w:val="es-ES"/>
        </w:rPr>
        <w:t>uesto de industria y comercio.</w:t>
      </w:r>
    </w:p>
    <w:p w14:paraId="71B1EC3B" w14:textId="54317ADA"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bCs/>
          <w:lang w:val="es-ES"/>
        </w:rPr>
        <w:t xml:space="preserve">Profundizar el Programa de omisos, dirigido a contribuyentes que no presentaron la </w:t>
      </w:r>
      <w:r w:rsidR="002D372A" w:rsidRPr="002D372A">
        <w:rPr>
          <w:rFonts w:cs="Arial"/>
          <w:bCs/>
          <w:lang w:val="es-ES"/>
        </w:rPr>
        <w:t>declaración privada de industria y comercio y su complementario de avisos y tableros de manera oport</w:t>
      </w:r>
      <w:r w:rsidRPr="002D372A">
        <w:rPr>
          <w:rFonts w:cs="Arial"/>
          <w:bCs/>
          <w:lang w:val="es-ES"/>
        </w:rPr>
        <w:t>una.</w:t>
      </w:r>
    </w:p>
    <w:p w14:paraId="51C07CC8" w14:textId="2632BE47"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bCs/>
          <w:lang w:val="es-ES"/>
        </w:rPr>
        <w:t>Profundizar el Programa de inexactos, como resultado de cruces de información con la DIAN, que pr</w:t>
      </w:r>
      <w:r w:rsidR="002D372A" w:rsidRPr="002D372A">
        <w:rPr>
          <w:rFonts w:cs="Arial"/>
          <w:bCs/>
          <w:lang w:val="es-ES"/>
        </w:rPr>
        <w:t>esentan indicios de inexactitud en la declaración privada de industria y comercio.</w:t>
      </w:r>
    </w:p>
    <w:p w14:paraId="607FED54" w14:textId="03BA79BF"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eastAsia="Times New Roman" w:cs="Arial"/>
          <w:color w:val="222222"/>
          <w:lang w:val="es-ES"/>
        </w:rPr>
        <w:t>Fortalecer el cobro persuasivo y coactivo de los impuestos</w:t>
      </w:r>
      <w:r w:rsidR="002D372A" w:rsidRPr="002D372A">
        <w:rPr>
          <w:rFonts w:eastAsia="Times New Roman" w:cs="Arial"/>
          <w:color w:val="222222"/>
          <w:lang w:val="es-ES"/>
        </w:rPr>
        <w:t>:</w:t>
      </w:r>
      <w:r w:rsidRPr="002D372A">
        <w:rPr>
          <w:rFonts w:eastAsia="Times New Roman" w:cs="Arial"/>
          <w:color w:val="222222"/>
          <w:lang w:val="es-ES"/>
        </w:rPr>
        <w:t xml:space="preserve"> predial, de valorización, industria y comercio y su complementario de avisos y tableros.</w:t>
      </w:r>
    </w:p>
    <w:p w14:paraId="26C0A634" w14:textId="40E0E740"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lang w:val="es-ES"/>
        </w:rPr>
        <w:t xml:space="preserve">Continuar con las </w:t>
      </w:r>
      <w:r w:rsidR="002D372A" w:rsidRPr="002D372A">
        <w:rPr>
          <w:rFonts w:cs="Arial"/>
          <w:lang w:val="es-ES"/>
        </w:rPr>
        <w:t xml:space="preserve">campañas publicitarias </w:t>
      </w:r>
      <w:r w:rsidRPr="002D372A">
        <w:rPr>
          <w:rFonts w:cs="Arial"/>
          <w:lang w:val="es-ES"/>
        </w:rPr>
        <w:t>masivas para fortalecer y profundizar la cultura de pago de los impuestos municipales.</w:t>
      </w:r>
    </w:p>
    <w:p w14:paraId="47B4E7F1" w14:textId="77777777"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lang w:val="es-ES"/>
        </w:rPr>
        <w:t>Detectar a los contribuyentes omisos e inexactos a través de la implementación del proceso a través del cual se establezca la obligación de rendir información exógena al municipio de Pasto, para realizar Programas de Fiscalización que conduzcan a la generación de un mayor recaudo por concepto del impuesto de industria y comercio.</w:t>
      </w:r>
    </w:p>
    <w:p w14:paraId="0232D43C" w14:textId="376BE126"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bCs/>
          <w:lang w:val="es-ES"/>
        </w:rPr>
        <w:t xml:space="preserve">Ampliar la fiscalización </w:t>
      </w:r>
      <w:r w:rsidR="00A02A7A" w:rsidRPr="002D372A">
        <w:rPr>
          <w:rFonts w:cs="Arial"/>
          <w:bCs/>
          <w:lang w:val="es-ES"/>
        </w:rPr>
        <w:t>hacia el</w:t>
      </w:r>
      <w:r w:rsidRPr="002D372A">
        <w:rPr>
          <w:rFonts w:cs="Arial"/>
          <w:bCs/>
          <w:lang w:val="es-ES"/>
        </w:rPr>
        <w:t xml:space="preserve"> sector del transporte.</w:t>
      </w:r>
    </w:p>
    <w:p w14:paraId="7304A071" w14:textId="3544BC6E"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bCs/>
          <w:lang w:val="es-ES"/>
        </w:rPr>
        <w:t xml:space="preserve">Exigir por parte de las curadurías el </w:t>
      </w:r>
      <w:r w:rsidR="002D372A" w:rsidRPr="002D372A">
        <w:rPr>
          <w:rFonts w:cs="Arial"/>
          <w:bCs/>
          <w:lang w:val="es-ES"/>
        </w:rPr>
        <w:t xml:space="preserve">paz y salvo </w:t>
      </w:r>
      <w:r w:rsidRPr="002D372A">
        <w:rPr>
          <w:rFonts w:cs="Arial"/>
          <w:bCs/>
          <w:lang w:val="es-ES"/>
        </w:rPr>
        <w:t xml:space="preserve">en englobes, </w:t>
      </w:r>
      <w:proofErr w:type="spellStart"/>
      <w:r w:rsidRPr="002D372A">
        <w:rPr>
          <w:rFonts w:cs="Arial"/>
          <w:bCs/>
          <w:lang w:val="es-ES"/>
        </w:rPr>
        <w:t>desenglobes</w:t>
      </w:r>
      <w:proofErr w:type="spellEnd"/>
      <w:r w:rsidRPr="002D372A">
        <w:rPr>
          <w:rFonts w:cs="Arial"/>
          <w:bCs/>
          <w:lang w:val="es-ES"/>
        </w:rPr>
        <w:t>, divisiones, etc.</w:t>
      </w:r>
    </w:p>
    <w:p w14:paraId="138BF40F" w14:textId="77777777"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bCs/>
          <w:lang w:val="es-ES"/>
        </w:rPr>
        <w:t>Aunar esfuerzos con la Secretaría de Gobierno para realizar visitas a los establecimientos de comercio con el fin de verificar inscripción en el RIT.</w:t>
      </w:r>
    </w:p>
    <w:p w14:paraId="7B1EA828" w14:textId="25F29C5F"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lang w:val="es-ES"/>
        </w:rPr>
      </w:pPr>
      <w:r w:rsidRPr="002D372A">
        <w:rPr>
          <w:rFonts w:cs="Arial"/>
          <w:bCs/>
          <w:lang w:val="es-ES"/>
        </w:rPr>
        <w:t xml:space="preserve">Pago del </w:t>
      </w:r>
      <w:r w:rsidR="002D372A" w:rsidRPr="002D372A">
        <w:rPr>
          <w:rFonts w:cs="Arial"/>
          <w:bCs/>
          <w:lang w:val="es-ES"/>
        </w:rPr>
        <w:t xml:space="preserve">impuesto predial a través de </w:t>
      </w:r>
      <w:r w:rsidRPr="002D372A">
        <w:rPr>
          <w:rFonts w:cs="Arial"/>
          <w:bCs/>
          <w:lang w:val="es-ES"/>
        </w:rPr>
        <w:t>corresponsales bancarios ubicados en el área rural.</w:t>
      </w:r>
    </w:p>
    <w:p w14:paraId="6225F606" w14:textId="4C9696E9" w:rsidR="00A17D7A" w:rsidRPr="002D372A" w:rsidRDefault="00A17D7A" w:rsidP="002D372A">
      <w:pPr>
        <w:pStyle w:val="Prrafodelista"/>
        <w:numPr>
          <w:ilvl w:val="0"/>
          <w:numId w:val="50"/>
        </w:numPr>
        <w:tabs>
          <w:tab w:val="left" w:pos="567"/>
        </w:tabs>
        <w:spacing w:after="240" w:line="276" w:lineRule="auto"/>
        <w:ind w:left="0" w:firstLine="284"/>
        <w:contextualSpacing/>
        <w:rPr>
          <w:rFonts w:cs="Arial"/>
          <w:bCs/>
          <w:lang w:val="es-ES"/>
        </w:rPr>
      </w:pPr>
      <w:r w:rsidRPr="002D372A">
        <w:rPr>
          <w:rFonts w:cs="Arial"/>
          <w:bCs/>
          <w:lang w:val="es-ES"/>
        </w:rPr>
        <w:lastRenderedPageBreak/>
        <w:t xml:space="preserve">Utilizar de manera plena todas las bondades del </w:t>
      </w:r>
      <w:r w:rsidR="002D372A" w:rsidRPr="002D372A">
        <w:rPr>
          <w:rFonts w:cs="Arial"/>
          <w:bCs/>
          <w:lang w:val="es-ES"/>
        </w:rPr>
        <w:t xml:space="preserve">Sistema Integral de Cobro de Impuestos – SICE de </w:t>
      </w:r>
      <w:r w:rsidRPr="002D372A">
        <w:rPr>
          <w:rFonts w:cs="Arial"/>
          <w:bCs/>
          <w:lang w:val="es-ES"/>
        </w:rPr>
        <w:t>la Secretaría de Hacienda, desarrollado en ambiente Web</w:t>
      </w:r>
      <w:r w:rsidR="002D372A" w:rsidRPr="002D372A">
        <w:rPr>
          <w:rFonts w:cs="Arial"/>
          <w:bCs/>
          <w:lang w:val="es-ES"/>
        </w:rPr>
        <w:t>,</w:t>
      </w:r>
      <w:r w:rsidRPr="002D372A">
        <w:rPr>
          <w:rFonts w:cs="Arial"/>
          <w:bCs/>
          <w:lang w:val="es-ES"/>
        </w:rPr>
        <w:t xml:space="preserve"> que permite: Organización de los procesos por tipo de impuesto en los cobros persuasivo, coactivo y de fiscalización; digitalización de los procesos evitando la pérdida de los mismos; monitoreo de los procesos y de los usuarios que manejan el sistema; obtención de informes de la ejecución de los procesos; fortalecimiento de las áreas de cobro persuasivo, coactivo y de fiscalización; minimización de errores en cada una de las etapas del proceso; seguimiento y auditoría de cada una de las etapas del proceso. Todo lo anterior con el propósito de incrementar el recaudo de cartera de los diferentes procesos.</w:t>
      </w:r>
    </w:p>
    <w:p w14:paraId="0D68413B" w14:textId="287BCBA1" w:rsidR="004C1FCB" w:rsidRPr="002D372A" w:rsidRDefault="00A17D7A" w:rsidP="00A17D7A">
      <w:pPr>
        <w:jc w:val="both"/>
        <w:rPr>
          <w:rFonts w:ascii="Century Gothic" w:hAnsi="Century Gothic" w:cs="Arial"/>
          <w:lang w:val="es-ES"/>
        </w:rPr>
      </w:pPr>
      <w:r w:rsidRPr="002D372A">
        <w:rPr>
          <w:rFonts w:ascii="Century Gothic" w:hAnsi="Century Gothic" w:cs="Arial"/>
          <w:lang w:val="es-ES"/>
        </w:rPr>
        <w:t xml:space="preserve">A </w:t>
      </w:r>
      <w:r w:rsidR="00A02A7A" w:rsidRPr="002D372A">
        <w:rPr>
          <w:rFonts w:ascii="Century Gothic" w:hAnsi="Century Gothic" w:cs="Arial"/>
          <w:lang w:val="es-ES"/>
        </w:rPr>
        <w:t>continuación,</w:t>
      </w:r>
      <w:r w:rsidRPr="002D372A">
        <w:rPr>
          <w:rFonts w:ascii="Century Gothic" w:hAnsi="Century Gothic" w:cs="Arial"/>
          <w:lang w:val="es-ES"/>
        </w:rPr>
        <w:t xml:space="preserve"> se describen otras acciones y medidas tendientes a incrementar los ingresos propios del municipio de Pasto:</w:t>
      </w:r>
    </w:p>
    <w:p w14:paraId="739B250F" w14:textId="77777777" w:rsidR="0045797F" w:rsidRPr="001E2110" w:rsidRDefault="0045797F">
      <w:pPr>
        <w:rPr>
          <w:rFonts w:ascii="Century Gothic" w:hAnsi="Century Gothic" w:cs="Arial"/>
          <w:highlight w:val="yellow"/>
          <w:lang w:val="es-ES"/>
        </w:rPr>
      </w:pPr>
      <w:r w:rsidRPr="001E2110">
        <w:rPr>
          <w:rFonts w:ascii="Century Gothic" w:hAnsi="Century Gothic" w:cs="Arial"/>
          <w:highlight w:val="yellow"/>
          <w:lang w:val="es-ES"/>
        </w:rPr>
        <w:br w:type="page"/>
      </w:r>
    </w:p>
    <w:p w14:paraId="21E9AC3C" w14:textId="77777777" w:rsidR="00B630FC" w:rsidRPr="001E2110" w:rsidRDefault="00B630FC" w:rsidP="004C1FCB">
      <w:pPr>
        <w:rPr>
          <w:rFonts w:ascii="Century Gothic" w:hAnsi="Century Gothic" w:cs="Arial"/>
          <w:highlight w:val="yellow"/>
          <w:lang w:val="es-ES"/>
        </w:rPr>
        <w:sectPr w:rsidR="00B630FC" w:rsidRPr="001E2110" w:rsidSect="009958A7">
          <w:headerReference w:type="default" r:id="rId65"/>
          <w:footerReference w:type="default" r:id="rId66"/>
          <w:type w:val="continuous"/>
          <w:pgSz w:w="12240" w:h="15840" w:code="1"/>
          <w:pgMar w:top="1985" w:right="1701" w:bottom="1701" w:left="1701" w:header="454" w:footer="397" w:gutter="0"/>
          <w:cols w:space="708"/>
          <w:titlePg/>
          <w:docGrid w:linePitch="360"/>
        </w:sectPr>
      </w:pPr>
    </w:p>
    <w:p w14:paraId="46667969" w14:textId="6DB9C3C8" w:rsidR="00A17D7A" w:rsidRPr="007954B9" w:rsidRDefault="00CF237E" w:rsidP="00A17D7A">
      <w:pPr>
        <w:pStyle w:val="Epgrafe"/>
        <w:keepNext/>
        <w:jc w:val="center"/>
        <w:rPr>
          <w:rFonts w:ascii="Century Gothic" w:hAnsi="Century Gothic"/>
          <w:sz w:val="22"/>
          <w:szCs w:val="24"/>
          <w:lang w:val="es-ES"/>
        </w:rPr>
      </w:pPr>
      <w:bookmarkStart w:id="132" w:name="_Toc532570555"/>
      <w:r w:rsidRPr="007954B9">
        <w:rPr>
          <w:rFonts w:ascii="Century Gothic" w:hAnsi="Century Gothic"/>
          <w:b w:val="0"/>
          <w:color w:val="auto"/>
          <w:sz w:val="22"/>
          <w:szCs w:val="22"/>
          <w:lang w:val="es-ES"/>
        </w:rPr>
        <w:lastRenderedPageBreak/>
        <w:t xml:space="preserve">Tabla </w:t>
      </w:r>
      <w:r w:rsidRPr="007954B9">
        <w:rPr>
          <w:rFonts w:ascii="Century Gothic" w:hAnsi="Century Gothic"/>
          <w:b w:val="0"/>
          <w:color w:val="auto"/>
          <w:sz w:val="22"/>
          <w:szCs w:val="22"/>
          <w:lang w:val="es-ES"/>
        </w:rPr>
        <w:fldChar w:fldCharType="begin"/>
      </w:r>
      <w:r w:rsidRPr="007954B9">
        <w:rPr>
          <w:rFonts w:ascii="Century Gothic" w:hAnsi="Century Gothic"/>
          <w:b w:val="0"/>
          <w:color w:val="auto"/>
          <w:sz w:val="22"/>
          <w:szCs w:val="22"/>
          <w:lang w:val="es-ES"/>
        </w:rPr>
        <w:instrText xml:space="preserve"> SEQ Tabla \* ARABIC </w:instrText>
      </w:r>
      <w:r w:rsidRPr="007954B9">
        <w:rPr>
          <w:rFonts w:ascii="Century Gothic" w:hAnsi="Century Gothic"/>
          <w:b w:val="0"/>
          <w:color w:val="auto"/>
          <w:sz w:val="22"/>
          <w:szCs w:val="22"/>
          <w:lang w:val="es-ES"/>
        </w:rPr>
        <w:fldChar w:fldCharType="separate"/>
      </w:r>
      <w:r w:rsidR="00934BA3" w:rsidRPr="007954B9">
        <w:rPr>
          <w:rFonts w:ascii="Century Gothic" w:hAnsi="Century Gothic"/>
          <w:b w:val="0"/>
          <w:noProof/>
          <w:color w:val="auto"/>
          <w:sz w:val="22"/>
          <w:szCs w:val="22"/>
          <w:lang w:val="es-ES"/>
        </w:rPr>
        <w:t>64</w:t>
      </w:r>
      <w:r w:rsidRPr="007954B9">
        <w:rPr>
          <w:rFonts w:ascii="Century Gothic" w:hAnsi="Century Gothic"/>
          <w:b w:val="0"/>
          <w:color w:val="auto"/>
          <w:sz w:val="22"/>
          <w:szCs w:val="22"/>
          <w:lang w:val="es-ES"/>
        </w:rPr>
        <w:fldChar w:fldCharType="end"/>
      </w:r>
      <w:r w:rsidRPr="007954B9">
        <w:rPr>
          <w:rFonts w:ascii="Century Gothic" w:hAnsi="Century Gothic"/>
          <w:b w:val="0"/>
          <w:color w:val="auto"/>
          <w:sz w:val="22"/>
          <w:szCs w:val="22"/>
          <w:lang w:val="es-ES"/>
        </w:rPr>
        <w:t xml:space="preserve">. </w:t>
      </w:r>
      <w:r w:rsidR="004C1FCB" w:rsidRPr="007954B9">
        <w:rPr>
          <w:rFonts w:ascii="Century Gothic" w:eastAsia="Times New Roman" w:hAnsi="Century Gothic" w:cs="Times New Roman"/>
          <w:b w:val="0"/>
          <w:color w:val="auto"/>
          <w:sz w:val="22"/>
          <w:szCs w:val="22"/>
          <w:lang w:val="es-ES"/>
        </w:rPr>
        <w:t>Acciones y medidas ingreso</w:t>
      </w:r>
      <w:r w:rsidR="00A17D7A" w:rsidRPr="007954B9">
        <w:rPr>
          <w:rFonts w:ascii="Century Gothic" w:eastAsia="Times New Roman" w:hAnsi="Century Gothic" w:cs="Times New Roman"/>
          <w:b w:val="0"/>
          <w:color w:val="auto"/>
          <w:sz w:val="22"/>
          <w:szCs w:val="22"/>
          <w:lang w:val="es-ES"/>
        </w:rPr>
        <w:t>s</w:t>
      </w:r>
      <w:bookmarkEnd w:id="132"/>
      <w:r w:rsidR="00A17D7A" w:rsidRPr="007954B9">
        <w:rPr>
          <w:rFonts w:ascii="Century Gothic" w:eastAsia="Times New Roman" w:hAnsi="Century Gothic" w:cs="Times New Roman"/>
          <w:b w:val="0"/>
          <w:color w:val="auto"/>
          <w:sz w:val="22"/>
          <w:szCs w:val="22"/>
          <w:lang w:val="es-ES"/>
        </w:rPr>
        <w:t xml:space="preserve"> </w:t>
      </w:r>
    </w:p>
    <w:tbl>
      <w:tblPr>
        <w:tblStyle w:val="Tablaconcuadrcula"/>
        <w:tblW w:w="0" w:type="auto"/>
        <w:tblLook w:val="04A0" w:firstRow="1" w:lastRow="0" w:firstColumn="1" w:lastColumn="0" w:noHBand="0" w:noVBand="1"/>
      </w:tblPr>
      <w:tblGrid>
        <w:gridCol w:w="1951"/>
        <w:gridCol w:w="1276"/>
        <w:gridCol w:w="2693"/>
        <w:gridCol w:w="2977"/>
        <w:gridCol w:w="3473"/>
      </w:tblGrid>
      <w:tr w:rsidR="00FF5481" w:rsidRPr="007954B9" w14:paraId="4ADFE1F6" w14:textId="77777777" w:rsidTr="003E42C7">
        <w:tc>
          <w:tcPr>
            <w:tcW w:w="195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800F145" w14:textId="77777777" w:rsidR="00A17D7A" w:rsidRPr="007954B9" w:rsidRDefault="00A17D7A">
            <w:pPr>
              <w:jc w:val="center"/>
              <w:rPr>
                <w:rFonts w:ascii="Century Gothic" w:hAnsi="Century Gothic"/>
                <w:b/>
                <w:sz w:val="20"/>
                <w:szCs w:val="20"/>
                <w:lang w:val="es-ES" w:eastAsia="en-US"/>
              </w:rPr>
            </w:pPr>
            <w:r w:rsidRPr="007954B9">
              <w:rPr>
                <w:rFonts w:ascii="Century Gothic" w:hAnsi="Century Gothic"/>
                <w:b/>
                <w:sz w:val="20"/>
                <w:szCs w:val="20"/>
                <w:lang w:val="es-ES"/>
              </w:rPr>
              <w:t>Ingreso</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734BFB5" w14:textId="77777777" w:rsidR="00A17D7A" w:rsidRPr="007954B9" w:rsidRDefault="00A17D7A">
            <w:pPr>
              <w:jc w:val="center"/>
              <w:rPr>
                <w:rFonts w:ascii="Century Gothic" w:hAnsi="Century Gothic"/>
                <w:b/>
                <w:sz w:val="20"/>
                <w:szCs w:val="20"/>
                <w:lang w:val="es-ES" w:eastAsia="en-US"/>
              </w:rPr>
            </w:pPr>
            <w:r w:rsidRPr="007954B9">
              <w:rPr>
                <w:rFonts w:ascii="Century Gothic" w:hAnsi="Century Gothic"/>
                <w:b/>
                <w:sz w:val="20"/>
                <w:szCs w:val="20"/>
                <w:lang w:val="es-ES"/>
              </w:rPr>
              <w:t>Meta</w:t>
            </w:r>
          </w:p>
        </w:tc>
        <w:tc>
          <w:tcPr>
            <w:tcW w:w="269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DAB3BDA" w14:textId="77777777" w:rsidR="00A17D7A" w:rsidRPr="007954B9" w:rsidRDefault="00A17D7A">
            <w:pPr>
              <w:jc w:val="center"/>
              <w:rPr>
                <w:rFonts w:ascii="Century Gothic" w:hAnsi="Century Gothic"/>
                <w:b/>
                <w:sz w:val="20"/>
                <w:szCs w:val="20"/>
                <w:lang w:val="es-ES" w:eastAsia="en-US"/>
              </w:rPr>
            </w:pPr>
            <w:r w:rsidRPr="007954B9">
              <w:rPr>
                <w:rFonts w:ascii="Century Gothic" w:hAnsi="Century Gothic"/>
                <w:b/>
                <w:sz w:val="20"/>
                <w:szCs w:val="20"/>
                <w:lang w:val="es-ES"/>
              </w:rPr>
              <w:t>Acción</w:t>
            </w:r>
          </w:p>
        </w:tc>
        <w:tc>
          <w:tcPr>
            <w:tcW w:w="29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D23DD67" w14:textId="77777777" w:rsidR="00A17D7A" w:rsidRPr="007954B9" w:rsidRDefault="00A17D7A">
            <w:pPr>
              <w:jc w:val="center"/>
              <w:rPr>
                <w:rFonts w:ascii="Century Gothic" w:hAnsi="Century Gothic"/>
                <w:b/>
                <w:sz w:val="20"/>
                <w:szCs w:val="20"/>
                <w:lang w:val="es-ES" w:eastAsia="en-US"/>
              </w:rPr>
            </w:pPr>
            <w:r w:rsidRPr="007954B9">
              <w:rPr>
                <w:rFonts w:ascii="Century Gothic" w:hAnsi="Century Gothic"/>
                <w:b/>
                <w:sz w:val="20"/>
                <w:szCs w:val="20"/>
                <w:lang w:val="es-ES"/>
              </w:rPr>
              <w:t>Actividad</w:t>
            </w:r>
          </w:p>
        </w:tc>
        <w:tc>
          <w:tcPr>
            <w:tcW w:w="34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3F1B5FF" w14:textId="77777777" w:rsidR="00A17D7A" w:rsidRPr="007954B9" w:rsidRDefault="00A17D7A">
            <w:pPr>
              <w:jc w:val="center"/>
              <w:rPr>
                <w:rFonts w:ascii="Century Gothic" w:hAnsi="Century Gothic"/>
                <w:b/>
                <w:sz w:val="20"/>
                <w:szCs w:val="20"/>
                <w:lang w:val="es-ES" w:eastAsia="en-US"/>
              </w:rPr>
            </w:pPr>
            <w:r w:rsidRPr="007954B9">
              <w:rPr>
                <w:rFonts w:ascii="Century Gothic" w:hAnsi="Century Gothic"/>
                <w:b/>
                <w:sz w:val="20"/>
                <w:szCs w:val="20"/>
                <w:lang w:val="es-ES"/>
              </w:rPr>
              <w:t>Indicadores de Seguimiento</w:t>
            </w:r>
          </w:p>
        </w:tc>
      </w:tr>
      <w:tr w:rsidR="007954B9" w:rsidRPr="007954B9" w14:paraId="7F753738" w14:textId="77777777" w:rsidTr="003E42C7">
        <w:trPr>
          <w:trHeight w:val="90"/>
        </w:trPr>
        <w:tc>
          <w:tcPr>
            <w:tcW w:w="1951" w:type="dxa"/>
            <w:tcBorders>
              <w:top w:val="single" w:sz="4" w:space="0" w:color="auto"/>
              <w:left w:val="single" w:sz="4" w:space="0" w:color="auto"/>
              <w:bottom w:val="single" w:sz="4" w:space="0" w:color="auto"/>
              <w:right w:val="single" w:sz="4" w:space="0" w:color="auto"/>
            </w:tcBorders>
            <w:vAlign w:val="center"/>
            <w:hideMark/>
          </w:tcPr>
          <w:p w14:paraId="09EC6A8B" w14:textId="77777777" w:rsidR="007954B9" w:rsidRPr="007954B9" w:rsidRDefault="007954B9">
            <w:pPr>
              <w:jc w:val="both"/>
              <w:rPr>
                <w:rFonts w:ascii="Century Gothic" w:hAnsi="Century Gothic"/>
                <w:sz w:val="20"/>
                <w:szCs w:val="20"/>
                <w:lang w:val="es-ES" w:eastAsia="en-US"/>
              </w:rPr>
            </w:pPr>
            <w:r w:rsidRPr="007954B9">
              <w:rPr>
                <w:rFonts w:ascii="Century Gothic" w:hAnsi="Century Gothic"/>
                <w:sz w:val="20"/>
                <w:szCs w:val="20"/>
                <w:lang w:val="es-ES"/>
              </w:rPr>
              <w:t>Contribución de valorización [capital]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C0179C" w14:textId="35E3D208" w:rsidR="007954B9" w:rsidRPr="007954B9" w:rsidRDefault="007954B9" w:rsidP="007954B9">
            <w:pPr>
              <w:rPr>
                <w:rFonts w:ascii="Century Gothic" w:hAnsi="Century Gothic"/>
                <w:sz w:val="20"/>
                <w:szCs w:val="20"/>
                <w:lang w:val="es-ES" w:eastAsia="en-US"/>
              </w:rPr>
            </w:pPr>
            <w:r w:rsidRPr="00D32739">
              <w:rPr>
                <w:rFonts w:ascii="Century Gothic" w:hAnsi="Century Gothic"/>
                <w:sz w:val="20"/>
                <w:szCs w:val="20"/>
                <w:lang w:val="es-ES"/>
              </w:rPr>
              <w:t>35%</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5D568F97" w14:textId="5218EAF7" w:rsidR="007954B9" w:rsidRPr="007954B9" w:rsidRDefault="00C9081B" w:rsidP="00C9081B">
            <w:pPr>
              <w:pStyle w:val="Prrafodelista"/>
              <w:widowControl/>
              <w:tabs>
                <w:tab w:val="left" w:pos="459"/>
              </w:tabs>
              <w:ind w:left="34" w:firstLine="0"/>
              <w:contextualSpacing/>
              <w:rPr>
                <w:rFonts w:cstheme="minorBidi"/>
                <w:sz w:val="20"/>
                <w:szCs w:val="20"/>
                <w:lang w:val="es-ES"/>
              </w:rPr>
            </w:pPr>
            <w:r>
              <w:rPr>
                <w:sz w:val="20"/>
                <w:szCs w:val="20"/>
                <w:lang w:val="es-ES"/>
              </w:rPr>
              <w:t xml:space="preserve">- </w:t>
            </w:r>
            <w:proofErr w:type="spellStart"/>
            <w:r w:rsidR="007954B9" w:rsidRPr="007954B9">
              <w:rPr>
                <w:sz w:val="20"/>
                <w:szCs w:val="20"/>
                <w:lang w:val="es-ES"/>
              </w:rPr>
              <w:t>Refacturación</w:t>
            </w:r>
            <w:proofErr w:type="spellEnd"/>
            <w:r w:rsidR="007954B9" w:rsidRPr="007954B9">
              <w:rPr>
                <w:sz w:val="20"/>
                <w:szCs w:val="20"/>
                <w:lang w:val="es-ES"/>
              </w:rPr>
              <w:t xml:space="preserve"> la contribución de valorización predios gravados del SETP.</w:t>
            </w:r>
          </w:p>
          <w:p w14:paraId="5CCF7E7A" w14:textId="68BC0DF3" w:rsidR="007954B9" w:rsidRPr="007954B9" w:rsidRDefault="00C9081B" w:rsidP="00C9081B">
            <w:pPr>
              <w:pStyle w:val="Prrafodelista"/>
              <w:widowControl/>
              <w:tabs>
                <w:tab w:val="left" w:pos="459"/>
              </w:tabs>
              <w:ind w:left="34" w:firstLine="0"/>
              <w:contextualSpacing/>
              <w:rPr>
                <w:sz w:val="20"/>
                <w:szCs w:val="20"/>
                <w:lang w:val="es-ES"/>
              </w:rPr>
            </w:pPr>
            <w:r>
              <w:rPr>
                <w:sz w:val="20"/>
                <w:szCs w:val="20"/>
                <w:lang w:val="es-ES"/>
              </w:rPr>
              <w:t xml:space="preserve">- </w:t>
            </w:r>
            <w:r w:rsidR="007954B9" w:rsidRPr="007954B9">
              <w:rPr>
                <w:sz w:val="20"/>
                <w:szCs w:val="20"/>
                <w:lang w:val="es-ES"/>
              </w:rPr>
              <w:t>Fortalecimiento del proceso de cobro.</w:t>
            </w:r>
          </w:p>
          <w:p w14:paraId="1F33FA5F" w14:textId="11700151" w:rsidR="007954B9" w:rsidRPr="007954B9" w:rsidRDefault="00C9081B" w:rsidP="00C9081B">
            <w:pPr>
              <w:pStyle w:val="Prrafodelista"/>
              <w:widowControl/>
              <w:tabs>
                <w:tab w:val="left" w:pos="459"/>
              </w:tabs>
              <w:ind w:left="34" w:firstLine="0"/>
              <w:contextualSpacing/>
              <w:rPr>
                <w:sz w:val="20"/>
                <w:szCs w:val="20"/>
                <w:lang w:val="es-ES"/>
              </w:rPr>
            </w:pPr>
            <w:r>
              <w:rPr>
                <w:sz w:val="20"/>
                <w:szCs w:val="20"/>
                <w:lang w:val="es-ES"/>
              </w:rPr>
              <w:t xml:space="preserve">- </w:t>
            </w:r>
            <w:r w:rsidR="007954B9" w:rsidRPr="007954B9">
              <w:rPr>
                <w:sz w:val="20"/>
                <w:szCs w:val="20"/>
                <w:lang w:val="es-ES"/>
              </w:rPr>
              <w:t>Otorgamiento del pago por cuotas.</w:t>
            </w:r>
          </w:p>
          <w:p w14:paraId="2818BF24" w14:textId="10EF3255" w:rsidR="007954B9" w:rsidRPr="007954B9" w:rsidRDefault="00C9081B" w:rsidP="00C9081B">
            <w:pPr>
              <w:pStyle w:val="Prrafodelista"/>
              <w:widowControl/>
              <w:tabs>
                <w:tab w:val="left" w:pos="459"/>
              </w:tabs>
              <w:ind w:left="34" w:firstLine="0"/>
              <w:contextualSpacing/>
              <w:rPr>
                <w:sz w:val="20"/>
                <w:szCs w:val="20"/>
                <w:lang w:val="es-ES" w:eastAsia="en-US"/>
              </w:rPr>
            </w:pPr>
            <w:r>
              <w:rPr>
                <w:sz w:val="20"/>
                <w:szCs w:val="20"/>
                <w:lang w:val="es-ES"/>
              </w:rPr>
              <w:t xml:space="preserve">- </w:t>
            </w:r>
            <w:r w:rsidR="007954B9" w:rsidRPr="007954B9">
              <w:rPr>
                <w:sz w:val="20"/>
                <w:szCs w:val="20"/>
                <w:lang w:val="es-ES"/>
              </w:rPr>
              <w:t>Clasificación de la cartera por edades.</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58699D7F" w14:textId="3B39ACFD" w:rsidR="007954B9" w:rsidRPr="007954B9" w:rsidRDefault="00C9081B" w:rsidP="00C9081B">
            <w:pPr>
              <w:pStyle w:val="Prrafodelista"/>
              <w:widowControl/>
              <w:tabs>
                <w:tab w:val="left" w:pos="459"/>
              </w:tabs>
              <w:ind w:left="34" w:firstLine="0"/>
              <w:contextualSpacing/>
              <w:rPr>
                <w:rFonts w:cstheme="minorBidi"/>
                <w:sz w:val="20"/>
                <w:szCs w:val="20"/>
                <w:lang w:val="es-ES"/>
              </w:rPr>
            </w:pPr>
            <w:r>
              <w:rPr>
                <w:sz w:val="20"/>
                <w:szCs w:val="20"/>
                <w:lang w:val="es-ES"/>
              </w:rPr>
              <w:t xml:space="preserve">- </w:t>
            </w:r>
            <w:r w:rsidR="007954B9" w:rsidRPr="007954B9">
              <w:rPr>
                <w:sz w:val="20"/>
                <w:szCs w:val="20"/>
                <w:lang w:val="es-ES"/>
              </w:rPr>
              <w:t>Verificar la facturación.</w:t>
            </w:r>
          </w:p>
          <w:p w14:paraId="66CBEDAC" w14:textId="26EAE6ED" w:rsidR="007954B9" w:rsidRPr="007954B9" w:rsidRDefault="00C9081B" w:rsidP="00C9081B">
            <w:pPr>
              <w:pStyle w:val="Prrafodelista"/>
              <w:widowControl/>
              <w:tabs>
                <w:tab w:val="left" w:pos="459"/>
              </w:tabs>
              <w:ind w:left="34" w:firstLine="0"/>
              <w:contextualSpacing/>
              <w:rPr>
                <w:sz w:val="20"/>
                <w:szCs w:val="20"/>
                <w:lang w:val="es-ES"/>
              </w:rPr>
            </w:pPr>
            <w:r>
              <w:rPr>
                <w:sz w:val="20"/>
                <w:szCs w:val="20"/>
                <w:lang w:val="es-ES"/>
              </w:rPr>
              <w:t xml:space="preserve">- </w:t>
            </w:r>
            <w:r w:rsidR="007954B9" w:rsidRPr="007954B9">
              <w:rPr>
                <w:sz w:val="20"/>
                <w:szCs w:val="20"/>
                <w:lang w:val="es-ES"/>
              </w:rPr>
              <w:t>Intensificar el cobro persuasivo.</w:t>
            </w:r>
          </w:p>
          <w:p w14:paraId="3869C5D6" w14:textId="1CA9CA99" w:rsidR="007954B9" w:rsidRPr="007954B9" w:rsidRDefault="00C9081B" w:rsidP="00C9081B">
            <w:pPr>
              <w:pStyle w:val="Prrafodelista"/>
              <w:widowControl/>
              <w:tabs>
                <w:tab w:val="left" w:pos="459"/>
              </w:tabs>
              <w:ind w:left="34" w:firstLine="0"/>
              <w:contextualSpacing/>
              <w:rPr>
                <w:sz w:val="20"/>
                <w:szCs w:val="20"/>
                <w:lang w:val="es-ES"/>
              </w:rPr>
            </w:pPr>
            <w:r>
              <w:rPr>
                <w:sz w:val="20"/>
                <w:szCs w:val="20"/>
                <w:lang w:val="es-ES"/>
              </w:rPr>
              <w:t xml:space="preserve">- </w:t>
            </w:r>
            <w:r w:rsidR="007954B9" w:rsidRPr="007954B9">
              <w:rPr>
                <w:sz w:val="20"/>
                <w:szCs w:val="20"/>
                <w:lang w:val="es-ES"/>
              </w:rPr>
              <w:t>Revisar la información de los predios que estén por prescribir e implementar estrategias persuasivas.</w:t>
            </w:r>
          </w:p>
          <w:p w14:paraId="4CD7813A" w14:textId="38CE0169" w:rsidR="007954B9" w:rsidRPr="007954B9" w:rsidRDefault="00C9081B" w:rsidP="00C9081B">
            <w:pPr>
              <w:pStyle w:val="Prrafodelista"/>
              <w:widowControl/>
              <w:tabs>
                <w:tab w:val="left" w:pos="459"/>
              </w:tabs>
              <w:ind w:left="34" w:firstLine="0"/>
              <w:contextualSpacing/>
              <w:rPr>
                <w:sz w:val="20"/>
                <w:szCs w:val="20"/>
                <w:lang w:val="es-ES" w:eastAsia="en-US"/>
              </w:rPr>
            </w:pPr>
            <w:r>
              <w:rPr>
                <w:sz w:val="20"/>
                <w:szCs w:val="20"/>
                <w:lang w:val="es-ES"/>
              </w:rPr>
              <w:t xml:space="preserve">- </w:t>
            </w:r>
            <w:r w:rsidR="007954B9" w:rsidRPr="007954B9">
              <w:rPr>
                <w:sz w:val="20"/>
                <w:szCs w:val="20"/>
                <w:lang w:val="es-ES"/>
              </w:rPr>
              <w:t>Otorgar pago por cuotas.</w:t>
            </w:r>
          </w:p>
        </w:tc>
        <w:tc>
          <w:tcPr>
            <w:tcW w:w="3473" w:type="dxa"/>
            <w:vMerge w:val="restart"/>
            <w:tcBorders>
              <w:top w:val="single" w:sz="4" w:space="0" w:color="auto"/>
              <w:left w:val="single" w:sz="4" w:space="0" w:color="auto"/>
              <w:bottom w:val="single" w:sz="4" w:space="0" w:color="auto"/>
              <w:right w:val="single" w:sz="4" w:space="0" w:color="auto"/>
            </w:tcBorders>
            <w:vAlign w:val="center"/>
            <w:hideMark/>
          </w:tcPr>
          <w:p w14:paraId="028569C9" w14:textId="436A994E" w:rsidR="007954B9" w:rsidRPr="007954B9" w:rsidRDefault="00C9081B" w:rsidP="00C9081B">
            <w:pPr>
              <w:pStyle w:val="Prrafodelista"/>
              <w:widowControl/>
              <w:tabs>
                <w:tab w:val="left" w:pos="459"/>
              </w:tabs>
              <w:ind w:left="34" w:firstLine="0"/>
              <w:contextualSpacing/>
              <w:rPr>
                <w:rFonts w:cstheme="minorBidi"/>
                <w:sz w:val="20"/>
                <w:szCs w:val="20"/>
                <w:lang w:val="es-ES"/>
              </w:rPr>
            </w:pPr>
            <w:r>
              <w:rPr>
                <w:sz w:val="20"/>
                <w:szCs w:val="20"/>
                <w:lang w:val="es-ES"/>
              </w:rPr>
              <w:t xml:space="preserve">- </w:t>
            </w:r>
            <w:r w:rsidR="007954B9" w:rsidRPr="007954B9">
              <w:rPr>
                <w:sz w:val="20"/>
                <w:szCs w:val="20"/>
                <w:lang w:val="es-ES"/>
              </w:rPr>
              <w:t>Total recaudado/Total de la contribución de valorización impuesta vigencia actual.</w:t>
            </w:r>
          </w:p>
          <w:p w14:paraId="53380415" w14:textId="6B88288A" w:rsidR="007954B9" w:rsidRPr="007954B9" w:rsidRDefault="00C9081B" w:rsidP="00C9081B">
            <w:pPr>
              <w:pStyle w:val="Prrafodelista"/>
              <w:widowControl/>
              <w:tabs>
                <w:tab w:val="left" w:pos="459"/>
              </w:tabs>
              <w:ind w:left="34" w:firstLine="0"/>
              <w:contextualSpacing/>
              <w:rPr>
                <w:sz w:val="20"/>
                <w:szCs w:val="20"/>
                <w:lang w:val="es-ES"/>
              </w:rPr>
            </w:pPr>
            <w:r>
              <w:rPr>
                <w:sz w:val="20"/>
                <w:szCs w:val="20"/>
                <w:lang w:val="es-ES"/>
              </w:rPr>
              <w:t xml:space="preserve">- </w:t>
            </w:r>
            <w:r w:rsidR="007954B9" w:rsidRPr="007954B9">
              <w:rPr>
                <w:sz w:val="20"/>
                <w:szCs w:val="20"/>
                <w:lang w:val="es-ES"/>
              </w:rPr>
              <w:t xml:space="preserve">Numero de predios </w:t>
            </w:r>
            <w:proofErr w:type="spellStart"/>
            <w:r w:rsidR="007954B9" w:rsidRPr="007954B9">
              <w:rPr>
                <w:sz w:val="20"/>
                <w:szCs w:val="20"/>
                <w:lang w:val="es-ES"/>
              </w:rPr>
              <w:t>refacturados</w:t>
            </w:r>
            <w:proofErr w:type="spellEnd"/>
            <w:r w:rsidR="007954B9" w:rsidRPr="007954B9">
              <w:rPr>
                <w:sz w:val="20"/>
                <w:szCs w:val="20"/>
                <w:lang w:val="es-ES"/>
              </w:rPr>
              <w:t xml:space="preserve"> de la contribución de valorización/Número predios en cartera del SETP</w:t>
            </w:r>
          </w:p>
          <w:p w14:paraId="27017F16" w14:textId="12C5724D" w:rsidR="007954B9" w:rsidRPr="00C9081B" w:rsidRDefault="00C9081B" w:rsidP="00C9081B">
            <w:pPr>
              <w:pStyle w:val="Prrafodelista"/>
              <w:widowControl/>
              <w:tabs>
                <w:tab w:val="left" w:pos="459"/>
              </w:tabs>
              <w:ind w:left="34" w:firstLine="0"/>
              <w:contextualSpacing/>
              <w:rPr>
                <w:sz w:val="20"/>
                <w:szCs w:val="20"/>
                <w:lang w:val="es-ES" w:eastAsia="en-US"/>
              </w:rPr>
            </w:pPr>
            <w:r>
              <w:rPr>
                <w:sz w:val="20"/>
                <w:szCs w:val="20"/>
                <w:lang w:val="es-ES"/>
              </w:rPr>
              <w:t xml:space="preserve">- </w:t>
            </w:r>
            <w:r w:rsidR="007954B9" w:rsidRPr="00C9081B">
              <w:rPr>
                <w:sz w:val="20"/>
                <w:szCs w:val="20"/>
                <w:lang w:val="es-ES"/>
              </w:rPr>
              <w:t>Número de casos pago por cuotas/ Número total predios  en cartera</w:t>
            </w:r>
          </w:p>
        </w:tc>
      </w:tr>
      <w:tr w:rsidR="007954B9" w:rsidRPr="007954B9" w14:paraId="06B487FE" w14:textId="77777777" w:rsidTr="003E42C7">
        <w:trPr>
          <w:trHeight w:val="139"/>
        </w:trPr>
        <w:tc>
          <w:tcPr>
            <w:tcW w:w="1951" w:type="dxa"/>
            <w:tcBorders>
              <w:top w:val="single" w:sz="4" w:space="0" w:color="auto"/>
              <w:left w:val="single" w:sz="4" w:space="0" w:color="auto"/>
              <w:bottom w:val="single" w:sz="4" w:space="0" w:color="auto"/>
              <w:right w:val="single" w:sz="4" w:space="0" w:color="auto"/>
            </w:tcBorders>
            <w:vAlign w:val="center"/>
            <w:hideMark/>
          </w:tcPr>
          <w:p w14:paraId="4ED46371" w14:textId="77777777" w:rsidR="007954B9" w:rsidRPr="007954B9" w:rsidRDefault="007954B9">
            <w:pPr>
              <w:jc w:val="both"/>
              <w:rPr>
                <w:rFonts w:ascii="Century Gothic" w:hAnsi="Century Gothic"/>
                <w:sz w:val="20"/>
                <w:szCs w:val="20"/>
                <w:lang w:val="es-ES" w:eastAsia="en-US"/>
              </w:rPr>
            </w:pPr>
            <w:r w:rsidRPr="007954B9">
              <w:rPr>
                <w:rFonts w:ascii="Century Gothic" w:hAnsi="Century Gothic"/>
                <w:sz w:val="20"/>
                <w:szCs w:val="20"/>
                <w:lang w:val="es-ES"/>
              </w:rPr>
              <w:t>Interés de financiación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F7C8E2" w14:textId="35C7859E" w:rsidR="007954B9" w:rsidRPr="007954B9" w:rsidRDefault="007954B9" w:rsidP="007954B9">
            <w:pPr>
              <w:rPr>
                <w:rFonts w:ascii="Century Gothic" w:hAnsi="Century Gothic"/>
                <w:sz w:val="20"/>
                <w:szCs w:val="20"/>
                <w:lang w:val="es-ES" w:eastAsia="en-US"/>
              </w:rPr>
            </w:pPr>
            <w:r w:rsidRPr="00D32739">
              <w:rPr>
                <w:rFonts w:ascii="Century Gothic" w:hAnsi="Century Gothic"/>
                <w:sz w:val="20"/>
                <w:szCs w:val="20"/>
                <w:lang w:val="es-ES"/>
              </w:rPr>
              <w:t>35%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0E24FFA" w14:textId="77777777" w:rsidR="007954B9" w:rsidRPr="007954B9" w:rsidRDefault="007954B9" w:rsidP="00FF5481">
            <w:pPr>
              <w:tabs>
                <w:tab w:val="left" w:pos="459"/>
              </w:tabs>
              <w:ind w:left="34" w:hanging="34"/>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5232DC5" w14:textId="77777777" w:rsidR="007954B9" w:rsidRPr="007954B9" w:rsidRDefault="007954B9" w:rsidP="00FF5481">
            <w:pPr>
              <w:tabs>
                <w:tab w:val="left" w:pos="459"/>
              </w:tabs>
              <w:ind w:left="34" w:hanging="34"/>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219FB376" w14:textId="77777777" w:rsidR="007954B9" w:rsidRPr="007954B9" w:rsidRDefault="007954B9" w:rsidP="00FF5481">
            <w:pPr>
              <w:tabs>
                <w:tab w:val="left" w:pos="459"/>
              </w:tabs>
              <w:ind w:left="34" w:hanging="34"/>
              <w:rPr>
                <w:rFonts w:ascii="Century Gothic" w:hAnsi="Century Gothic"/>
                <w:sz w:val="20"/>
                <w:szCs w:val="20"/>
                <w:lang w:val="es-ES" w:eastAsia="en-US"/>
              </w:rPr>
            </w:pPr>
          </w:p>
        </w:tc>
      </w:tr>
      <w:tr w:rsidR="007954B9" w:rsidRPr="007954B9" w14:paraId="67E7D103" w14:textId="77777777" w:rsidTr="003E42C7">
        <w:trPr>
          <w:trHeight w:val="217"/>
        </w:trPr>
        <w:tc>
          <w:tcPr>
            <w:tcW w:w="1951" w:type="dxa"/>
            <w:tcBorders>
              <w:top w:val="single" w:sz="4" w:space="0" w:color="auto"/>
              <w:left w:val="single" w:sz="4" w:space="0" w:color="auto"/>
              <w:bottom w:val="single" w:sz="4" w:space="0" w:color="auto"/>
              <w:right w:val="single" w:sz="4" w:space="0" w:color="auto"/>
            </w:tcBorders>
            <w:vAlign w:val="center"/>
            <w:hideMark/>
          </w:tcPr>
          <w:p w14:paraId="56D1D1BF" w14:textId="77777777" w:rsidR="007954B9" w:rsidRPr="007954B9" w:rsidRDefault="007954B9">
            <w:pPr>
              <w:jc w:val="both"/>
              <w:rPr>
                <w:rFonts w:ascii="Century Gothic" w:hAnsi="Century Gothic"/>
                <w:sz w:val="20"/>
                <w:szCs w:val="20"/>
                <w:lang w:val="es-ES" w:eastAsia="en-US"/>
              </w:rPr>
            </w:pPr>
            <w:r w:rsidRPr="007954B9">
              <w:rPr>
                <w:rFonts w:ascii="Century Gothic" w:hAnsi="Century Gothic"/>
                <w:sz w:val="20"/>
                <w:szCs w:val="20"/>
                <w:lang w:val="es-ES"/>
              </w:rPr>
              <w:t>Interés de mora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686840" w14:textId="2617E401" w:rsidR="007954B9" w:rsidRPr="007954B9" w:rsidRDefault="007954B9" w:rsidP="007954B9">
            <w:pPr>
              <w:rPr>
                <w:rFonts w:ascii="Century Gothic" w:hAnsi="Century Gothic"/>
                <w:sz w:val="20"/>
                <w:szCs w:val="20"/>
                <w:lang w:val="es-ES" w:eastAsia="en-US"/>
              </w:rPr>
            </w:pPr>
            <w:r w:rsidRPr="00D32739">
              <w:rPr>
                <w:rFonts w:ascii="Century Gothic" w:hAnsi="Century Gothic"/>
                <w:sz w:val="20"/>
                <w:szCs w:val="20"/>
                <w:lang w:val="es-ES"/>
              </w:rPr>
              <w:t>35%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742D41" w14:textId="77777777" w:rsidR="007954B9" w:rsidRPr="007954B9" w:rsidRDefault="007954B9" w:rsidP="00FF5481">
            <w:pPr>
              <w:tabs>
                <w:tab w:val="left" w:pos="459"/>
              </w:tabs>
              <w:ind w:left="34" w:hanging="34"/>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DF8CD76" w14:textId="77777777" w:rsidR="007954B9" w:rsidRPr="007954B9" w:rsidRDefault="007954B9" w:rsidP="00FF5481">
            <w:pPr>
              <w:tabs>
                <w:tab w:val="left" w:pos="459"/>
              </w:tabs>
              <w:ind w:left="34" w:hanging="34"/>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2CEF0036" w14:textId="77777777" w:rsidR="007954B9" w:rsidRPr="007954B9" w:rsidRDefault="007954B9" w:rsidP="00FF5481">
            <w:pPr>
              <w:tabs>
                <w:tab w:val="left" w:pos="459"/>
              </w:tabs>
              <w:ind w:left="34" w:hanging="34"/>
              <w:rPr>
                <w:rFonts w:ascii="Century Gothic" w:hAnsi="Century Gothic"/>
                <w:sz w:val="20"/>
                <w:szCs w:val="20"/>
                <w:lang w:val="es-ES" w:eastAsia="en-US"/>
              </w:rPr>
            </w:pPr>
          </w:p>
        </w:tc>
      </w:tr>
      <w:tr w:rsidR="00FF5481" w:rsidRPr="007954B9" w14:paraId="4558A9DE" w14:textId="77777777" w:rsidTr="003E42C7">
        <w:trPr>
          <w:trHeight w:val="63"/>
        </w:trPr>
        <w:tc>
          <w:tcPr>
            <w:tcW w:w="1951" w:type="dxa"/>
            <w:tcBorders>
              <w:top w:val="single" w:sz="4" w:space="0" w:color="auto"/>
              <w:left w:val="single" w:sz="4" w:space="0" w:color="auto"/>
              <w:bottom w:val="single" w:sz="4" w:space="0" w:color="auto"/>
              <w:right w:val="single" w:sz="4" w:space="0" w:color="auto"/>
            </w:tcBorders>
            <w:vAlign w:val="center"/>
            <w:hideMark/>
          </w:tcPr>
          <w:p w14:paraId="434A3F2D" w14:textId="77777777" w:rsidR="00A17D7A" w:rsidRPr="007954B9" w:rsidRDefault="00A17D7A">
            <w:pPr>
              <w:jc w:val="both"/>
              <w:rPr>
                <w:rFonts w:ascii="Century Gothic" w:hAnsi="Century Gothic"/>
                <w:sz w:val="20"/>
                <w:szCs w:val="20"/>
                <w:lang w:val="es-ES" w:eastAsia="en-US"/>
              </w:rPr>
            </w:pPr>
            <w:r w:rsidRPr="007954B9">
              <w:rPr>
                <w:rFonts w:ascii="Century Gothic" w:hAnsi="Century Gothic"/>
                <w:sz w:val="20"/>
                <w:szCs w:val="20"/>
                <w:lang w:val="es-ES"/>
              </w:rPr>
              <w:t>Descuento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666815" w14:textId="77777777" w:rsidR="00A17D7A" w:rsidRPr="007954B9" w:rsidRDefault="00A17D7A" w:rsidP="007954B9">
            <w:pPr>
              <w:rPr>
                <w:rFonts w:ascii="Century Gothic" w:hAnsi="Century Gothic"/>
                <w:sz w:val="20"/>
                <w:szCs w:val="20"/>
                <w:lang w:val="es-ES" w:eastAsia="en-US"/>
              </w:rPr>
            </w:pPr>
            <w:r w:rsidRPr="007954B9">
              <w:rPr>
                <w:rFonts w:ascii="Century Gothic" w:hAnsi="Century Gothic"/>
                <w:sz w:val="20"/>
                <w:szCs w:val="20"/>
                <w:lang w:val="es-ES"/>
              </w:rPr>
              <w:t>10%</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B3B316" w14:textId="77777777" w:rsidR="00A17D7A" w:rsidRPr="007954B9" w:rsidRDefault="00A17D7A" w:rsidP="00FF5481">
            <w:pPr>
              <w:tabs>
                <w:tab w:val="left" w:pos="459"/>
              </w:tabs>
              <w:ind w:left="34" w:hanging="34"/>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1EA3B71" w14:textId="77777777" w:rsidR="00A17D7A" w:rsidRPr="007954B9" w:rsidRDefault="00A17D7A" w:rsidP="00FF5481">
            <w:pPr>
              <w:tabs>
                <w:tab w:val="left" w:pos="459"/>
              </w:tabs>
              <w:ind w:left="34" w:hanging="34"/>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41F73FD5" w14:textId="77777777" w:rsidR="00A17D7A" w:rsidRPr="007954B9" w:rsidRDefault="00A17D7A" w:rsidP="00FF5481">
            <w:pPr>
              <w:tabs>
                <w:tab w:val="left" w:pos="459"/>
              </w:tabs>
              <w:ind w:left="34" w:hanging="34"/>
              <w:rPr>
                <w:rFonts w:ascii="Century Gothic" w:hAnsi="Century Gothic"/>
                <w:sz w:val="20"/>
                <w:szCs w:val="20"/>
                <w:lang w:val="es-ES" w:eastAsia="en-US"/>
              </w:rPr>
            </w:pPr>
          </w:p>
        </w:tc>
      </w:tr>
      <w:tr w:rsidR="00FF5481" w:rsidRPr="007954B9" w14:paraId="1655E052" w14:textId="77777777" w:rsidTr="003E42C7">
        <w:trPr>
          <w:trHeight w:val="455"/>
        </w:trPr>
        <w:tc>
          <w:tcPr>
            <w:tcW w:w="1951" w:type="dxa"/>
            <w:tcBorders>
              <w:top w:val="single" w:sz="4" w:space="0" w:color="auto"/>
              <w:left w:val="single" w:sz="4" w:space="0" w:color="auto"/>
              <w:bottom w:val="single" w:sz="4" w:space="0" w:color="auto"/>
              <w:right w:val="single" w:sz="4" w:space="0" w:color="auto"/>
            </w:tcBorders>
            <w:vAlign w:val="center"/>
            <w:hideMark/>
          </w:tcPr>
          <w:p w14:paraId="75797B2B" w14:textId="77777777" w:rsidR="00A17D7A" w:rsidRPr="007954B9" w:rsidRDefault="00A17D7A">
            <w:pPr>
              <w:jc w:val="both"/>
              <w:rPr>
                <w:rFonts w:ascii="Century Gothic" w:hAnsi="Century Gothic"/>
                <w:sz w:val="20"/>
                <w:szCs w:val="20"/>
                <w:lang w:val="es-ES" w:eastAsia="en-US"/>
              </w:rPr>
            </w:pPr>
            <w:r w:rsidRPr="007954B9">
              <w:rPr>
                <w:rFonts w:ascii="Century Gothic" w:hAnsi="Century Gothic"/>
                <w:sz w:val="20"/>
                <w:szCs w:val="20"/>
                <w:lang w:val="es-ES"/>
              </w:rPr>
              <w:t>Facturación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771270" w14:textId="77777777" w:rsidR="00A17D7A" w:rsidRPr="007954B9" w:rsidRDefault="00A17D7A" w:rsidP="007954B9">
            <w:pPr>
              <w:rPr>
                <w:rFonts w:ascii="Century Gothic" w:hAnsi="Century Gothic"/>
                <w:sz w:val="20"/>
                <w:szCs w:val="20"/>
                <w:lang w:val="es-ES" w:eastAsia="en-US"/>
              </w:rPr>
            </w:pPr>
            <w:r w:rsidRPr="007954B9">
              <w:rPr>
                <w:rFonts w:ascii="Century Gothic" w:hAnsi="Century Gothic"/>
                <w:sz w:val="20"/>
                <w:szCs w:val="20"/>
                <w:lang w:val="es-ES"/>
              </w:rPr>
              <w:t>No aplica</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30B293C" w14:textId="77777777" w:rsidR="00A17D7A" w:rsidRPr="007954B9" w:rsidRDefault="00A17D7A" w:rsidP="00FF5481">
            <w:pPr>
              <w:tabs>
                <w:tab w:val="left" w:pos="459"/>
              </w:tabs>
              <w:ind w:left="34" w:hanging="34"/>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E398E67" w14:textId="77777777" w:rsidR="00A17D7A" w:rsidRPr="007954B9" w:rsidRDefault="00A17D7A" w:rsidP="00FF5481">
            <w:pPr>
              <w:tabs>
                <w:tab w:val="left" w:pos="459"/>
              </w:tabs>
              <w:ind w:left="34" w:hanging="34"/>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6118FAAE" w14:textId="77777777" w:rsidR="00A17D7A" w:rsidRPr="007954B9" w:rsidRDefault="00A17D7A" w:rsidP="00FF5481">
            <w:pPr>
              <w:tabs>
                <w:tab w:val="left" w:pos="459"/>
              </w:tabs>
              <w:ind w:left="34" w:hanging="34"/>
              <w:rPr>
                <w:rFonts w:ascii="Century Gothic" w:hAnsi="Century Gothic"/>
                <w:sz w:val="20"/>
                <w:szCs w:val="20"/>
                <w:lang w:val="es-ES" w:eastAsia="en-US"/>
              </w:rPr>
            </w:pPr>
          </w:p>
        </w:tc>
      </w:tr>
      <w:tr w:rsidR="007954B9" w:rsidRPr="007954B9" w14:paraId="2AA236DF" w14:textId="77777777" w:rsidTr="003E42C7">
        <w:trPr>
          <w:trHeight w:val="813"/>
        </w:trPr>
        <w:tc>
          <w:tcPr>
            <w:tcW w:w="1951" w:type="dxa"/>
            <w:tcBorders>
              <w:top w:val="single" w:sz="4" w:space="0" w:color="auto"/>
              <w:left w:val="single" w:sz="4" w:space="0" w:color="auto"/>
              <w:bottom w:val="single" w:sz="4" w:space="0" w:color="auto"/>
              <w:right w:val="single" w:sz="4" w:space="0" w:color="auto"/>
            </w:tcBorders>
            <w:vAlign w:val="center"/>
            <w:hideMark/>
          </w:tcPr>
          <w:p w14:paraId="52B4559A" w14:textId="77777777" w:rsidR="007954B9" w:rsidRPr="007954B9" w:rsidRDefault="007954B9">
            <w:pPr>
              <w:jc w:val="both"/>
              <w:rPr>
                <w:rFonts w:ascii="Century Gothic" w:hAnsi="Century Gothic"/>
                <w:sz w:val="20"/>
                <w:szCs w:val="20"/>
                <w:lang w:val="es-ES" w:eastAsia="en-US"/>
              </w:rPr>
            </w:pPr>
            <w:r w:rsidRPr="007954B9">
              <w:rPr>
                <w:rFonts w:ascii="Century Gothic" w:hAnsi="Century Gothic"/>
                <w:sz w:val="20"/>
                <w:szCs w:val="20"/>
                <w:lang w:val="es-ES"/>
              </w:rPr>
              <w:t>Contribución de valorización [capital]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44DB5F" w14:textId="488CEFBC" w:rsidR="007954B9" w:rsidRPr="007954B9" w:rsidRDefault="007954B9" w:rsidP="007954B9">
            <w:pPr>
              <w:rPr>
                <w:rFonts w:ascii="Century Gothic" w:hAnsi="Century Gothic"/>
                <w:sz w:val="20"/>
                <w:szCs w:val="20"/>
                <w:lang w:val="es-ES" w:eastAsia="en-US"/>
              </w:rPr>
            </w:pPr>
            <w:r w:rsidRPr="00D12DDB">
              <w:rPr>
                <w:rFonts w:ascii="Century Gothic" w:hAnsi="Century Gothic"/>
                <w:sz w:val="20"/>
                <w:szCs w:val="20"/>
                <w:lang w:val="es-ES"/>
              </w:rPr>
              <w:t>35%</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4BA0B0F7" w14:textId="032DBEED" w:rsidR="007954B9" w:rsidRPr="007954B9" w:rsidRDefault="00C9081B" w:rsidP="00C9081B">
            <w:pPr>
              <w:pStyle w:val="Prrafodelista"/>
              <w:widowControl/>
              <w:tabs>
                <w:tab w:val="left" w:pos="459"/>
              </w:tabs>
              <w:ind w:left="34" w:firstLine="0"/>
              <w:contextualSpacing/>
              <w:rPr>
                <w:rFonts w:cstheme="minorBidi"/>
                <w:sz w:val="20"/>
                <w:szCs w:val="20"/>
                <w:lang w:val="es-ES"/>
              </w:rPr>
            </w:pPr>
            <w:r>
              <w:rPr>
                <w:sz w:val="20"/>
                <w:szCs w:val="20"/>
                <w:lang w:val="es-ES"/>
              </w:rPr>
              <w:t xml:space="preserve">- </w:t>
            </w:r>
            <w:proofErr w:type="spellStart"/>
            <w:r w:rsidR="007954B9" w:rsidRPr="007954B9">
              <w:rPr>
                <w:sz w:val="20"/>
                <w:szCs w:val="20"/>
                <w:lang w:val="es-ES"/>
              </w:rPr>
              <w:t>Refacturación</w:t>
            </w:r>
            <w:proofErr w:type="spellEnd"/>
            <w:r w:rsidR="007954B9" w:rsidRPr="007954B9">
              <w:rPr>
                <w:sz w:val="20"/>
                <w:szCs w:val="20"/>
                <w:lang w:val="es-ES"/>
              </w:rPr>
              <w:t xml:space="preserve"> de la contribución de valorización predios gravados en vigencia anterior.</w:t>
            </w:r>
          </w:p>
          <w:p w14:paraId="6EB1CB52" w14:textId="1DDDA570" w:rsidR="007954B9" w:rsidRPr="007954B9" w:rsidRDefault="00C9081B" w:rsidP="00C9081B">
            <w:pPr>
              <w:pStyle w:val="Prrafodelista"/>
              <w:widowControl/>
              <w:tabs>
                <w:tab w:val="left" w:pos="459"/>
              </w:tabs>
              <w:ind w:left="34" w:firstLine="0"/>
              <w:contextualSpacing/>
              <w:rPr>
                <w:sz w:val="20"/>
                <w:szCs w:val="20"/>
                <w:lang w:val="es-ES" w:eastAsia="en-US"/>
              </w:rPr>
            </w:pPr>
            <w:r>
              <w:rPr>
                <w:sz w:val="20"/>
                <w:szCs w:val="20"/>
                <w:lang w:val="es-ES"/>
              </w:rPr>
              <w:t xml:space="preserve">- </w:t>
            </w:r>
            <w:r w:rsidR="007954B9" w:rsidRPr="007954B9">
              <w:rPr>
                <w:sz w:val="20"/>
                <w:szCs w:val="20"/>
                <w:lang w:val="es-ES"/>
              </w:rPr>
              <w:t>Depuración de la cartera.</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35D1EF97" w14:textId="4A6B7FDB" w:rsidR="007954B9" w:rsidRPr="007954B9" w:rsidRDefault="00C9081B" w:rsidP="00C9081B">
            <w:pPr>
              <w:pStyle w:val="Prrafodelista"/>
              <w:widowControl/>
              <w:tabs>
                <w:tab w:val="left" w:pos="459"/>
              </w:tabs>
              <w:ind w:left="34" w:firstLine="0"/>
              <w:contextualSpacing/>
              <w:rPr>
                <w:rFonts w:cstheme="minorBidi"/>
                <w:sz w:val="20"/>
                <w:szCs w:val="20"/>
                <w:lang w:val="es-ES"/>
              </w:rPr>
            </w:pPr>
            <w:r>
              <w:rPr>
                <w:sz w:val="20"/>
                <w:szCs w:val="20"/>
                <w:lang w:val="es-ES"/>
              </w:rPr>
              <w:t xml:space="preserve">- </w:t>
            </w:r>
            <w:r w:rsidR="007954B9" w:rsidRPr="007954B9">
              <w:rPr>
                <w:sz w:val="20"/>
                <w:szCs w:val="20"/>
                <w:lang w:val="es-ES"/>
              </w:rPr>
              <w:t>Verificar la facturación.</w:t>
            </w:r>
          </w:p>
          <w:p w14:paraId="51E155C9" w14:textId="23B6A5C1" w:rsidR="007954B9" w:rsidRPr="007954B9" w:rsidRDefault="00C9081B" w:rsidP="00C9081B">
            <w:pPr>
              <w:pStyle w:val="Prrafodelista"/>
              <w:widowControl/>
              <w:tabs>
                <w:tab w:val="left" w:pos="459"/>
              </w:tabs>
              <w:ind w:left="34" w:firstLine="0"/>
              <w:contextualSpacing/>
              <w:rPr>
                <w:sz w:val="20"/>
                <w:szCs w:val="20"/>
                <w:lang w:val="es-ES" w:eastAsia="en-US"/>
              </w:rPr>
            </w:pPr>
            <w:r>
              <w:rPr>
                <w:sz w:val="20"/>
                <w:szCs w:val="20"/>
                <w:lang w:val="es-ES"/>
              </w:rPr>
              <w:t xml:space="preserve">- </w:t>
            </w:r>
            <w:r w:rsidR="007954B9" w:rsidRPr="007954B9">
              <w:rPr>
                <w:sz w:val="20"/>
                <w:szCs w:val="20"/>
                <w:lang w:val="es-ES"/>
              </w:rPr>
              <w:t>Realizar seguimiento al cobro coactivo.</w:t>
            </w:r>
          </w:p>
        </w:tc>
        <w:tc>
          <w:tcPr>
            <w:tcW w:w="3473" w:type="dxa"/>
            <w:vMerge w:val="restart"/>
            <w:tcBorders>
              <w:top w:val="single" w:sz="4" w:space="0" w:color="auto"/>
              <w:left w:val="single" w:sz="4" w:space="0" w:color="auto"/>
              <w:bottom w:val="single" w:sz="4" w:space="0" w:color="auto"/>
              <w:right w:val="single" w:sz="4" w:space="0" w:color="auto"/>
            </w:tcBorders>
            <w:vAlign w:val="center"/>
            <w:hideMark/>
          </w:tcPr>
          <w:p w14:paraId="4CA4E95E" w14:textId="3BBEA606" w:rsidR="007954B9" w:rsidRPr="007954B9" w:rsidRDefault="00C9081B" w:rsidP="00C9081B">
            <w:pPr>
              <w:pStyle w:val="Prrafodelista"/>
              <w:widowControl/>
              <w:tabs>
                <w:tab w:val="left" w:pos="459"/>
              </w:tabs>
              <w:ind w:left="34" w:firstLine="0"/>
              <w:contextualSpacing/>
              <w:rPr>
                <w:rFonts w:cstheme="minorBidi"/>
                <w:sz w:val="20"/>
                <w:szCs w:val="20"/>
                <w:lang w:val="es-ES"/>
              </w:rPr>
            </w:pPr>
            <w:r>
              <w:rPr>
                <w:sz w:val="20"/>
                <w:szCs w:val="20"/>
                <w:lang w:val="es-ES"/>
              </w:rPr>
              <w:t xml:space="preserve">- </w:t>
            </w:r>
            <w:r w:rsidR="007954B9" w:rsidRPr="007954B9">
              <w:rPr>
                <w:sz w:val="20"/>
                <w:szCs w:val="20"/>
                <w:lang w:val="es-ES"/>
              </w:rPr>
              <w:t>Total recaudado/Total de la contribución de valorización pendiente de pago</w:t>
            </w:r>
          </w:p>
          <w:p w14:paraId="6D99A3D2" w14:textId="1BF41AE9" w:rsidR="007954B9" w:rsidRPr="007954B9" w:rsidRDefault="00C9081B" w:rsidP="00C9081B">
            <w:pPr>
              <w:pStyle w:val="Prrafodelista"/>
              <w:widowControl/>
              <w:tabs>
                <w:tab w:val="left" w:pos="459"/>
              </w:tabs>
              <w:ind w:left="34" w:firstLine="0"/>
              <w:contextualSpacing/>
              <w:rPr>
                <w:sz w:val="20"/>
                <w:szCs w:val="20"/>
                <w:lang w:val="es-ES"/>
              </w:rPr>
            </w:pPr>
            <w:r>
              <w:rPr>
                <w:sz w:val="20"/>
                <w:szCs w:val="20"/>
                <w:lang w:val="es-ES"/>
              </w:rPr>
              <w:t xml:space="preserve">- </w:t>
            </w:r>
            <w:r w:rsidR="007954B9" w:rsidRPr="007954B9">
              <w:rPr>
                <w:sz w:val="20"/>
                <w:szCs w:val="20"/>
                <w:lang w:val="es-ES"/>
              </w:rPr>
              <w:t xml:space="preserve">Numero de predios </w:t>
            </w:r>
            <w:proofErr w:type="spellStart"/>
            <w:r w:rsidR="007954B9" w:rsidRPr="007954B9">
              <w:rPr>
                <w:sz w:val="20"/>
                <w:szCs w:val="20"/>
                <w:lang w:val="es-ES"/>
              </w:rPr>
              <w:t>refacturados</w:t>
            </w:r>
            <w:proofErr w:type="spellEnd"/>
            <w:r w:rsidR="007954B9" w:rsidRPr="007954B9">
              <w:rPr>
                <w:sz w:val="20"/>
                <w:szCs w:val="20"/>
                <w:lang w:val="es-ES"/>
              </w:rPr>
              <w:t xml:space="preserve"> de la contribución de valorización/Número total predios pendientes de pago.</w:t>
            </w:r>
          </w:p>
          <w:p w14:paraId="3A2EA5FA" w14:textId="1FCFD511" w:rsidR="007954B9" w:rsidRPr="00C9081B" w:rsidRDefault="00C9081B" w:rsidP="00C9081B">
            <w:pPr>
              <w:pStyle w:val="Prrafodelista"/>
              <w:widowControl/>
              <w:tabs>
                <w:tab w:val="left" w:pos="459"/>
              </w:tabs>
              <w:ind w:left="34" w:firstLine="0"/>
              <w:contextualSpacing/>
              <w:rPr>
                <w:sz w:val="20"/>
                <w:szCs w:val="20"/>
                <w:lang w:val="es-ES" w:eastAsia="en-US"/>
              </w:rPr>
            </w:pPr>
            <w:r>
              <w:rPr>
                <w:sz w:val="20"/>
                <w:szCs w:val="20"/>
                <w:lang w:val="es-ES"/>
              </w:rPr>
              <w:t xml:space="preserve">- </w:t>
            </w:r>
            <w:r w:rsidR="007954B9" w:rsidRPr="00C9081B">
              <w:rPr>
                <w:sz w:val="20"/>
                <w:szCs w:val="20"/>
                <w:lang w:val="es-ES"/>
              </w:rPr>
              <w:t>Número de procesos depurados/total de procesos en cartera.</w:t>
            </w:r>
          </w:p>
        </w:tc>
      </w:tr>
      <w:tr w:rsidR="007954B9" w:rsidRPr="007954B9" w14:paraId="3825AB82" w14:textId="77777777" w:rsidTr="003E42C7">
        <w:trPr>
          <w:trHeight w:val="569"/>
        </w:trPr>
        <w:tc>
          <w:tcPr>
            <w:tcW w:w="1951" w:type="dxa"/>
            <w:tcBorders>
              <w:top w:val="single" w:sz="4" w:space="0" w:color="auto"/>
              <w:left w:val="single" w:sz="4" w:space="0" w:color="auto"/>
              <w:bottom w:val="single" w:sz="4" w:space="0" w:color="auto"/>
              <w:right w:val="single" w:sz="4" w:space="0" w:color="auto"/>
            </w:tcBorders>
            <w:vAlign w:val="center"/>
            <w:hideMark/>
          </w:tcPr>
          <w:p w14:paraId="2C1FD4B1" w14:textId="77777777" w:rsidR="007954B9" w:rsidRPr="007954B9" w:rsidRDefault="007954B9">
            <w:pPr>
              <w:jc w:val="both"/>
              <w:rPr>
                <w:rFonts w:ascii="Century Gothic" w:hAnsi="Century Gothic"/>
                <w:sz w:val="20"/>
                <w:szCs w:val="20"/>
                <w:lang w:val="es-ES" w:eastAsia="en-US"/>
              </w:rPr>
            </w:pPr>
            <w:r w:rsidRPr="007954B9">
              <w:rPr>
                <w:rFonts w:ascii="Century Gothic" w:hAnsi="Century Gothic"/>
                <w:sz w:val="20"/>
                <w:szCs w:val="20"/>
                <w:lang w:val="es-ES"/>
              </w:rPr>
              <w:t>Interés de financiación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2F4F4F" w14:textId="65FA6E3C" w:rsidR="007954B9" w:rsidRPr="007954B9" w:rsidRDefault="007954B9" w:rsidP="007954B9">
            <w:pPr>
              <w:rPr>
                <w:rFonts w:ascii="Century Gothic" w:hAnsi="Century Gothic"/>
                <w:sz w:val="20"/>
                <w:szCs w:val="20"/>
                <w:lang w:val="es-ES" w:eastAsia="en-US"/>
              </w:rPr>
            </w:pPr>
            <w:r w:rsidRPr="00D12DDB">
              <w:rPr>
                <w:rFonts w:ascii="Century Gothic" w:hAnsi="Century Gothic"/>
                <w:sz w:val="20"/>
                <w:szCs w:val="20"/>
                <w:lang w:val="es-ES"/>
              </w:rPr>
              <w:t>35%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E026EB4" w14:textId="77777777" w:rsidR="007954B9" w:rsidRPr="007954B9" w:rsidRDefault="007954B9">
            <w:pPr>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E5DC389" w14:textId="77777777" w:rsidR="007954B9" w:rsidRPr="007954B9" w:rsidRDefault="007954B9">
            <w:pPr>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4E2337EF" w14:textId="77777777" w:rsidR="007954B9" w:rsidRPr="007954B9" w:rsidRDefault="007954B9">
            <w:pPr>
              <w:rPr>
                <w:rFonts w:ascii="Century Gothic" w:hAnsi="Century Gothic"/>
                <w:sz w:val="20"/>
                <w:szCs w:val="20"/>
                <w:lang w:val="es-ES" w:eastAsia="en-US"/>
              </w:rPr>
            </w:pPr>
          </w:p>
        </w:tc>
      </w:tr>
      <w:tr w:rsidR="007954B9" w:rsidRPr="007954B9" w14:paraId="47BEE1E5" w14:textId="77777777" w:rsidTr="003E42C7">
        <w:trPr>
          <w:trHeight w:val="523"/>
        </w:trPr>
        <w:tc>
          <w:tcPr>
            <w:tcW w:w="1951" w:type="dxa"/>
            <w:tcBorders>
              <w:top w:val="single" w:sz="4" w:space="0" w:color="auto"/>
              <w:left w:val="single" w:sz="4" w:space="0" w:color="auto"/>
              <w:bottom w:val="single" w:sz="4" w:space="0" w:color="auto"/>
              <w:right w:val="single" w:sz="4" w:space="0" w:color="auto"/>
            </w:tcBorders>
            <w:vAlign w:val="center"/>
            <w:hideMark/>
          </w:tcPr>
          <w:p w14:paraId="18317258" w14:textId="77777777" w:rsidR="007954B9" w:rsidRPr="007954B9" w:rsidRDefault="007954B9">
            <w:pPr>
              <w:jc w:val="both"/>
              <w:rPr>
                <w:rFonts w:ascii="Century Gothic" w:hAnsi="Century Gothic"/>
                <w:sz w:val="20"/>
                <w:szCs w:val="20"/>
                <w:lang w:val="es-ES" w:eastAsia="en-US"/>
              </w:rPr>
            </w:pPr>
            <w:r w:rsidRPr="007954B9">
              <w:rPr>
                <w:rFonts w:ascii="Century Gothic" w:hAnsi="Century Gothic"/>
                <w:sz w:val="20"/>
                <w:szCs w:val="20"/>
                <w:lang w:val="es-ES"/>
              </w:rPr>
              <w:t>Interés de mora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FC64D3" w14:textId="3B32E594" w:rsidR="007954B9" w:rsidRPr="007954B9" w:rsidRDefault="007954B9" w:rsidP="007954B9">
            <w:pPr>
              <w:rPr>
                <w:rFonts w:ascii="Century Gothic" w:hAnsi="Century Gothic"/>
                <w:sz w:val="20"/>
                <w:szCs w:val="20"/>
                <w:lang w:val="es-ES" w:eastAsia="en-US"/>
              </w:rPr>
            </w:pPr>
            <w:r w:rsidRPr="00D12DDB">
              <w:rPr>
                <w:rFonts w:ascii="Century Gothic" w:hAnsi="Century Gothic"/>
                <w:sz w:val="20"/>
                <w:szCs w:val="20"/>
                <w:lang w:val="es-ES"/>
              </w:rPr>
              <w:t>35%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B4B7BC" w14:textId="77777777" w:rsidR="007954B9" w:rsidRPr="007954B9" w:rsidRDefault="007954B9">
            <w:pPr>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BF99345" w14:textId="77777777" w:rsidR="007954B9" w:rsidRPr="007954B9" w:rsidRDefault="007954B9">
            <w:pPr>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50938E17" w14:textId="77777777" w:rsidR="007954B9" w:rsidRPr="007954B9" w:rsidRDefault="007954B9">
            <w:pPr>
              <w:rPr>
                <w:rFonts w:ascii="Century Gothic" w:hAnsi="Century Gothic"/>
                <w:sz w:val="20"/>
                <w:szCs w:val="20"/>
                <w:lang w:val="es-ES" w:eastAsia="en-US"/>
              </w:rPr>
            </w:pPr>
          </w:p>
        </w:tc>
      </w:tr>
      <w:tr w:rsidR="00A17D7A" w:rsidRPr="007954B9" w14:paraId="541F3CC4" w14:textId="77777777" w:rsidTr="003E42C7">
        <w:trPr>
          <w:trHeight w:val="63"/>
        </w:trPr>
        <w:tc>
          <w:tcPr>
            <w:tcW w:w="1951" w:type="dxa"/>
            <w:tcBorders>
              <w:top w:val="single" w:sz="4" w:space="0" w:color="auto"/>
              <w:left w:val="single" w:sz="4" w:space="0" w:color="auto"/>
              <w:bottom w:val="single" w:sz="4" w:space="0" w:color="auto"/>
              <w:right w:val="single" w:sz="4" w:space="0" w:color="auto"/>
            </w:tcBorders>
            <w:vAlign w:val="center"/>
            <w:hideMark/>
          </w:tcPr>
          <w:p w14:paraId="00ECEA5B" w14:textId="77777777" w:rsidR="00A17D7A" w:rsidRPr="007954B9" w:rsidRDefault="00A17D7A">
            <w:pPr>
              <w:jc w:val="both"/>
              <w:rPr>
                <w:rFonts w:ascii="Century Gothic" w:hAnsi="Century Gothic"/>
                <w:sz w:val="20"/>
                <w:szCs w:val="20"/>
                <w:lang w:val="es-ES" w:eastAsia="en-US"/>
              </w:rPr>
            </w:pPr>
            <w:r w:rsidRPr="007954B9">
              <w:rPr>
                <w:rFonts w:ascii="Century Gothic" w:hAnsi="Century Gothic"/>
                <w:sz w:val="20"/>
                <w:szCs w:val="20"/>
                <w:lang w:val="es-ES"/>
              </w:rPr>
              <w:t>Descuento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E76892" w14:textId="77777777" w:rsidR="00A17D7A" w:rsidRPr="007954B9" w:rsidRDefault="00A17D7A" w:rsidP="007954B9">
            <w:pPr>
              <w:rPr>
                <w:rFonts w:ascii="Century Gothic" w:hAnsi="Century Gothic"/>
                <w:sz w:val="20"/>
                <w:szCs w:val="20"/>
                <w:lang w:val="es-ES" w:eastAsia="en-US"/>
              </w:rPr>
            </w:pPr>
            <w:r w:rsidRPr="007954B9">
              <w:rPr>
                <w:rFonts w:ascii="Century Gothic" w:hAnsi="Century Gothic"/>
                <w:sz w:val="20"/>
                <w:szCs w:val="20"/>
                <w:lang w:val="es-ES"/>
              </w:rPr>
              <w:t>No aplica</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7A375C5" w14:textId="77777777" w:rsidR="00A17D7A" w:rsidRPr="007954B9" w:rsidRDefault="00A17D7A">
            <w:pPr>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4E9C58A" w14:textId="77777777" w:rsidR="00A17D7A" w:rsidRPr="007954B9" w:rsidRDefault="00A17D7A">
            <w:pPr>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474C45D1" w14:textId="77777777" w:rsidR="00A17D7A" w:rsidRPr="007954B9" w:rsidRDefault="00A17D7A">
            <w:pPr>
              <w:rPr>
                <w:rFonts w:ascii="Century Gothic" w:hAnsi="Century Gothic"/>
                <w:sz w:val="20"/>
                <w:szCs w:val="20"/>
                <w:lang w:val="es-ES" w:eastAsia="en-US"/>
              </w:rPr>
            </w:pPr>
          </w:p>
        </w:tc>
      </w:tr>
      <w:tr w:rsidR="00A17D7A" w:rsidRPr="007954B9" w14:paraId="06133764" w14:textId="77777777" w:rsidTr="003E42C7">
        <w:trPr>
          <w:trHeight w:val="557"/>
        </w:trPr>
        <w:tc>
          <w:tcPr>
            <w:tcW w:w="1951" w:type="dxa"/>
            <w:tcBorders>
              <w:top w:val="single" w:sz="4" w:space="0" w:color="auto"/>
              <w:left w:val="single" w:sz="4" w:space="0" w:color="auto"/>
              <w:bottom w:val="single" w:sz="4" w:space="0" w:color="auto"/>
              <w:right w:val="single" w:sz="4" w:space="0" w:color="auto"/>
            </w:tcBorders>
            <w:vAlign w:val="center"/>
            <w:hideMark/>
          </w:tcPr>
          <w:p w14:paraId="4D6AFCE0" w14:textId="77777777" w:rsidR="00A17D7A" w:rsidRPr="007954B9" w:rsidRDefault="00A17D7A">
            <w:pPr>
              <w:jc w:val="both"/>
              <w:rPr>
                <w:rFonts w:ascii="Century Gothic" w:hAnsi="Century Gothic"/>
                <w:sz w:val="20"/>
                <w:szCs w:val="20"/>
                <w:lang w:val="es-ES" w:eastAsia="en-US"/>
              </w:rPr>
            </w:pPr>
            <w:r w:rsidRPr="007954B9">
              <w:rPr>
                <w:rFonts w:ascii="Century Gothic" w:hAnsi="Century Gothic"/>
                <w:sz w:val="20"/>
                <w:szCs w:val="20"/>
                <w:lang w:val="es-ES"/>
              </w:rPr>
              <w:t>Facturación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73F6C4" w14:textId="141676AA" w:rsidR="00A17D7A" w:rsidRPr="007954B9" w:rsidRDefault="007954B9" w:rsidP="007954B9">
            <w:pPr>
              <w:rPr>
                <w:rFonts w:ascii="Century Gothic" w:hAnsi="Century Gothic"/>
                <w:sz w:val="20"/>
                <w:szCs w:val="20"/>
                <w:lang w:val="es-ES" w:eastAsia="en-US"/>
              </w:rPr>
            </w:pPr>
            <w:r w:rsidRPr="007954B9">
              <w:rPr>
                <w:rFonts w:ascii="Century Gothic" w:hAnsi="Century Gothic"/>
                <w:sz w:val="20"/>
                <w:szCs w:val="20"/>
                <w:lang w:val="es-ES"/>
              </w:rPr>
              <w:t>35%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CE8B6E" w14:textId="77777777" w:rsidR="00A17D7A" w:rsidRPr="007954B9" w:rsidRDefault="00A17D7A">
            <w:pPr>
              <w:rPr>
                <w:rFonts w:ascii="Century Gothic" w:hAnsi="Century Gothic"/>
                <w:sz w:val="20"/>
                <w:szCs w:val="20"/>
                <w:lang w:val="es-ES"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9C7C6B7" w14:textId="77777777" w:rsidR="00A17D7A" w:rsidRPr="007954B9" w:rsidRDefault="00A17D7A">
            <w:pPr>
              <w:rPr>
                <w:rFonts w:ascii="Century Gothic" w:hAnsi="Century Gothic"/>
                <w:sz w:val="20"/>
                <w:szCs w:val="20"/>
                <w:lang w:val="es-ES"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14:paraId="401F2675" w14:textId="77777777" w:rsidR="00A17D7A" w:rsidRPr="007954B9" w:rsidRDefault="00A17D7A">
            <w:pPr>
              <w:rPr>
                <w:rFonts w:ascii="Century Gothic" w:hAnsi="Century Gothic"/>
                <w:sz w:val="20"/>
                <w:szCs w:val="20"/>
                <w:lang w:val="es-ES" w:eastAsia="en-US"/>
              </w:rPr>
            </w:pPr>
          </w:p>
        </w:tc>
      </w:tr>
    </w:tbl>
    <w:p w14:paraId="2A40A57C" w14:textId="77777777" w:rsidR="00A17D7A" w:rsidRPr="007954B9" w:rsidRDefault="00A17D7A" w:rsidP="00A17D7A">
      <w:pPr>
        <w:spacing w:after="0" w:line="240" w:lineRule="auto"/>
        <w:rPr>
          <w:rFonts w:ascii="Century Gothic" w:hAnsi="Century Gothic"/>
          <w:lang w:val="es-ES" w:eastAsia="en-US"/>
        </w:rPr>
      </w:pPr>
      <w:r w:rsidRPr="007954B9">
        <w:rPr>
          <w:rFonts w:ascii="Century Gothic" w:hAnsi="Century Gothic"/>
          <w:lang w:val="es-ES"/>
        </w:rPr>
        <w:t xml:space="preserve">Fuente: Subsecretaria de valorización. </w:t>
      </w:r>
    </w:p>
    <w:p w14:paraId="11DB39AB" w14:textId="77777777" w:rsidR="004C1FCB" w:rsidRPr="007954B9" w:rsidRDefault="004C1FCB" w:rsidP="004C1FCB">
      <w:pPr>
        <w:rPr>
          <w:rFonts w:ascii="Century Gothic" w:hAnsi="Century Gothic"/>
          <w:lang w:val="es-ES"/>
        </w:rPr>
      </w:pPr>
    </w:p>
    <w:p w14:paraId="661682FE" w14:textId="77777777" w:rsidR="00FF5481" w:rsidRPr="001E2110" w:rsidRDefault="00FF5481">
      <w:pPr>
        <w:rPr>
          <w:rFonts w:ascii="Century Gothic" w:hAnsi="Century Gothic"/>
          <w:highlight w:val="yellow"/>
          <w:lang w:val="es-ES"/>
        </w:rPr>
      </w:pPr>
      <w:r w:rsidRPr="001E2110">
        <w:rPr>
          <w:rFonts w:ascii="Century Gothic" w:hAnsi="Century Gothic"/>
          <w:highlight w:val="yellow"/>
          <w:lang w:val="es-ES"/>
        </w:rPr>
        <w:br w:type="page"/>
      </w:r>
    </w:p>
    <w:tbl>
      <w:tblPr>
        <w:tblW w:w="5000" w:type="pct"/>
        <w:tblLayout w:type="fixed"/>
        <w:tblCellMar>
          <w:left w:w="70" w:type="dxa"/>
          <w:right w:w="70" w:type="dxa"/>
        </w:tblCellMar>
        <w:tblLook w:val="04A0" w:firstRow="1" w:lastRow="0" w:firstColumn="1" w:lastColumn="0" w:noHBand="0" w:noVBand="1"/>
      </w:tblPr>
      <w:tblGrid>
        <w:gridCol w:w="1771"/>
        <w:gridCol w:w="731"/>
        <w:gridCol w:w="2813"/>
        <w:gridCol w:w="3969"/>
        <w:gridCol w:w="3010"/>
      </w:tblGrid>
      <w:tr w:rsidR="00FF5481" w:rsidRPr="003E42C7" w14:paraId="634122D4" w14:textId="77777777" w:rsidTr="003E42C7">
        <w:trPr>
          <w:trHeight w:val="300"/>
        </w:trPr>
        <w:tc>
          <w:tcPr>
            <w:tcW w:w="720" w:type="pct"/>
            <w:tcBorders>
              <w:top w:val="single" w:sz="4" w:space="0" w:color="auto"/>
              <w:left w:val="single" w:sz="8" w:space="0" w:color="auto"/>
              <w:bottom w:val="single" w:sz="4" w:space="0" w:color="auto"/>
              <w:right w:val="single" w:sz="4" w:space="0" w:color="auto"/>
            </w:tcBorders>
            <w:shd w:val="clear" w:color="auto" w:fill="C2D69B" w:themeFill="accent3" w:themeFillTint="99"/>
            <w:noWrap/>
            <w:vAlign w:val="bottom"/>
            <w:hideMark/>
          </w:tcPr>
          <w:p w14:paraId="78697CB3" w14:textId="1E181D54" w:rsidR="00FF5481" w:rsidRPr="003E42C7" w:rsidRDefault="009D2B6B" w:rsidP="00A1717F">
            <w:pPr>
              <w:spacing w:after="0" w:line="240" w:lineRule="auto"/>
              <w:jc w:val="center"/>
              <w:rPr>
                <w:rFonts w:ascii="Century Gothic" w:eastAsia="Times New Roman" w:hAnsi="Century Gothic" w:cs="Times New Roman"/>
                <w:b/>
                <w:bCs/>
                <w:color w:val="000000"/>
                <w:sz w:val="20"/>
                <w:szCs w:val="20"/>
                <w:lang w:val="es-ES" w:eastAsia="es-ES"/>
              </w:rPr>
            </w:pPr>
            <w:r w:rsidRPr="003E42C7">
              <w:rPr>
                <w:rFonts w:ascii="Century Gothic" w:eastAsia="Times New Roman" w:hAnsi="Century Gothic" w:cs="Times New Roman"/>
                <w:b/>
                <w:bCs/>
                <w:color w:val="000000"/>
                <w:sz w:val="20"/>
                <w:szCs w:val="20"/>
                <w:lang w:val="es-ES" w:eastAsia="es-ES"/>
              </w:rPr>
              <w:lastRenderedPageBreak/>
              <w:t>Ingresos</w:t>
            </w:r>
          </w:p>
        </w:tc>
        <w:tc>
          <w:tcPr>
            <w:tcW w:w="297" w:type="pct"/>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01E1D019" w14:textId="49645FD8" w:rsidR="00FF5481" w:rsidRPr="003E42C7" w:rsidRDefault="009D2B6B" w:rsidP="00A1717F">
            <w:pPr>
              <w:spacing w:after="0" w:line="240" w:lineRule="auto"/>
              <w:jc w:val="center"/>
              <w:rPr>
                <w:rFonts w:ascii="Century Gothic" w:eastAsia="Times New Roman" w:hAnsi="Century Gothic" w:cs="Times New Roman"/>
                <w:b/>
                <w:bCs/>
                <w:color w:val="000000"/>
                <w:sz w:val="20"/>
                <w:szCs w:val="20"/>
                <w:lang w:val="es-ES" w:eastAsia="es-ES"/>
              </w:rPr>
            </w:pPr>
            <w:r w:rsidRPr="003E42C7">
              <w:rPr>
                <w:rFonts w:ascii="Century Gothic" w:eastAsia="Times New Roman" w:hAnsi="Century Gothic" w:cs="Times New Roman"/>
                <w:b/>
                <w:bCs/>
                <w:color w:val="000000"/>
                <w:sz w:val="20"/>
                <w:szCs w:val="20"/>
                <w:lang w:val="es-ES" w:eastAsia="es-ES"/>
              </w:rPr>
              <w:t>Meta</w:t>
            </w:r>
          </w:p>
        </w:tc>
        <w:tc>
          <w:tcPr>
            <w:tcW w:w="1144" w:type="pct"/>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4EF9064E" w14:textId="4DD59FB4" w:rsidR="00FF5481" w:rsidRPr="003E42C7" w:rsidRDefault="009D2B6B" w:rsidP="00A1717F">
            <w:pPr>
              <w:spacing w:after="0" w:line="240" w:lineRule="auto"/>
              <w:jc w:val="center"/>
              <w:rPr>
                <w:rFonts w:ascii="Century Gothic" w:eastAsia="Times New Roman" w:hAnsi="Century Gothic" w:cs="Times New Roman"/>
                <w:b/>
                <w:bCs/>
                <w:color w:val="000000"/>
                <w:sz w:val="20"/>
                <w:szCs w:val="20"/>
                <w:lang w:val="es-ES" w:eastAsia="es-ES"/>
              </w:rPr>
            </w:pPr>
            <w:r w:rsidRPr="003E42C7">
              <w:rPr>
                <w:rFonts w:ascii="Century Gothic" w:eastAsia="Times New Roman" w:hAnsi="Century Gothic" w:cs="Times New Roman"/>
                <w:b/>
                <w:bCs/>
                <w:color w:val="000000"/>
                <w:sz w:val="20"/>
                <w:szCs w:val="20"/>
                <w:lang w:val="es-ES" w:eastAsia="es-ES"/>
              </w:rPr>
              <w:t>Acciones</w:t>
            </w:r>
          </w:p>
        </w:tc>
        <w:tc>
          <w:tcPr>
            <w:tcW w:w="1614" w:type="pct"/>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4273B328" w14:textId="57E1F140" w:rsidR="00FF5481" w:rsidRPr="003E42C7" w:rsidRDefault="009D2B6B" w:rsidP="00A1717F">
            <w:pPr>
              <w:spacing w:after="0" w:line="240" w:lineRule="auto"/>
              <w:jc w:val="center"/>
              <w:rPr>
                <w:rFonts w:ascii="Century Gothic" w:eastAsia="Times New Roman" w:hAnsi="Century Gothic" w:cs="Times New Roman"/>
                <w:b/>
                <w:bCs/>
                <w:color w:val="000000"/>
                <w:sz w:val="20"/>
                <w:szCs w:val="20"/>
                <w:lang w:val="es-ES" w:eastAsia="es-ES"/>
              </w:rPr>
            </w:pPr>
            <w:r w:rsidRPr="003E42C7">
              <w:rPr>
                <w:rFonts w:ascii="Century Gothic" w:eastAsia="Times New Roman" w:hAnsi="Century Gothic" w:cs="Times New Roman"/>
                <w:b/>
                <w:bCs/>
                <w:color w:val="000000"/>
                <w:sz w:val="20"/>
                <w:szCs w:val="20"/>
                <w:lang w:val="es-ES" w:eastAsia="es-ES"/>
              </w:rPr>
              <w:t>Actividades</w:t>
            </w:r>
          </w:p>
        </w:tc>
        <w:tc>
          <w:tcPr>
            <w:tcW w:w="1224" w:type="pct"/>
            <w:tcBorders>
              <w:top w:val="single" w:sz="4" w:space="0" w:color="auto"/>
              <w:left w:val="nil"/>
              <w:bottom w:val="single" w:sz="4" w:space="0" w:color="auto"/>
              <w:right w:val="single" w:sz="8" w:space="0" w:color="000000"/>
            </w:tcBorders>
            <w:shd w:val="clear" w:color="auto" w:fill="C2D69B" w:themeFill="accent3" w:themeFillTint="99"/>
            <w:noWrap/>
            <w:vAlign w:val="bottom"/>
            <w:hideMark/>
          </w:tcPr>
          <w:p w14:paraId="6BACE7AF" w14:textId="645C3505" w:rsidR="00FF5481" w:rsidRPr="003E42C7" w:rsidRDefault="009D2B6B" w:rsidP="00A1717F">
            <w:pPr>
              <w:spacing w:after="0" w:line="240" w:lineRule="auto"/>
              <w:jc w:val="center"/>
              <w:rPr>
                <w:rFonts w:ascii="Century Gothic" w:eastAsia="Times New Roman" w:hAnsi="Century Gothic" w:cs="Times New Roman"/>
                <w:b/>
                <w:bCs/>
                <w:color w:val="000000"/>
                <w:sz w:val="20"/>
                <w:szCs w:val="20"/>
                <w:lang w:val="es-ES" w:eastAsia="es-ES"/>
              </w:rPr>
            </w:pPr>
            <w:r w:rsidRPr="003E42C7">
              <w:rPr>
                <w:rFonts w:ascii="Century Gothic" w:eastAsia="Times New Roman" w:hAnsi="Century Gothic" w:cs="Times New Roman"/>
                <w:b/>
                <w:bCs/>
                <w:color w:val="000000"/>
                <w:sz w:val="20"/>
                <w:szCs w:val="20"/>
                <w:lang w:val="es-ES" w:eastAsia="es-ES"/>
              </w:rPr>
              <w:t>Indicadores de seguimiento</w:t>
            </w:r>
          </w:p>
        </w:tc>
      </w:tr>
      <w:tr w:rsidR="00FF5481" w:rsidRPr="003E42C7" w14:paraId="31057876" w14:textId="77777777" w:rsidTr="003E42C7">
        <w:trPr>
          <w:trHeight w:val="624"/>
        </w:trPr>
        <w:tc>
          <w:tcPr>
            <w:tcW w:w="720" w:type="pct"/>
            <w:vMerge w:val="restart"/>
            <w:tcBorders>
              <w:top w:val="nil"/>
              <w:left w:val="single" w:sz="8" w:space="0" w:color="auto"/>
              <w:bottom w:val="single" w:sz="8" w:space="0" w:color="000000"/>
              <w:right w:val="single" w:sz="4" w:space="0" w:color="auto"/>
            </w:tcBorders>
            <w:shd w:val="clear" w:color="auto" w:fill="auto"/>
            <w:vAlign w:val="center"/>
            <w:hideMark/>
          </w:tcPr>
          <w:p w14:paraId="54E1FB67" w14:textId="6650D704" w:rsidR="00FF5481" w:rsidRPr="003E42C7" w:rsidRDefault="00FF5481" w:rsidP="00A1717F">
            <w:pPr>
              <w:spacing w:after="0" w:line="240" w:lineRule="auto"/>
              <w:jc w:val="center"/>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 xml:space="preserve">Compensación Espacio Publico </w:t>
            </w:r>
          </w:p>
        </w:tc>
        <w:tc>
          <w:tcPr>
            <w:tcW w:w="297" w:type="pct"/>
            <w:vMerge w:val="restart"/>
            <w:tcBorders>
              <w:top w:val="nil"/>
              <w:left w:val="single" w:sz="4" w:space="0" w:color="auto"/>
              <w:bottom w:val="single" w:sz="8" w:space="0" w:color="000000"/>
              <w:right w:val="single" w:sz="4" w:space="0" w:color="auto"/>
            </w:tcBorders>
            <w:shd w:val="clear" w:color="auto" w:fill="auto"/>
            <w:vAlign w:val="center"/>
            <w:hideMark/>
          </w:tcPr>
          <w:p w14:paraId="7C7676D4" w14:textId="3795C764" w:rsidR="00FF5481" w:rsidRPr="003E42C7" w:rsidRDefault="00FF5481" w:rsidP="00A1717F">
            <w:pPr>
              <w:spacing w:after="0" w:line="240" w:lineRule="auto"/>
              <w:jc w:val="center"/>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 xml:space="preserve">100% </w:t>
            </w:r>
          </w:p>
        </w:tc>
        <w:tc>
          <w:tcPr>
            <w:tcW w:w="1144" w:type="pct"/>
            <w:tcBorders>
              <w:top w:val="nil"/>
              <w:left w:val="nil"/>
              <w:bottom w:val="single" w:sz="4" w:space="0" w:color="auto"/>
              <w:right w:val="single" w:sz="4" w:space="0" w:color="auto"/>
            </w:tcBorders>
            <w:shd w:val="clear" w:color="auto" w:fill="auto"/>
            <w:vAlign w:val="bottom"/>
            <w:hideMark/>
          </w:tcPr>
          <w:p w14:paraId="67B9B01A" w14:textId="577EDD4E" w:rsidR="00FF5481" w:rsidRPr="003E42C7" w:rsidRDefault="00FF5481" w:rsidP="00A1717F">
            <w:pPr>
              <w:spacing w:after="0" w:line="240" w:lineRule="auto"/>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 xml:space="preserve">Realizar una correcta evaluación  en lo referente a </w:t>
            </w:r>
            <w:r w:rsidR="00A02A7A" w:rsidRPr="003E42C7">
              <w:rPr>
                <w:rFonts w:ascii="Century Gothic" w:eastAsia="Times New Roman" w:hAnsi="Century Gothic" w:cs="Times New Roman"/>
                <w:color w:val="000000"/>
                <w:sz w:val="20"/>
                <w:szCs w:val="20"/>
                <w:lang w:val="es-ES" w:eastAsia="es-ES"/>
              </w:rPr>
              <w:t xml:space="preserve">avalúos </w:t>
            </w:r>
            <w:r w:rsidRPr="003E42C7">
              <w:rPr>
                <w:rFonts w:ascii="Century Gothic" w:eastAsia="Times New Roman" w:hAnsi="Century Gothic" w:cs="Times New Roman"/>
                <w:color w:val="000000"/>
                <w:sz w:val="20"/>
                <w:szCs w:val="20"/>
                <w:lang w:val="es-ES" w:eastAsia="es-ES"/>
              </w:rPr>
              <w:t>por zonas.</w:t>
            </w:r>
          </w:p>
        </w:tc>
        <w:tc>
          <w:tcPr>
            <w:tcW w:w="1614" w:type="pct"/>
            <w:tcBorders>
              <w:top w:val="nil"/>
              <w:left w:val="nil"/>
              <w:bottom w:val="single" w:sz="4" w:space="0" w:color="auto"/>
              <w:right w:val="single" w:sz="4" w:space="0" w:color="auto"/>
            </w:tcBorders>
            <w:shd w:val="clear" w:color="auto" w:fill="auto"/>
            <w:vAlign w:val="center"/>
            <w:hideMark/>
          </w:tcPr>
          <w:p w14:paraId="59A5D6D8" w14:textId="51F73A61" w:rsidR="00FF5481" w:rsidRPr="003E42C7" w:rsidRDefault="00FF5481" w:rsidP="00A1717F">
            <w:pPr>
              <w:spacing w:after="0" w:line="240" w:lineRule="auto"/>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Objetar avalúos comerciales por mayor o menor valor por barrios</w:t>
            </w:r>
          </w:p>
        </w:tc>
        <w:tc>
          <w:tcPr>
            <w:tcW w:w="1224" w:type="pct"/>
            <w:tcBorders>
              <w:top w:val="single" w:sz="4" w:space="0" w:color="auto"/>
              <w:left w:val="nil"/>
              <w:bottom w:val="single" w:sz="4" w:space="0" w:color="auto"/>
              <w:right w:val="single" w:sz="8" w:space="0" w:color="000000"/>
            </w:tcBorders>
            <w:shd w:val="clear" w:color="auto" w:fill="auto"/>
            <w:noWrap/>
            <w:vAlign w:val="center"/>
            <w:hideMark/>
          </w:tcPr>
          <w:p w14:paraId="4A3010E8" w14:textId="77777777" w:rsidR="00FF5481" w:rsidRPr="003E42C7" w:rsidRDefault="00FF5481" w:rsidP="00A1717F">
            <w:pPr>
              <w:spacing w:after="0" w:line="240" w:lineRule="auto"/>
              <w:jc w:val="center"/>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No. De predios efectivamente liquidados</w:t>
            </w:r>
          </w:p>
        </w:tc>
      </w:tr>
      <w:tr w:rsidR="00FF5481" w:rsidRPr="001E2110" w14:paraId="221E8E97" w14:textId="77777777" w:rsidTr="003E42C7">
        <w:trPr>
          <w:trHeight w:val="1260"/>
        </w:trPr>
        <w:tc>
          <w:tcPr>
            <w:tcW w:w="720" w:type="pct"/>
            <w:vMerge/>
            <w:tcBorders>
              <w:top w:val="nil"/>
              <w:left w:val="single" w:sz="8" w:space="0" w:color="auto"/>
              <w:bottom w:val="single" w:sz="8" w:space="0" w:color="000000"/>
              <w:right w:val="single" w:sz="4" w:space="0" w:color="auto"/>
            </w:tcBorders>
            <w:vAlign w:val="center"/>
            <w:hideMark/>
          </w:tcPr>
          <w:p w14:paraId="39EB1B16" w14:textId="77777777" w:rsidR="00FF5481" w:rsidRPr="003E42C7" w:rsidRDefault="00FF5481" w:rsidP="00A1717F">
            <w:pPr>
              <w:spacing w:after="0" w:line="240" w:lineRule="auto"/>
              <w:rPr>
                <w:rFonts w:ascii="Century Gothic" w:eastAsia="Times New Roman" w:hAnsi="Century Gothic" w:cs="Times New Roman"/>
                <w:color w:val="000000"/>
                <w:sz w:val="20"/>
                <w:szCs w:val="20"/>
                <w:lang w:val="es-ES" w:eastAsia="es-ES"/>
              </w:rPr>
            </w:pPr>
          </w:p>
        </w:tc>
        <w:tc>
          <w:tcPr>
            <w:tcW w:w="297" w:type="pct"/>
            <w:vMerge/>
            <w:tcBorders>
              <w:top w:val="nil"/>
              <w:left w:val="single" w:sz="4" w:space="0" w:color="auto"/>
              <w:bottom w:val="single" w:sz="8" w:space="0" w:color="000000"/>
              <w:right w:val="single" w:sz="4" w:space="0" w:color="auto"/>
            </w:tcBorders>
            <w:vAlign w:val="center"/>
            <w:hideMark/>
          </w:tcPr>
          <w:p w14:paraId="0B7AFB21" w14:textId="77777777" w:rsidR="00FF5481" w:rsidRPr="003E42C7" w:rsidRDefault="00FF5481" w:rsidP="00A1717F">
            <w:pPr>
              <w:spacing w:after="0" w:line="240" w:lineRule="auto"/>
              <w:rPr>
                <w:rFonts w:ascii="Century Gothic" w:eastAsia="Times New Roman" w:hAnsi="Century Gothic" w:cs="Times New Roman"/>
                <w:color w:val="000000"/>
                <w:sz w:val="20"/>
                <w:szCs w:val="20"/>
                <w:lang w:val="es-ES" w:eastAsia="es-ES"/>
              </w:rPr>
            </w:pPr>
          </w:p>
        </w:tc>
        <w:tc>
          <w:tcPr>
            <w:tcW w:w="1144" w:type="pct"/>
            <w:tcBorders>
              <w:top w:val="nil"/>
              <w:left w:val="nil"/>
              <w:bottom w:val="single" w:sz="8" w:space="0" w:color="auto"/>
              <w:right w:val="single" w:sz="4" w:space="0" w:color="auto"/>
            </w:tcBorders>
            <w:shd w:val="clear" w:color="auto" w:fill="auto"/>
            <w:vAlign w:val="center"/>
            <w:hideMark/>
          </w:tcPr>
          <w:p w14:paraId="0800D631" w14:textId="12A1D4EC" w:rsidR="00FF5481" w:rsidRPr="003E42C7" w:rsidRDefault="00FF5481" w:rsidP="00A1717F">
            <w:pPr>
              <w:spacing w:after="0" w:line="240" w:lineRule="auto"/>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Realizar seguimiento al pago de liquidaciones de espacio público.</w:t>
            </w:r>
          </w:p>
        </w:tc>
        <w:tc>
          <w:tcPr>
            <w:tcW w:w="1614" w:type="pct"/>
            <w:tcBorders>
              <w:top w:val="nil"/>
              <w:left w:val="nil"/>
              <w:bottom w:val="single" w:sz="8" w:space="0" w:color="auto"/>
              <w:right w:val="single" w:sz="4" w:space="0" w:color="auto"/>
            </w:tcBorders>
            <w:shd w:val="clear" w:color="auto" w:fill="auto"/>
            <w:vAlign w:val="center"/>
            <w:hideMark/>
          </w:tcPr>
          <w:p w14:paraId="2325C7EE" w14:textId="46CAD0D1" w:rsidR="00FF5481" w:rsidRPr="003E42C7" w:rsidRDefault="00FF5481" w:rsidP="003E42C7">
            <w:pPr>
              <w:spacing w:after="0" w:line="240" w:lineRule="auto"/>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Recolec</w:t>
            </w:r>
            <w:r w:rsidR="003E42C7" w:rsidRPr="003E42C7">
              <w:rPr>
                <w:rFonts w:ascii="Century Gothic" w:eastAsia="Times New Roman" w:hAnsi="Century Gothic" w:cs="Times New Roman"/>
                <w:color w:val="000000"/>
                <w:sz w:val="20"/>
                <w:szCs w:val="20"/>
                <w:lang w:val="es-ES" w:eastAsia="es-ES"/>
              </w:rPr>
              <w:t xml:space="preserve">tar </w:t>
            </w:r>
            <w:r w:rsidRPr="003E42C7">
              <w:rPr>
                <w:rFonts w:ascii="Century Gothic" w:eastAsia="Times New Roman" w:hAnsi="Century Gothic" w:cs="Times New Roman"/>
                <w:color w:val="000000"/>
                <w:sz w:val="20"/>
                <w:szCs w:val="20"/>
                <w:lang w:val="es-ES" w:eastAsia="es-ES"/>
              </w:rPr>
              <w:t>el pago de compensación de espacio público por: expansión urbana, aprovechamiento económico y crecimiento de la construcción año a año.</w:t>
            </w:r>
          </w:p>
        </w:tc>
        <w:tc>
          <w:tcPr>
            <w:tcW w:w="1224" w:type="pct"/>
            <w:tcBorders>
              <w:top w:val="single" w:sz="4" w:space="0" w:color="auto"/>
              <w:left w:val="nil"/>
              <w:bottom w:val="single" w:sz="8" w:space="0" w:color="auto"/>
              <w:right w:val="single" w:sz="8" w:space="0" w:color="000000"/>
            </w:tcBorders>
            <w:shd w:val="clear" w:color="auto" w:fill="auto"/>
            <w:noWrap/>
            <w:vAlign w:val="center"/>
            <w:hideMark/>
          </w:tcPr>
          <w:p w14:paraId="7B73BCCA" w14:textId="77777777" w:rsidR="00FF5481" w:rsidRPr="003E42C7" w:rsidRDefault="00FF5481" w:rsidP="00A1717F">
            <w:pPr>
              <w:spacing w:after="0" w:line="240" w:lineRule="auto"/>
              <w:jc w:val="center"/>
              <w:rPr>
                <w:rFonts w:ascii="Century Gothic" w:eastAsia="Times New Roman" w:hAnsi="Century Gothic" w:cs="Times New Roman"/>
                <w:color w:val="000000"/>
                <w:sz w:val="20"/>
                <w:szCs w:val="20"/>
                <w:lang w:val="es-ES" w:eastAsia="es-ES"/>
              </w:rPr>
            </w:pPr>
            <w:r w:rsidRPr="003E42C7">
              <w:rPr>
                <w:rFonts w:ascii="Century Gothic" w:eastAsia="Times New Roman" w:hAnsi="Century Gothic" w:cs="Times New Roman"/>
                <w:color w:val="000000"/>
                <w:sz w:val="20"/>
                <w:szCs w:val="20"/>
                <w:lang w:val="es-ES" w:eastAsia="es-ES"/>
              </w:rPr>
              <w:t>No. De pagos efectivamente recaudados</w:t>
            </w:r>
          </w:p>
        </w:tc>
      </w:tr>
    </w:tbl>
    <w:p w14:paraId="52BDD27E" w14:textId="0572FAFD" w:rsidR="00872D48" w:rsidRPr="001E2110" w:rsidRDefault="00872D48" w:rsidP="004C1FCB">
      <w:pPr>
        <w:rPr>
          <w:rFonts w:ascii="Century Gothic" w:hAnsi="Century Gothic"/>
          <w:highlight w:val="yellow"/>
          <w:lang w:val="es-ES"/>
        </w:rPr>
      </w:pPr>
    </w:p>
    <w:p w14:paraId="27137442" w14:textId="77777777" w:rsidR="00872D48" w:rsidRPr="003F6062" w:rsidRDefault="00872D48">
      <w:pPr>
        <w:rPr>
          <w:rFonts w:ascii="Century Gothic" w:hAnsi="Century Gothic"/>
          <w:lang w:val="es-ES"/>
        </w:rPr>
      </w:pPr>
      <w:r w:rsidRPr="003F6062">
        <w:rPr>
          <w:rFonts w:ascii="Century Gothic" w:hAnsi="Century Gothic"/>
          <w:lang w:val="es-ES"/>
        </w:rPr>
        <w:br w:type="page"/>
      </w:r>
    </w:p>
    <w:tbl>
      <w:tblPr>
        <w:tblW w:w="5000" w:type="pct"/>
        <w:tblLayout w:type="fixed"/>
        <w:tblCellMar>
          <w:left w:w="70" w:type="dxa"/>
          <w:right w:w="70" w:type="dxa"/>
        </w:tblCellMar>
        <w:tblLook w:val="04A0" w:firstRow="1" w:lastRow="0" w:firstColumn="1" w:lastColumn="0" w:noHBand="0" w:noVBand="1"/>
      </w:tblPr>
      <w:tblGrid>
        <w:gridCol w:w="1345"/>
        <w:gridCol w:w="1136"/>
        <w:gridCol w:w="2127"/>
        <w:gridCol w:w="4396"/>
        <w:gridCol w:w="3290"/>
      </w:tblGrid>
      <w:tr w:rsidR="00FF5481" w:rsidRPr="003F6062" w14:paraId="4207EFDE" w14:textId="77777777" w:rsidTr="00C9081B">
        <w:trPr>
          <w:trHeight w:val="300"/>
          <w:tblHeader/>
        </w:trPr>
        <w:tc>
          <w:tcPr>
            <w:tcW w:w="547"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5CAC66BF" w14:textId="6F3C730F" w:rsidR="00FF5481" w:rsidRPr="003F6062" w:rsidRDefault="009D2B6B" w:rsidP="00FF5481">
            <w:pPr>
              <w:spacing w:after="0" w:line="240" w:lineRule="auto"/>
              <w:jc w:val="center"/>
              <w:rPr>
                <w:rFonts w:ascii="Century Gothic" w:eastAsia="Times New Roman" w:hAnsi="Century Gothic" w:cs="Times New Roman"/>
                <w:b/>
                <w:bCs/>
                <w:color w:val="000000"/>
                <w:sz w:val="20"/>
                <w:szCs w:val="20"/>
                <w:lang w:val="es-ES" w:eastAsia="es-ES"/>
              </w:rPr>
            </w:pPr>
            <w:r w:rsidRPr="003F6062">
              <w:rPr>
                <w:rFonts w:ascii="Century Gothic" w:eastAsia="Times New Roman" w:hAnsi="Century Gothic" w:cs="Times New Roman"/>
                <w:b/>
                <w:bCs/>
                <w:color w:val="000000"/>
                <w:sz w:val="20"/>
                <w:szCs w:val="20"/>
                <w:lang w:val="es-ES" w:eastAsia="es-ES"/>
              </w:rPr>
              <w:lastRenderedPageBreak/>
              <w:t>Ingresos</w:t>
            </w:r>
          </w:p>
        </w:tc>
        <w:tc>
          <w:tcPr>
            <w:tcW w:w="462"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5CEE9F5A" w14:textId="77EE2042" w:rsidR="00FF5481" w:rsidRPr="003F6062" w:rsidRDefault="009D2B6B" w:rsidP="00FF5481">
            <w:pPr>
              <w:spacing w:after="0" w:line="240" w:lineRule="auto"/>
              <w:jc w:val="center"/>
              <w:rPr>
                <w:rFonts w:ascii="Century Gothic" w:eastAsia="Times New Roman" w:hAnsi="Century Gothic" w:cs="Times New Roman"/>
                <w:b/>
                <w:bCs/>
                <w:color w:val="000000"/>
                <w:sz w:val="20"/>
                <w:szCs w:val="20"/>
                <w:lang w:val="es-ES" w:eastAsia="es-ES"/>
              </w:rPr>
            </w:pPr>
            <w:r w:rsidRPr="003F6062">
              <w:rPr>
                <w:rFonts w:ascii="Century Gothic" w:eastAsia="Times New Roman" w:hAnsi="Century Gothic" w:cs="Times New Roman"/>
                <w:b/>
                <w:bCs/>
                <w:color w:val="000000"/>
                <w:sz w:val="20"/>
                <w:szCs w:val="20"/>
                <w:lang w:val="es-ES" w:eastAsia="es-ES"/>
              </w:rPr>
              <w:t>Meta</w:t>
            </w:r>
          </w:p>
        </w:tc>
        <w:tc>
          <w:tcPr>
            <w:tcW w:w="865"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9642419" w14:textId="2F7D6E57" w:rsidR="00FF5481" w:rsidRPr="003F6062" w:rsidRDefault="009D2B6B" w:rsidP="00FF5481">
            <w:pPr>
              <w:spacing w:after="0" w:line="240" w:lineRule="auto"/>
              <w:jc w:val="center"/>
              <w:rPr>
                <w:rFonts w:ascii="Century Gothic" w:eastAsia="Times New Roman" w:hAnsi="Century Gothic" w:cs="Times New Roman"/>
                <w:b/>
                <w:bCs/>
                <w:color w:val="000000"/>
                <w:sz w:val="20"/>
                <w:szCs w:val="20"/>
                <w:lang w:val="es-ES" w:eastAsia="es-ES"/>
              </w:rPr>
            </w:pPr>
            <w:r w:rsidRPr="003F6062">
              <w:rPr>
                <w:rFonts w:ascii="Century Gothic" w:eastAsia="Times New Roman" w:hAnsi="Century Gothic" w:cs="Times New Roman"/>
                <w:b/>
                <w:bCs/>
                <w:color w:val="000000"/>
                <w:sz w:val="20"/>
                <w:szCs w:val="20"/>
                <w:lang w:val="es-ES" w:eastAsia="es-ES"/>
              </w:rPr>
              <w:t>Acciones</w:t>
            </w:r>
          </w:p>
        </w:tc>
        <w:tc>
          <w:tcPr>
            <w:tcW w:w="1788"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21C9BC35" w14:textId="3D6AC44F" w:rsidR="00FF5481" w:rsidRPr="003F6062" w:rsidRDefault="009D2B6B" w:rsidP="00FF5481">
            <w:pPr>
              <w:spacing w:after="0" w:line="240" w:lineRule="auto"/>
              <w:jc w:val="center"/>
              <w:rPr>
                <w:rFonts w:ascii="Century Gothic" w:eastAsia="Times New Roman" w:hAnsi="Century Gothic" w:cs="Times New Roman"/>
                <w:b/>
                <w:bCs/>
                <w:color w:val="000000"/>
                <w:sz w:val="20"/>
                <w:szCs w:val="20"/>
                <w:lang w:val="es-ES" w:eastAsia="es-ES"/>
              </w:rPr>
            </w:pPr>
            <w:r w:rsidRPr="003F6062">
              <w:rPr>
                <w:rFonts w:ascii="Century Gothic" w:eastAsia="Times New Roman" w:hAnsi="Century Gothic" w:cs="Times New Roman"/>
                <w:b/>
                <w:bCs/>
                <w:color w:val="000000"/>
                <w:sz w:val="20"/>
                <w:szCs w:val="20"/>
                <w:lang w:val="es-ES" w:eastAsia="es-ES"/>
              </w:rPr>
              <w:t>Actividades</w:t>
            </w:r>
          </w:p>
        </w:tc>
        <w:tc>
          <w:tcPr>
            <w:tcW w:w="1338"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53461106" w14:textId="614BFBA3" w:rsidR="00FF5481" w:rsidRPr="003F6062" w:rsidRDefault="009D2B6B" w:rsidP="00FF5481">
            <w:pPr>
              <w:spacing w:after="0" w:line="240" w:lineRule="auto"/>
              <w:jc w:val="center"/>
              <w:rPr>
                <w:rFonts w:ascii="Century Gothic" w:eastAsia="Times New Roman" w:hAnsi="Century Gothic" w:cs="Times New Roman"/>
                <w:b/>
                <w:bCs/>
                <w:color w:val="000000"/>
                <w:sz w:val="20"/>
                <w:szCs w:val="20"/>
                <w:lang w:val="es-ES" w:eastAsia="es-ES"/>
              </w:rPr>
            </w:pPr>
            <w:r w:rsidRPr="003F6062">
              <w:rPr>
                <w:rFonts w:ascii="Century Gothic" w:eastAsia="Times New Roman" w:hAnsi="Century Gothic" w:cs="Times New Roman"/>
                <w:b/>
                <w:bCs/>
                <w:color w:val="000000"/>
                <w:sz w:val="20"/>
                <w:szCs w:val="20"/>
                <w:lang w:val="es-ES" w:eastAsia="es-ES"/>
              </w:rPr>
              <w:t>Indicadores de seguimiento</w:t>
            </w:r>
          </w:p>
        </w:tc>
      </w:tr>
      <w:tr w:rsidR="00FF5481" w:rsidRPr="003F6062" w14:paraId="73DAC39A" w14:textId="77777777" w:rsidTr="00C9081B">
        <w:trPr>
          <w:trHeight w:val="576"/>
        </w:trPr>
        <w:tc>
          <w:tcPr>
            <w:tcW w:w="5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589E593"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Impuesto predial</w:t>
            </w:r>
          </w:p>
        </w:tc>
        <w:tc>
          <w:tcPr>
            <w:tcW w:w="46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6390EA5" w14:textId="19119A2B" w:rsidR="00FF5481" w:rsidRPr="003F6062" w:rsidRDefault="00FF5481"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 xml:space="preserve">100% </w:t>
            </w:r>
          </w:p>
        </w:tc>
        <w:tc>
          <w:tcPr>
            <w:tcW w:w="865" w:type="pct"/>
            <w:tcBorders>
              <w:top w:val="nil"/>
              <w:left w:val="nil"/>
              <w:bottom w:val="single" w:sz="4" w:space="0" w:color="auto"/>
              <w:right w:val="single" w:sz="4" w:space="0" w:color="auto"/>
            </w:tcBorders>
            <w:shd w:val="clear" w:color="auto" w:fill="auto"/>
            <w:vAlign w:val="center"/>
            <w:hideMark/>
          </w:tcPr>
          <w:p w14:paraId="53B2777D" w14:textId="2A5CE159" w:rsidR="003E42C7" w:rsidRPr="003F6062" w:rsidRDefault="00C9081B" w:rsidP="003E42C7">
            <w:pPr>
              <w:spacing w:after="0" w:line="240" w:lineRule="auto"/>
              <w:rPr>
                <w:rFonts w:ascii="Century Gothic" w:eastAsia="Times New Roman" w:hAnsi="Century Gothic" w:cs="Times New Roman"/>
                <w:color w:val="000000"/>
                <w:sz w:val="20"/>
                <w:szCs w:val="20"/>
                <w:lang w:val="es-ES" w:eastAsia="es-ES"/>
              </w:rPr>
            </w:pPr>
            <w:r>
              <w:rPr>
                <w:rFonts w:ascii="Century Gothic" w:eastAsia="Times New Roman" w:hAnsi="Century Gothic" w:cs="Times New Roman"/>
                <w:color w:val="000000"/>
                <w:sz w:val="20"/>
                <w:szCs w:val="20"/>
                <w:lang w:val="es-ES" w:eastAsia="es-ES"/>
              </w:rPr>
              <w:t xml:space="preserve">ñ </w:t>
            </w:r>
            <w:r w:rsidR="00FF5481" w:rsidRPr="003F6062">
              <w:rPr>
                <w:rFonts w:ascii="Century Gothic" w:eastAsia="Times New Roman" w:hAnsi="Century Gothic" w:cs="Times New Roman"/>
                <w:color w:val="000000"/>
                <w:sz w:val="20"/>
                <w:szCs w:val="20"/>
                <w:lang w:val="es-ES" w:eastAsia="es-ES"/>
              </w:rPr>
              <w:t>Factura</w:t>
            </w:r>
            <w:r w:rsidR="003E42C7" w:rsidRPr="003F6062">
              <w:rPr>
                <w:rFonts w:ascii="Century Gothic" w:eastAsia="Times New Roman" w:hAnsi="Century Gothic" w:cs="Times New Roman"/>
                <w:color w:val="000000"/>
                <w:sz w:val="20"/>
                <w:szCs w:val="20"/>
                <w:lang w:val="es-ES" w:eastAsia="es-ES"/>
              </w:rPr>
              <w:t xml:space="preserve">ción de </w:t>
            </w:r>
            <w:r w:rsidR="00FF5481" w:rsidRPr="003F6062">
              <w:rPr>
                <w:rFonts w:ascii="Century Gothic" w:eastAsia="Times New Roman" w:hAnsi="Century Gothic" w:cs="Times New Roman"/>
                <w:color w:val="000000"/>
                <w:sz w:val="20"/>
                <w:szCs w:val="20"/>
                <w:lang w:val="es-ES" w:eastAsia="es-ES"/>
              </w:rPr>
              <w:t>la totalidad de los predios de acuerdo a la base r</w:t>
            </w:r>
            <w:r w:rsidR="003E42C7" w:rsidRPr="003F6062">
              <w:rPr>
                <w:rFonts w:ascii="Century Gothic" w:eastAsia="Times New Roman" w:hAnsi="Century Gothic" w:cs="Times New Roman"/>
                <w:color w:val="000000"/>
                <w:sz w:val="20"/>
                <w:szCs w:val="20"/>
                <w:lang w:val="es-ES" w:eastAsia="es-ES"/>
              </w:rPr>
              <w:t xml:space="preserve">emitida por el IGAC </w:t>
            </w:r>
          </w:p>
          <w:p w14:paraId="65F3AC67" w14:textId="091CD58B" w:rsidR="00FF5481" w:rsidRPr="003F6062" w:rsidRDefault="00C9081B" w:rsidP="003E42C7">
            <w:pPr>
              <w:spacing w:after="0" w:line="240" w:lineRule="auto"/>
              <w:rPr>
                <w:rFonts w:ascii="Century Gothic" w:eastAsia="Times New Roman" w:hAnsi="Century Gothic" w:cs="Times New Roman"/>
                <w:color w:val="000000"/>
                <w:sz w:val="20"/>
                <w:szCs w:val="20"/>
                <w:lang w:val="es-ES" w:eastAsia="es-ES"/>
              </w:rPr>
            </w:pPr>
            <w:r>
              <w:rPr>
                <w:rFonts w:ascii="Century Gothic" w:eastAsia="Times New Roman" w:hAnsi="Century Gothic" w:cs="Times New Roman"/>
                <w:color w:val="000000"/>
                <w:sz w:val="20"/>
                <w:szCs w:val="20"/>
                <w:lang w:val="es-ES" w:eastAsia="es-ES"/>
              </w:rPr>
              <w:t xml:space="preserve">- </w:t>
            </w:r>
            <w:r w:rsidR="003E42C7" w:rsidRPr="003F6062">
              <w:rPr>
                <w:rFonts w:ascii="Century Gothic" w:eastAsia="Times New Roman" w:hAnsi="Century Gothic" w:cs="Times New Roman"/>
                <w:color w:val="000000"/>
                <w:sz w:val="20"/>
                <w:szCs w:val="20"/>
                <w:lang w:val="es-ES" w:eastAsia="es-ES"/>
              </w:rPr>
              <w:t xml:space="preserve">Aplicación de </w:t>
            </w:r>
            <w:r w:rsidR="00FF5481" w:rsidRPr="003F6062">
              <w:rPr>
                <w:rFonts w:ascii="Century Gothic" w:eastAsia="Times New Roman" w:hAnsi="Century Gothic" w:cs="Times New Roman"/>
                <w:color w:val="000000"/>
                <w:sz w:val="20"/>
                <w:szCs w:val="20"/>
                <w:lang w:val="es-ES" w:eastAsia="es-ES"/>
              </w:rPr>
              <w:t>las tarifas del Estatuto Tributario</w:t>
            </w:r>
          </w:p>
        </w:tc>
        <w:tc>
          <w:tcPr>
            <w:tcW w:w="1788" w:type="pct"/>
            <w:tcBorders>
              <w:top w:val="nil"/>
              <w:left w:val="nil"/>
              <w:bottom w:val="single" w:sz="4" w:space="0" w:color="auto"/>
              <w:right w:val="single" w:sz="4" w:space="0" w:color="auto"/>
            </w:tcBorders>
            <w:shd w:val="clear" w:color="auto" w:fill="auto"/>
            <w:vAlign w:val="center"/>
            <w:hideMark/>
          </w:tcPr>
          <w:p w14:paraId="5029CACD" w14:textId="3DDA14A7" w:rsidR="00FF5481" w:rsidRPr="003F6062" w:rsidRDefault="00FF5481"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Verifica</w:t>
            </w:r>
            <w:r w:rsidR="003E42C7" w:rsidRPr="003F6062">
              <w:rPr>
                <w:rFonts w:ascii="Century Gothic" w:eastAsia="Times New Roman" w:hAnsi="Century Gothic" w:cs="Times New Roman"/>
                <w:color w:val="000000"/>
                <w:sz w:val="20"/>
                <w:szCs w:val="20"/>
                <w:lang w:val="es-ES" w:eastAsia="es-ES"/>
              </w:rPr>
              <w:t xml:space="preserve">r </w:t>
            </w:r>
            <w:r w:rsidRPr="003F6062">
              <w:rPr>
                <w:rFonts w:ascii="Century Gothic" w:eastAsia="Times New Roman" w:hAnsi="Century Gothic" w:cs="Times New Roman"/>
                <w:color w:val="000000"/>
                <w:sz w:val="20"/>
                <w:szCs w:val="20"/>
                <w:lang w:val="es-ES" w:eastAsia="es-ES"/>
              </w:rPr>
              <w:t>la facturación</w:t>
            </w:r>
          </w:p>
        </w:tc>
        <w:tc>
          <w:tcPr>
            <w:tcW w:w="1338" w:type="pct"/>
            <w:tcBorders>
              <w:top w:val="nil"/>
              <w:left w:val="nil"/>
              <w:bottom w:val="single" w:sz="4" w:space="0" w:color="auto"/>
              <w:right w:val="single" w:sz="4" w:space="0" w:color="auto"/>
            </w:tcBorders>
            <w:shd w:val="clear" w:color="auto" w:fill="auto"/>
            <w:noWrap/>
            <w:vAlign w:val="center"/>
            <w:hideMark/>
          </w:tcPr>
          <w:p w14:paraId="6E55FD13"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No. de predios facturados</w:t>
            </w:r>
          </w:p>
        </w:tc>
      </w:tr>
      <w:tr w:rsidR="00FF5481" w:rsidRPr="003F6062" w14:paraId="0295EA1F" w14:textId="77777777" w:rsidTr="00C9081B">
        <w:trPr>
          <w:trHeight w:val="576"/>
        </w:trPr>
        <w:tc>
          <w:tcPr>
            <w:tcW w:w="547" w:type="pct"/>
            <w:vMerge/>
            <w:tcBorders>
              <w:top w:val="nil"/>
              <w:left w:val="single" w:sz="4" w:space="0" w:color="auto"/>
              <w:bottom w:val="single" w:sz="4" w:space="0" w:color="auto"/>
              <w:right w:val="single" w:sz="4" w:space="0" w:color="auto"/>
            </w:tcBorders>
            <w:vAlign w:val="center"/>
            <w:hideMark/>
          </w:tcPr>
          <w:p w14:paraId="2A8ED4F8"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auto"/>
              <w:right w:val="single" w:sz="4" w:space="0" w:color="auto"/>
            </w:tcBorders>
            <w:vAlign w:val="center"/>
            <w:hideMark/>
          </w:tcPr>
          <w:p w14:paraId="448D08D5"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tcBorders>
              <w:top w:val="nil"/>
              <w:left w:val="nil"/>
              <w:bottom w:val="single" w:sz="4" w:space="0" w:color="auto"/>
              <w:right w:val="single" w:sz="4" w:space="0" w:color="auto"/>
            </w:tcBorders>
            <w:shd w:val="clear" w:color="auto" w:fill="auto"/>
            <w:vAlign w:val="center"/>
            <w:hideMark/>
          </w:tcPr>
          <w:p w14:paraId="7198ABF1" w14:textId="62B98787" w:rsidR="00FF5481" w:rsidRPr="003F6062" w:rsidRDefault="00FF5481"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Expedi</w:t>
            </w:r>
            <w:r w:rsidR="003E42C7" w:rsidRPr="003F6062">
              <w:rPr>
                <w:rFonts w:ascii="Century Gothic" w:eastAsia="Times New Roman" w:hAnsi="Century Gothic" w:cs="Times New Roman"/>
                <w:color w:val="000000"/>
                <w:sz w:val="20"/>
                <w:szCs w:val="20"/>
                <w:lang w:val="es-ES" w:eastAsia="es-ES"/>
              </w:rPr>
              <w:t xml:space="preserve">ción de </w:t>
            </w:r>
            <w:r w:rsidRPr="003F6062">
              <w:rPr>
                <w:rFonts w:ascii="Century Gothic" w:eastAsia="Times New Roman" w:hAnsi="Century Gothic" w:cs="Times New Roman"/>
                <w:color w:val="000000"/>
                <w:sz w:val="20"/>
                <w:szCs w:val="20"/>
                <w:lang w:val="es-ES" w:eastAsia="es-ES"/>
              </w:rPr>
              <w:t>los títulos ejecutivos de los contribuyentes en mora</w:t>
            </w:r>
          </w:p>
        </w:tc>
        <w:tc>
          <w:tcPr>
            <w:tcW w:w="1788" w:type="pct"/>
            <w:tcBorders>
              <w:top w:val="nil"/>
              <w:left w:val="nil"/>
              <w:bottom w:val="single" w:sz="4" w:space="0" w:color="auto"/>
              <w:right w:val="single" w:sz="4" w:space="0" w:color="auto"/>
            </w:tcBorders>
            <w:shd w:val="clear" w:color="auto" w:fill="auto"/>
            <w:vAlign w:val="center"/>
            <w:hideMark/>
          </w:tcPr>
          <w:p w14:paraId="09093138" w14:textId="722CBB79" w:rsidR="00FF5481" w:rsidRPr="003F6062" w:rsidRDefault="00FF5481"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Aplica</w:t>
            </w:r>
            <w:r w:rsidR="003E42C7" w:rsidRPr="003F6062">
              <w:rPr>
                <w:rFonts w:ascii="Century Gothic" w:eastAsia="Times New Roman" w:hAnsi="Century Gothic" w:cs="Times New Roman"/>
                <w:color w:val="000000"/>
                <w:sz w:val="20"/>
                <w:szCs w:val="20"/>
                <w:lang w:val="es-ES" w:eastAsia="es-ES"/>
              </w:rPr>
              <w:t xml:space="preserve">r </w:t>
            </w:r>
            <w:r w:rsidRPr="003F6062">
              <w:rPr>
                <w:rFonts w:ascii="Century Gothic" w:eastAsia="Times New Roman" w:hAnsi="Century Gothic" w:cs="Times New Roman"/>
                <w:color w:val="000000"/>
                <w:sz w:val="20"/>
                <w:szCs w:val="20"/>
                <w:lang w:val="es-ES" w:eastAsia="es-ES"/>
              </w:rPr>
              <w:t>las resoluciones emitidas por el IGAC</w:t>
            </w:r>
          </w:p>
        </w:tc>
        <w:tc>
          <w:tcPr>
            <w:tcW w:w="1338" w:type="pct"/>
            <w:tcBorders>
              <w:top w:val="nil"/>
              <w:left w:val="nil"/>
              <w:bottom w:val="single" w:sz="4" w:space="0" w:color="auto"/>
              <w:right w:val="single" w:sz="4" w:space="0" w:color="auto"/>
            </w:tcBorders>
            <w:shd w:val="clear" w:color="auto" w:fill="auto"/>
            <w:noWrap/>
            <w:vAlign w:val="center"/>
            <w:hideMark/>
          </w:tcPr>
          <w:p w14:paraId="40B1DDC7" w14:textId="25743E91" w:rsidR="00FF5481" w:rsidRPr="003F6062" w:rsidRDefault="00FF5481" w:rsidP="00AA639F">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 xml:space="preserve">No. de </w:t>
            </w:r>
            <w:r w:rsidR="00AA639F" w:rsidRPr="003F6062">
              <w:rPr>
                <w:rFonts w:ascii="Century Gothic" w:eastAsia="Times New Roman" w:hAnsi="Century Gothic" w:cs="Times New Roman"/>
                <w:color w:val="000000"/>
                <w:sz w:val="20"/>
                <w:szCs w:val="20"/>
                <w:lang w:val="es-ES" w:eastAsia="es-ES"/>
              </w:rPr>
              <w:t>t</w:t>
            </w:r>
            <w:r w:rsidRPr="003F6062">
              <w:rPr>
                <w:rFonts w:ascii="Century Gothic" w:eastAsia="Times New Roman" w:hAnsi="Century Gothic" w:cs="Times New Roman"/>
                <w:color w:val="000000"/>
                <w:sz w:val="20"/>
                <w:szCs w:val="20"/>
                <w:lang w:val="es-ES" w:eastAsia="es-ES"/>
              </w:rPr>
              <w:t>ítulos expedidos</w:t>
            </w:r>
          </w:p>
        </w:tc>
      </w:tr>
      <w:tr w:rsidR="00FF5481" w:rsidRPr="003F6062" w14:paraId="7DE7701B" w14:textId="77777777" w:rsidTr="00C9081B">
        <w:trPr>
          <w:trHeight w:val="576"/>
        </w:trPr>
        <w:tc>
          <w:tcPr>
            <w:tcW w:w="547" w:type="pct"/>
            <w:vMerge/>
            <w:tcBorders>
              <w:top w:val="nil"/>
              <w:left w:val="single" w:sz="4" w:space="0" w:color="auto"/>
              <w:bottom w:val="single" w:sz="4" w:space="0" w:color="auto"/>
              <w:right w:val="single" w:sz="4" w:space="0" w:color="auto"/>
            </w:tcBorders>
            <w:vAlign w:val="center"/>
            <w:hideMark/>
          </w:tcPr>
          <w:p w14:paraId="4C435E09"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auto"/>
              <w:right w:val="single" w:sz="4" w:space="0" w:color="auto"/>
            </w:tcBorders>
            <w:vAlign w:val="center"/>
            <w:hideMark/>
          </w:tcPr>
          <w:p w14:paraId="4F7B50A5"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vMerge w:val="restart"/>
            <w:tcBorders>
              <w:top w:val="nil"/>
              <w:left w:val="nil"/>
              <w:right w:val="single" w:sz="4" w:space="0" w:color="auto"/>
            </w:tcBorders>
            <w:shd w:val="clear" w:color="auto" w:fill="auto"/>
            <w:vAlign w:val="center"/>
            <w:hideMark/>
          </w:tcPr>
          <w:p w14:paraId="48D19E76" w14:textId="7790393B" w:rsidR="00FF5481" w:rsidRPr="003F6062" w:rsidRDefault="003E42C7"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 xml:space="preserve">Realización de </w:t>
            </w:r>
            <w:r w:rsidR="00FF5481" w:rsidRPr="003F6062">
              <w:rPr>
                <w:rFonts w:ascii="Century Gothic" w:eastAsia="Times New Roman" w:hAnsi="Century Gothic" w:cs="Times New Roman"/>
                <w:color w:val="000000"/>
                <w:sz w:val="20"/>
                <w:szCs w:val="20"/>
                <w:lang w:val="es-ES" w:eastAsia="es-ES"/>
              </w:rPr>
              <w:t>acuerdos de pago</w:t>
            </w:r>
          </w:p>
        </w:tc>
        <w:tc>
          <w:tcPr>
            <w:tcW w:w="1788" w:type="pct"/>
            <w:vMerge w:val="restart"/>
            <w:tcBorders>
              <w:top w:val="nil"/>
              <w:left w:val="nil"/>
              <w:right w:val="single" w:sz="4" w:space="0" w:color="auto"/>
            </w:tcBorders>
            <w:shd w:val="clear" w:color="auto" w:fill="auto"/>
            <w:vAlign w:val="center"/>
            <w:hideMark/>
          </w:tcPr>
          <w:p w14:paraId="2CB8EA83" w14:textId="739E4530"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Revisar la información de los predios que estén por prescribir y emitir los títulos ejecutivos</w:t>
            </w:r>
          </w:p>
        </w:tc>
        <w:tc>
          <w:tcPr>
            <w:tcW w:w="1338" w:type="pct"/>
            <w:tcBorders>
              <w:top w:val="nil"/>
              <w:left w:val="nil"/>
              <w:bottom w:val="single" w:sz="4" w:space="0" w:color="auto"/>
              <w:right w:val="single" w:sz="4" w:space="0" w:color="auto"/>
            </w:tcBorders>
            <w:shd w:val="clear" w:color="auto" w:fill="auto"/>
            <w:noWrap/>
            <w:vAlign w:val="center"/>
            <w:hideMark/>
          </w:tcPr>
          <w:p w14:paraId="4D096EAB" w14:textId="0A04882F" w:rsidR="00FF5481" w:rsidRPr="003F6062" w:rsidRDefault="00FF5481" w:rsidP="00AA639F">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 xml:space="preserve">No. de </w:t>
            </w:r>
            <w:r w:rsidR="00AA639F" w:rsidRPr="003F6062">
              <w:rPr>
                <w:rFonts w:ascii="Century Gothic" w:eastAsia="Times New Roman" w:hAnsi="Century Gothic" w:cs="Times New Roman"/>
                <w:color w:val="000000"/>
                <w:sz w:val="20"/>
                <w:szCs w:val="20"/>
                <w:lang w:val="es-ES" w:eastAsia="es-ES"/>
              </w:rPr>
              <w:t>m</w:t>
            </w:r>
            <w:r w:rsidRPr="003F6062">
              <w:rPr>
                <w:rFonts w:ascii="Century Gothic" w:eastAsia="Times New Roman" w:hAnsi="Century Gothic" w:cs="Times New Roman"/>
                <w:color w:val="000000"/>
                <w:sz w:val="20"/>
                <w:szCs w:val="20"/>
                <w:lang w:val="es-ES" w:eastAsia="es-ES"/>
              </w:rPr>
              <w:t xml:space="preserve">andamientos de </w:t>
            </w:r>
            <w:r w:rsidR="00A02A7A" w:rsidRPr="003F6062">
              <w:rPr>
                <w:rFonts w:ascii="Century Gothic" w:eastAsia="Times New Roman" w:hAnsi="Century Gothic" w:cs="Times New Roman"/>
                <w:color w:val="000000"/>
                <w:sz w:val="20"/>
                <w:szCs w:val="20"/>
                <w:lang w:val="es-ES" w:eastAsia="es-ES"/>
              </w:rPr>
              <w:t>pago</w:t>
            </w:r>
          </w:p>
        </w:tc>
      </w:tr>
      <w:tr w:rsidR="00FF5481" w:rsidRPr="003F6062" w14:paraId="2B5F3773" w14:textId="77777777" w:rsidTr="00C9081B">
        <w:trPr>
          <w:trHeight w:val="288"/>
        </w:trPr>
        <w:tc>
          <w:tcPr>
            <w:tcW w:w="547" w:type="pct"/>
            <w:vMerge/>
            <w:tcBorders>
              <w:top w:val="nil"/>
              <w:left w:val="single" w:sz="4" w:space="0" w:color="auto"/>
              <w:bottom w:val="single" w:sz="4" w:space="0" w:color="auto"/>
              <w:right w:val="single" w:sz="4" w:space="0" w:color="auto"/>
            </w:tcBorders>
            <w:vAlign w:val="center"/>
            <w:hideMark/>
          </w:tcPr>
          <w:p w14:paraId="32C4C1C8"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auto"/>
              <w:right w:val="single" w:sz="4" w:space="0" w:color="auto"/>
            </w:tcBorders>
            <w:vAlign w:val="center"/>
            <w:hideMark/>
          </w:tcPr>
          <w:p w14:paraId="414AE6CE"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vMerge/>
            <w:tcBorders>
              <w:left w:val="nil"/>
              <w:bottom w:val="single" w:sz="4" w:space="0" w:color="auto"/>
              <w:right w:val="single" w:sz="4" w:space="0" w:color="auto"/>
            </w:tcBorders>
            <w:shd w:val="clear" w:color="auto" w:fill="auto"/>
            <w:noWrap/>
            <w:vAlign w:val="center"/>
            <w:hideMark/>
          </w:tcPr>
          <w:p w14:paraId="71853BCF" w14:textId="7837ABDD"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788" w:type="pct"/>
            <w:vMerge/>
            <w:tcBorders>
              <w:left w:val="nil"/>
              <w:bottom w:val="single" w:sz="4" w:space="0" w:color="auto"/>
              <w:right w:val="single" w:sz="4" w:space="0" w:color="auto"/>
            </w:tcBorders>
            <w:shd w:val="clear" w:color="auto" w:fill="auto"/>
            <w:noWrap/>
            <w:vAlign w:val="center"/>
            <w:hideMark/>
          </w:tcPr>
          <w:p w14:paraId="1F545F46" w14:textId="2884740F"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338" w:type="pct"/>
            <w:tcBorders>
              <w:top w:val="nil"/>
              <w:left w:val="nil"/>
              <w:bottom w:val="single" w:sz="4" w:space="0" w:color="auto"/>
              <w:right w:val="single" w:sz="4" w:space="0" w:color="auto"/>
            </w:tcBorders>
            <w:shd w:val="clear" w:color="auto" w:fill="auto"/>
            <w:noWrap/>
            <w:vAlign w:val="center"/>
            <w:hideMark/>
          </w:tcPr>
          <w:p w14:paraId="02D7C9A4"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No. de acuerdos de pago</w:t>
            </w:r>
          </w:p>
        </w:tc>
      </w:tr>
      <w:tr w:rsidR="00FF5481" w:rsidRPr="003F6062" w14:paraId="4017019F" w14:textId="77777777" w:rsidTr="00C9081B">
        <w:trPr>
          <w:trHeight w:val="576"/>
        </w:trPr>
        <w:tc>
          <w:tcPr>
            <w:tcW w:w="547" w:type="pct"/>
            <w:vMerge w:val="restart"/>
            <w:tcBorders>
              <w:top w:val="nil"/>
              <w:left w:val="single" w:sz="4" w:space="0" w:color="auto"/>
              <w:bottom w:val="single" w:sz="4" w:space="0" w:color="000000"/>
              <w:right w:val="single" w:sz="4" w:space="0" w:color="auto"/>
            </w:tcBorders>
            <w:shd w:val="clear" w:color="auto" w:fill="auto"/>
            <w:vAlign w:val="center"/>
            <w:hideMark/>
          </w:tcPr>
          <w:p w14:paraId="7EDF0A52"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Arrendamientos de inmuebles</w:t>
            </w:r>
          </w:p>
        </w:tc>
        <w:tc>
          <w:tcPr>
            <w:tcW w:w="462" w:type="pct"/>
            <w:vMerge w:val="restart"/>
            <w:tcBorders>
              <w:top w:val="nil"/>
              <w:left w:val="single" w:sz="4" w:space="0" w:color="auto"/>
              <w:bottom w:val="single" w:sz="4" w:space="0" w:color="000000"/>
              <w:right w:val="single" w:sz="4" w:space="0" w:color="auto"/>
            </w:tcBorders>
            <w:shd w:val="clear" w:color="auto" w:fill="auto"/>
            <w:vAlign w:val="center"/>
            <w:hideMark/>
          </w:tcPr>
          <w:p w14:paraId="4D9BF0F0" w14:textId="63670B55" w:rsidR="00FF5481" w:rsidRPr="003F6062" w:rsidRDefault="003E42C7"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100%</w:t>
            </w:r>
          </w:p>
        </w:tc>
        <w:tc>
          <w:tcPr>
            <w:tcW w:w="8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76F87B" w14:textId="57EBE9E9"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 xml:space="preserve">Revisión de los predios del Municipio que se encuentren en arrendamiento </w:t>
            </w:r>
          </w:p>
        </w:tc>
        <w:tc>
          <w:tcPr>
            <w:tcW w:w="1788" w:type="pct"/>
            <w:tcBorders>
              <w:top w:val="nil"/>
              <w:left w:val="nil"/>
              <w:bottom w:val="single" w:sz="4" w:space="0" w:color="auto"/>
              <w:right w:val="single" w:sz="4" w:space="0" w:color="auto"/>
            </w:tcBorders>
            <w:shd w:val="clear" w:color="auto" w:fill="auto"/>
            <w:vAlign w:val="center"/>
            <w:hideMark/>
          </w:tcPr>
          <w:p w14:paraId="592789F5"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Promover y facilitar la actualización de los contratos</w:t>
            </w:r>
          </w:p>
        </w:tc>
        <w:tc>
          <w:tcPr>
            <w:tcW w:w="1338" w:type="pct"/>
            <w:vMerge w:val="restart"/>
            <w:tcBorders>
              <w:top w:val="nil"/>
              <w:left w:val="single" w:sz="4" w:space="0" w:color="auto"/>
              <w:bottom w:val="single" w:sz="4" w:space="0" w:color="000000"/>
              <w:right w:val="single" w:sz="4" w:space="0" w:color="auto"/>
            </w:tcBorders>
            <w:shd w:val="clear" w:color="auto" w:fill="auto"/>
            <w:vAlign w:val="center"/>
            <w:hideMark/>
          </w:tcPr>
          <w:p w14:paraId="5CE45ED5" w14:textId="02B154CA"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w:t>
            </w:r>
            <w:r w:rsidR="003E42C7" w:rsidRPr="003F6062">
              <w:rPr>
                <w:rFonts w:ascii="Century Gothic" w:eastAsia="Times New Roman" w:hAnsi="Century Gothic" w:cs="Times New Roman"/>
                <w:color w:val="000000"/>
                <w:sz w:val="20"/>
                <w:szCs w:val="20"/>
                <w:lang w:val="es-ES" w:eastAsia="es-ES"/>
              </w:rPr>
              <w:t xml:space="preserve"> </w:t>
            </w:r>
            <w:r w:rsidRPr="003F6062">
              <w:rPr>
                <w:rFonts w:ascii="Century Gothic" w:eastAsia="Times New Roman" w:hAnsi="Century Gothic" w:cs="Times New Roman"/>
                <w:color w:val="000000"/>
                <w:sz w:val="20"/>
                <w:szCs w:val="20"/>
                <w:lang w:val="es-ES" w:eastAsia="es-ES"/>
              </w:rPr>
              <w:t>recaudo/valor contratos de arrendamiento</w:t>
            </w:r>
          </w:p>
        </w:tc>
      </w:tr>
      <w:tr w:rsidR="00FF5481" w:rsidRPr="003F6062" w14:paraId="10C858CA" w14:textId="77777777" w:rsidTr="00C9081B">
        <w:trPr>
          <w:trHeight w:val="288"/>
        </w:trPr>
        <w:tc>
          <w:tcPr>
            <w:tcW w:w="547" w:type="pct"/>
            <w:vMerge/>
            <w:tcBorders>
              <w:top w:val="nil"/>
              <w:left w:val="single" w:sz="4" w:space="0" w:color="auto"/>
              <w:bottom w:val="single" w:sz="4" w:space="0" w:color="000000"/>
              <w:right w:val="single" w:sz="4" w:space="0" w:color="auto"/>
            </w:tcBorders>
            <w:vAlign w:val="center"/>
            <w:hideMark/>
          </w:tcPr>
          <w:p w14:paraId="4DA60E59"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000000"/>
              <w:right w:val="single" w:sz="4" w:space="0" w:color="auto"/>
            </w:tcBorders>
            <w:vAlign w:val="center"/>
            <w:hideMark/>
          </w:tcPr>
          <w:p w14:paraId="76814126"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vMerge/>
            <w:tcBorders>
              <w:top w:val="nil"/>
              <w:left w:val="single" w:sz="4" w:space="0" w:color="auto"/>
              <w:bottom w:val="single" w:sz="4" w:space="0" w:color="auto"/>
              <w:right w:val="single" w:sz="4" w:space="0" w:color="auto"/>
            </w:tcBorders>
            <w:vAlign w:val="center"/>
            <w:hideMark/>
          </w:tcPr>
          <w:p w14:paraId="57AD4052"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788" w:type="pct"/>
            <w:tcBorders>
              <w:top w:val="nil"/>
              <w:left w:val="nil"/>
              <w:bottom w:val="single" w:sz="4" w:space="0" w:color="auto"/>
              <w:right w:val="single" w:sz="4" w:space="0" w:color="auto"/>
            </w:tcBorders>
            <w:shd w:val="clear" w:color="auto" w:fill="auto"/>
            <w:vAlign w:val="center"/>
            <w:hideMark/>
          </w:tcPr>
          <w:p w14:paraId="2C896AD3" w14:textId="4112A0D8" w:rsidR="00FF5481" w:rsidRPr="003F6062" w:rsidRDefault="00FF5481"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Genera</w:t>
            </w:r>
            <w:r w:rsidR="003E42C7" w:rsidRPr="003F6062">
              <w:rPr>
                <w:rFonts w:ascii="Century Gothic" w:eastAsia="Times New Roman" w:hAnsi="Century Gothic" w:cs="Times New Roman"/>
                <w:color w:val="000000"/>
                <w:sz w:val="20"/>
                <w:szCs w:val="20"/>
                <w:lang w:val="es-ES" w:eastAsia="es-ES"/>
              </w:rPr>
              <w:t xml:space="preserve">r </w:t>
            </w:r>
            <w:r w:rsidRPr="003F6062">
              <w:rPr>
                <w:rFonts w:ascii="Century Gothic" w:eastAsia="Times New Roman" w:hAnsi="Century Gothic" w:cs="Times New Roman"/>
                <w:color w:val="000000"/>
                <w:sz w:val="20"/>
                <w:szCs w:val="20"/>
                <w:lang w:val="es-ES" w:eastAsia="es-ES"/>
              </w:rPr>
              <w:t>oportuna</w:t>
            </w:r>
            <w:r w:rsidR="003E42C7" w:rsidRPr="003F6062">
              <w:rPr>
                <w:rFonts w:ascii="Century Gothic" w:eastAsia="Times New Roman" w:hAnsi="Century Gothic" w:cs="Times New Roman"/>
                <w:color w:val="000000"/>
                <w:sz w:val="20"/>
                <w:szCs w:val="20"/>
                <w:lang w:val="es-ES" w:eastAsia="es-ES"/>
              </w:rPr>
              <w:t xml:space="preserve">mente </w:t>
            </w:r>
            <w:r w:rsidRPr="003F6062">
              <w:rPr>
                <w:rFonts w:ascii="Century Gothic" w:eastAsia="Times New Roman" w:hAnsi="Century Gothic" w:cs="Times New Roman"/>
                <w:color w:val="000000"/>
                <w:sz w:val="20"/>
                <w:szCs w:val="20"/>
                <w:lang w:val="es-ES" w:eastAsia="es-ES"/>
              </w:rPr>
              <w:t>el</w:t>
            </w:r>
            <w:r w:rsidR="003E42C7" w:rsidRPr="003F6062">
              <w:rPr>
                <w:rFonts w:ascii="Century Gothic" w:eastAsia="Times New Roman" w:hAnsi="Century Gothic" w:cs="Times New Roman"/>
                <w:color w:val="000000"/>
                <w:sz w:val="20"/>
                <w:szCs w:val="20"/>
                <w:lang w:val="es-ES" w:eastAsia="es-ES"/>
              </w:rPr>
              <w:t xml:space="preserve"> </w:t>
            </w:r>
            <w:r w:rsidRPr="003F6062">
              <w:rPr>
                <w:rFonts w:ascii="Century Gothic" w:eastAsia="Times New Roman" w:hAnsi="Century Gothic" w:cs="Times New Roman"/>
                <w:color w:val="000000"/>
                <w:sz w:val="20"/>
                <w:szCs w:val="20"/>
                <w:lang w:val="es-ES" w:eastAsia="es-ES"/>
              </w:rPr>
              <w:t>cobr</w:t>
            </w:r>
            <w:r w:rsidR="003E42C7" w:rsidRPr="003F6062">
              <w:rPr>
                <w:rFonts w:ascii="Century Gothic" w:eastAsia="Times New Roman" w:hAnsi="Century Gothic" w:cs="Times New Roman"/>
                <w:color w:val="000000"/>
                <w:sz w:val="20"/>
                <w:szCs w:val="20"/>
                <w:lang w:val="es-ES" w:eastAsia="es-ES"/>
              </w:rPr>
              <w:t xml:space="preserve">o </w:t>
            </w:r>
          </w:p>
        </w:tc>
        <w:tc>
          <w:tcPr>
            <w:tcW w:w="1338" w:type="pct"/>
            <w:vMerge/>
            <w:tcBorders>
              <w:top w:val="nil"/>
              <w:left w:val="single" w:sz="4" w:space="0" w:color="auto"/>
              <w:bottom w:val="single" w:sz="4" w:space="0" w:color="000000"/>
              <w:right w:val="single" w:sz="4" w:space="0" w:color="auto"/>
            </w:tcBorders>
            <w:vAlign w:val="center"/>
            <w:hideMark/>
          </w:tcPr>
          <w:p w14:paraId="2ED3DCBF"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r>
      <w:tr w:rsidR="00FF5481" w:rsidRPr="003F6062" w14:paraId="249DC179" w14:textId="77777777" w:rsidTr="00C9081B">
        <w:trPr>
          <w:trHeight w:val="288"/>
        </w:trPr>
        <w:tc>
          <w:tcPr>
            <w:tcW w:w="547" w:type="pct"/>
            <w:vMerge w:val="restart"/>
            <w:tcBorders>
              <w:top w:val="nil"/>
              <w:left w:val="single" w:sz="4" w:space="0" w:color="auto"/>
              <w:bottom w:val="single" w:sz="4" w:space="0" w:color="000000"/>
              <w:right w:val="single" w:sz="4" w:space="0" w:color="auto"/>
            </w:tcBorders>
            <w:shd w:val="clear" w:color="auto" w:fill="auto"/>
            <w:vAlign w:val="center"/>
            <w:hideMark/>
          </w:tcPr>
          <w:p w14:paraId="71030935"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Multas de Tránsito</w:t>
            </w:r>
          </w:p>
        </w:tc>
        <w:tc>
          <w:tcPr>
            <w:tcW w:w="462" w:type="pct"/>
            <w:vMerge w:val="restart"/>
            <w:tcBorders>
              <w:top w:val="nil"/>
              <w:left w:val="single" w:sz="4" w:space="0" w:color="auto"/>
              <w:bottom w:val="single" w:sz="4" w:space="0" w:color="000000"/>
              <w:right w:val="single" w:sz="4" w:space="0" w:color="auto"/>
            </w:tcBorders>
            <w:shd w:val="clear" w:color="auto" w:fill="auto"/>
            <w:vAlign w:val="center"/>
            <w:hideMark/>
          </w:tcPr>
          <w:p w14:paraId="1C852F91"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Mantener el recaudo histórico</w:t>
            </w:r>
          </w:p>
        </w:tc>
        <w:tc>
          <w:tcPr>
            <w:tcW w:w="865" w:type="pct"/>
            <w:tcBorders>
              <w:top w:val="nil"/>
              <w:left w:val="nil"/>
              <w:bottom w:val="single" w:sz="4" w:space="0" w:color="auto"/>
              <w:right w:val="single" w:sz="4" w:space="0" w:color="auto"/>
            </w:tcBorders>
            <w:shd w:val="clear" w:color="auto" w:fill="auto"/>
            <w:vAlign w:val="center"/>
            <w:hideMark/>
          </w:tcPr>
          <w:p w14:paraId="3C7E8426" w14:textId="12F01E27" w:rsidR="00FF5481" w:rsidRPr="003F6062" w:rsidRDefault="00FF5481"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Promo</w:t>
            </w:r>
            <w:r w:rsidR="003E42C7" w:rsidRPr="003F6062">
              <w:rPr>
                <w:rFonts w:ascii="Century Gothic" w:eastAsia="Times New Roman" w:hAnsi="Century Gothic" w:cs="Times New Roman"/>
                <w:color w:val="000000"/>
                <w:sz w:val="20"/>
                <w:szCs w:val="20"/>
                <w:lang w:val="es-ES" w:eastAsia="es-ES"/>
              </w:rPr>
              <w:t>ción d</w:t>
            </w:r>
            <w:r w:rsidRPr="003F6062">
              <w:rPr>
                <w:rFonts w:ascii="Century Gothic" w:eastAsia="Times New Roman" w:hAnsi="Century Gothic" w:cs="Times New Roman"/>
                <w:color w:val="000000"/>
                <w:sz w:val="20"/>
                <w:szCs w:val="20"/>
                <w:lang w:val="es-ES" w:eastAsia="es-ES"/>
              </w:rPr>
              <w:t>el pago oportuno de las multas</w:t>
            </w:r>
          </w:p>
        </w:tc>
        <w:tc>
          <w:tcPr>
            <w:tcW w:w="1788" w:type="pct"/>
            <w:tcBorders>
              <w:top w:val="nil"/>
              <w:left w:val="nil"/>
              <w:bottom w:val="single" w:sz="4" w:space="0" w:color="auto"/>
              <w:right w:val="single" w:sz="4" w:space="0" w:color="auto"/>
            </w:tcBorders>
            <w:shd w:val="clear" w:color="auto" w:fill="auto"/>
            <w:vAlign w:val="center"/>
            <w:hideMark/>
          </w:tcPr>
          <w:p w14:paraId="5CA081AA"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implementación de estrategias persuasivas</w:t>
            </w:r>
          </w:p>
        </w:tc>
        <w:tc>
          <w:tcPr>
            <w:tcW w:w="1338" w:type="pct"/>
            <w:tcBorders>
              <w:top w:val="nil"/>
              <w:left w:val="nil"/>
              <w:bottom w:val="single" w:sz="4" w:space="0" w:color="auto"/>
              <w:right w:val="single" w:sz="4" w:space="0" w:color="auto"/>
            </w:tcBorders>
            <w:shd w:val="clear" w:color="auto" w:fill="auto"/>
            <w:noWrap/>
            <w:vAlign w:val="center"/>
            <w:hideMark/>
          </w:tcPr>
          <w:p w14:paraId="149B4B20"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Cantidad de procesos iniciados</w:t>
            </w:r>
          </w:p>
        </w:tc>
      </w:tr>
      <w:tr w:rsidR="00FF5481" w:rsidRPr="003F6062" w14:paraId="07D77FBD" w14:textId="77777777" w:rsidTr="00C9081B">
        <w:trPr>
          <w:trHeight w:val="300"/>
        </w:trPr>
        <w:tc>
          <w:tcPr>
            <w:tcW w:w="547" w:type="pct"/>
            <w:vMerge/>
            <w:tcBorders>
              <w:top w:val="nil"/>
              <w:left w:val="single" w:sz="4" w:space="0" w:color="auto"/>
              <w:bottom w:val="single" w:sz="4" w:space="0" w:color="000000"/>
              <w:right w:val="single" w:sz="4" w:space="0" w:color="auto"/>
            </w:tcBorders>
            <w:vAlign w:val="center"/>
            <w:hideMark/>
          </w:tcPr>
          <w:p w14:paraId="5314174C"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000000"/>
              <w:right w:val="single" w:sz="4" w:space="0" w:color="auto"/>
            </w:tcBorders>
            <w:vAlign w:val="center"/>
            <w:hideMark/>
          </w:tcPr>
          <w:p w14:paraId="44CE9E5E"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vMerge w:val="restart"/>
            <w:tcBorders>
              <w:top w:val="nil"/>
              <w:left w:val="nil"/>
              <w:right w:val="single" w:sz="4" w:space="0" w:color="auto"/>
            </w:tcBorders>
            <w:shd w:val="clear" w:color="auto" w:fill="auto"/>
            <w:vAlign w:val="center"/>
            <w:hideMark/>
          </w:tcPr>
          <w:p w14:paraId="459E5B3C" w14:textId="077A8859" w:rsidR="00FF5481" w:rsidRPr="003F6062" w:rsidRDefault="003E42C7" w:rsidP="003E42C7">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Fortalecimiento d</w:t>
            </w:r>
            <w:r w:rsidR="00FF5481" w:rsidRPr="003F6062">
              <w:rPr>
                <w:rFonts w:ascii="Century Gothic" w:eastAsia="Times New Roman" w:hAnsi="Century Gothic" w:cs="Times New Roman"/>
                <w:color w:val="000000"/>
                <w:sz w:val="20"/>
                <w:szCs w:val="20"/>
                <w:lang w:val="es-ES" w:eastAsia="es-ES"/>
              </w:rPr>
              <w:t>el proceso de cobro</w:t>
            </w:r>
          </w:p>
        </w:tc>
        <w:tc>
          <w:tcPr>
            <w:tcW w:w="1788" w:type="pct"/>
            <w:vMerge w:val="restart"/>
            <w:tcBorders>
              <w:top w:val="nil"/>
              <w:left w:val="nil"/>
              <w:right w:val="single" w:sz="4" w:space="0" w:color="auto"/>
            </w:tcBorders>
            <w:shd w:val="clear" w:color="auto" w:fill="auto"/>
            <w:vAlign w:val="center"/>
            <w:hideMark/>
          </w:tcPr>
          <w:p w14:paraId="671ED387" w14:textId="4131417D"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Fortalecer estrategias pedagógicas preventivas</w:t>
            </w:r>
          </w:p>
        </w:tc>
        <w:tc>
          <w:tcPr>
            <w:tcW w:w="1338" w:type="pct"/>
            <w:tcBorders>
              <w:top w:val="nil"/>
              <w:left w:val="nil"/>
              <w:bottom w:val="single" w:sz="4" w:space="0" w:color="auto"/>
              <w:right w:val="single" w:sz="4" w:space="0" w:color="auto"/>
            </w:tcBorders>
            <w:shd w:val="clear" w:color="auto" w:fill="auto"/>
            <w:noWrap/>
            <w:vAlign w:val="center"/>
            <w:hideMark/>
          </w:tcPr>
          <w:p w14:paraId="24A5CDDE" w14:textId="05445EA5"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Cantidades de procesos notificados</w:t>
            </w:r>
          </w:p>
        </w:tc>
      </w:tr>
      <w:tr w:rsidR="00FF5481" w:rsidRPr="003F6062" w14:paraId="02357292" w14:textId="77777777" w:rsidTr="00C9081B">
        <w:trPr>
          <w:trHeight w:val="288"/>
        </w:trPr>
        <w:tc>
          <w:tcPr>
            <w:tcW w:w="547" w:type="pct"/>
            <w:vMerge/>
            <w:tcBorders>
              <w:top w:val="nil"/>
              <w:left w:val="single" w:sz="4" w:space="0" w:color="auto"/>
              <w:bottom w:val="single" w:sz="4" w:space="0" w:color="000000"/>
              <w:right w:val="single" w:sz="4" w:space="0" w:color="auto"/>
            </w:tcBorders>
            <w:vAlign w:val="center"/>
            <w:hideMark/>
          </w:tcPr>
          <w:p w14:paraId="714C3113"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000000"/>
              <w:right w:val="single" w:sz="4" w:space="0" w:color="auto"/>
            </w:tcBorders>
            <w:vAlign w:val="center"/>
            <w:hideMark/>
          </w:tcPr>
          <w:p w14:paraId="1303A7AE"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vMerge/>
            <w:tcBorders>
              <w:left w:val="nil"/>
              <w:right w:val="single" w:sz="4" w:space="0" w:color="auto"/>
            </w:tcBorders>
            <w:shd w:val="clear" w:color="auto" w:fill="auto"/>
            <w:noWrap/>
            <w:vAlign w:val="center"/>
            <w:hideMark/>
          </w:tcPr>
          <w:p w14:paraId="0E4488C5" w14:textId="7279E96C"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788" w:type="pct"/>
            <w:vMerge/>
            <w:tcBorders>
              <w:left w:val="nil"/>
              <w:right w:val="single" w:sz="4" w:space="0" w:color="auto"/>
            </w:tcBorders>
            <w:shd w:val="clear" w:color="auto" w:fill="auto"/>
            <w:noWrap/>
            <w:vAlign w:val="center"/>
            <w:hideMark/>
          </w:tcPr>
          <w:p w14:paraId="763F96C6" w14:textId="086A56B9"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338" w:type="pct"/>
            <w:tcBorders>
              <w:top w:val="nil"/>
              <w:left w:val="nil"/>
              <w:bottom w:val="single" w:sz="4" w:space="0" w:color="auto"/>
              <w:right w:val="single" w:sz="4" w:space="0" w:color="auto"/>
            </w:tcBorders>
            <w:shd w:val="clear" w:color="auto" w:fill="auto"/>
            <w:noWrap/>
            <w:vAlign w:val="center"/>
            <w:hideMark/>
          </w:tcPr>
          <w:p w14:paraId="00882664"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Cantidad y valor de procesos pagados</w:t>
            </w:r>
          </w:p>
        </w:tc>
      </w:tr>
      <w:tr w:rsidR="00FF5481" w:rsidRPr="001E2110" w14:paraId="05B43731" w14:textId="77777777" w:rsidTr="00C9081B">
        <w:trPr>
          <w:trHeight w:val="288"/>
        </w:trPr>
        <w:tc>
          <w:tcPr>
            <w:tcW w:w="547" w:type="pct"/>
            <w:vMerge/>
            <w:tcBorders>
              <w:top w:val="nil"/>
              <w:left w:val="single" w:sz="4" w:space="0" w:color="auto"/>
              <w:bottom w:val="single" w:sz="4" w:space="0" w:color="000000"/>
              <w:right w:val="single" w:sz="4" w:space="0" w:color="auto"/>
            </w:tcBorders>
            <w:vAlign w:val="center"/>
            <w:hideMark/>
          </w:tcPr>
          <w:p w14:paraId="5778ECE8"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462" w:type="pct"/>
            <w:vMerge/>
            <w:tcBorders>
              <w:top w:val="nil"/>
              <w:left w:val="single" w:sz="4" w:space="0" w:color="auto"/>
              <w:bottom w:val="single" w:sz="4" w:space="0" w:color="000000"/>
              <w:right w:val="single" w:sz="4" w:space="0" w:color="auto"/>
            </w:tcBorders>
            <w:vAlign w:val="center"/>
            <w:hideMark/>
          </w:tcPr>
          <w:p w14:paraId="55256984"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865" w:type="pct"/>
            <w:vMerge/>
            <w:tcBorders>
              <w:left w:val="nil"/>
              <w:bottom w:val="single" w:sz="4" w:space="0" w:color="auto"/>
              <w:right w:val="single" w:sz="4" w:space="0" w:color="auto"/>
            </w:tcBorders>
            <w:shd w:val="clear" w:color="auto" w:fill="auto"/>
            <w:noWrap/>
            <w:vAlign w:val="center"/>
            <w:hideMark/>
          </w:tcPr>
          <w:p w14:paraId="174DC765" w14:textId="51A64F30"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788" w:type="pct"/>
            <w:vMerge/>
            <w:tcBorders>
              <w:left w:val="nil"/>
              <w:bottom w:val="single" w:sz="4" w:space="0" w:color="auto"/>
              <w:right w:val="single" w:sz="4" w:space="0" w:color="auto"/>
            </w:tcBorders>
            <w:shd w:val="clear" w:color="auto" w:fill="auto"/>
            <w:noWrap/>
            <w:vAlign w:val="center"/>
            <w:hideMark/>
          </w:tcPr>
          <w:p w14:paraId="1DE72A63" w14:textId="559785CD"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1338" w:type="pct"/>
            <w:tcBorders>
              <w:top w:val="nil"/>
              <w:left w:val="nil"/>
              <w:bottom w:val="single" w:sz="4" w:space="0" w:color="auto"/>
              <w:right w:val="single" w:sz="4" w:space="0" w:color="auto"/>
            </w:tcBorders>
            <w:shd w:val="clear" w:color="auto" w:fill="auto"/>
            <w:noWrap/>
            <w:vAlign w:val="center"/>
            <w:hideMark/>
          </w:tcPr>
          <w:p w14:paraId="4851D063" w14:textId="77777777" w:rsidR="00FF5481" w:rsidRPr="003F6062" w:rsidRDefault="00FF5481" w:rsidP="00FF5481">
            <w:pPr>
              <w:spacing w:after="0" w:line="240" w:lineRule="auto"/>
              <w:rPr>
                <w:rFonts w:ascii="Century Gothic" w:eastAsia="Times New Roman" w:hAnsi="Century Gothic" w:cs="Times New Roman"/>
                <w:color w:val="000000"/>
                <w:sz w:val="20"/>
                <w:szCs w:val="20"/>
                <w:lang w:val="es-ES" w:eastAsia="es-ES"/>
              </w:rPr>
            </w:pPr>
            <w:r w:rsidRPr="003F6062">
              <w:rPr>
                <w:rFonts w:ascii="Century Gothic" w:eastAsia="Times New Roman" w:hAnsi="Century Gothic" w:cs="Times New Roman"/>
                <w:color w:val="000000"/>
                <w:sz w:val="20"/>
                <w:szCs w:val="20"/>
                <w:lang w:val="es-ES" w:eastAsia="es-ES"/>
              </w:rPr>
              <w:t>Cantidad de procesos en acuerdo de pago</w:t>
            </w:r>
          </w:p>
        </w:tc>
      </w:tr>
    </w:tbl>
    <w:p w14:paraId="695DA3A0" w14:textId="77777777" w:rsidR="00C9081B" w:rsidRDefault="00C9081B"/>
    <w:p w14:paraId="02B71449" w14:textId="77777777" w:rsidR="00C9081B" w:rsidRDefault="00C9081B"/>
    <w:tbl>
      <w:tblPr>
        <w:tblW w:w="5000" w:type="pct"/>
        <w:tblLayout w:type="fixed"/>
        <w:tblCellMar>
          <w:left w:w="70" w:type="dxa"/>
          <w:right w:w="70" w:type="dxa"/>
        </w:tblCellMar>
        <w:tblLook w:val="04A0" w:firstRow="1" w:lastRow="0" w:firstColumn="1" w:lastColumn="0" w:noHBand="0" w:noVBand="1"/>
      </w:tblPr>
      <w:tblGrid>
        <w:gridCol w:w="1344"/>
        <w:gridCol w:w="1392"/>
        <w:gridCol w:w="1729"/>
        <w:gridCol w:w="4394"/>
        <w:gridCol w:w="578"/>
        <w:gridCol w:w="2857"/>
      </w:tblGrid>
      <w:tr w:rsidR="00C9081B" w:rsidRPr="000C5886" w14:paraId="6306E71E" w14:textId="77777777" w:rsidTr="00C9081B">
        <w:trPr>
          <w:trHeight w:val="300"/>
        </w:trPr>
        <w:tc>
          <w:tcPr>
            <w:tcW w:w="547"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16671276" w14:textId="77777777" w:rsidR="00C9081B" w:rsidRPr="000C5886" w:rsidRDefault="00C9081B" w:rsidP="00C9081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hAnsi="Century Gothic" w:cs="Arial"/>
                <w:lang w:val="es-ES"/>
              </w:rPr>
              <w:lastRenderedPageBreak/>
              <w:br w:type="page"/>
              <w:t xml:space="preserve"> </w:t>
            </w:r>
            <w:r w:rsidRPr="000C5886">
              <w:rPr>
                <w:rFonts w:ascii="Century Gothic" w:eastAsia="Times New Roman" w:hAnsi="Century Gothic" w:cs="Times New Roman"/>
                <w:b/>
                <w:bCs/>
                <w:color w:val="000000"/>
                <w:sz w:val="20"/>
                <w:szCs w:val="20"/>
                <w:lang w:val="es-ES" w:eastAsia="es-ES"/>
              </w:rPr>
              <w:t>Ingresos</w:t>
            </w:r>
          </w:p>
        </w:tc>
        <w:tc>
          <w:tcPr>
            <w:tcW w:w="566"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0B3BE527" w14:textId="77777777" w:rsidR="00C9081B" w:rsidRPr="000C5886" w:rsidRDefault="00C9081B" w:rsidP="00C9081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Meta</w:t>
            </w:r>
          </w:p>
        </w:tc>
        <w:tc>
          <w:tcPr>
            <w:tcW w:w="703"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13D2CA0F" w14:textId="77777777" w:rsidR="00C9081B" w:rsidRPr="000C5886" w:rsidRDefault="00C9081B" w:rsidP="00C9081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Acciones</w:t>
            </w:r>
          </w:p>
        </w:tc>
        <w:tc>
          <w:tcPr>
            <w:tcW w:w="2022" w:type="pct"/>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189E6077" w14:textId="77777777" w:rsidR="00C9081B" w:rsidRPr="000C5886" w:rsidRDefault="00C9081B" w:rsidP="00C9081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Actividades</w:t>
            </w:r>
          </w:p>
        </w:tc>
        <w:tc>
          <w:tcPr>
            <w:tcW w:w="1162"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0EE785DB" w14:textId="77777777" w:rsidR="00C9081B" w:rsidRPr="000C5886" w:rsidRDefault="00C9081B" w:rsidP="00C9081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Indicadores de seguimiento</w:t>
            </w:r>
          </w:p>
        </w:tc>
      </w:tr>
      <w:tr w:rsidR="00C9081B" w:rsidRPr="000C5886" w14:paraId="203EBB7E" w14:textId="77777777" w:rsidTr="00C9081B">
        <w:trPr>
          <w:trHeight w:val="2592"/>
        </w:trPr>
        <w:tc>
          <w:tcPr>
            <w:tcW w:w="5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DB60261" w14:textId="384F40AB"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SGP </w:t>
            </w:r>
            <w:r w:rsidR="00872D48" w:rsidRPr="000C5886">
              <w:rPr>
                <w:rFonts w:ascii="Century Gothic" w:eastAsia="Times New Roman" w:hAnsi="Century Gothic" w:cs="Times New Roman"/>
                <w:color w:val="000000"/>
                <w:sz w:val="20"/>
                <w:szCs w:val="20"/>
                <w:lang w:val="es-ES" w:eastAsia="es-ES"/>
              </w:rPr>
              <w:t>Educación</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14:paraId="7A862A30"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Mantener el recaudo histórico</w:t>
            </w:r>
          </w:p>
        </w:tc>
        <w:tc>
          <w:tcPr>
            <w:tcW w:w="703" w:type="pct"/>
            <w:tcBorders>
              <w:top w:val="nil"/>
              <w:left w:val="nil"/>
              <w:bottom w:val="single" w:sz="4" w:space="0" w:color="auto"/>
              <w:right w:val="single" w:sz="4" w:space="0" w:color="auto"/>
            </w:tcBorders>
            <w:shd w:val="clear" w:color="auto" w:fill="auto"/>
            <w:noWrap/>
            <w:vAlign w:val="center"/>
            <w:hideMark/>
          </w:tcPr>
          <w:p w14:paraId="080D634F" w14:textId="4F98AD02" w:rsidR="00FF5481" w:rsidRPr="000C5886" w:rsidRDefault="00FF5481" w:rsidP="00C9081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Amplia</w:t>
            </w:r>
            <w:r w:rsidR="00C9081B" w:rsidRPr="000C5886">
              <w:rPr>
                <w:rFonts w:ascii="Century Gothic" w:eastAsia="Times New Roman" w:hAnsi="Century Gothic" w:cs="Times New Roman"/>
                <w:color w:val="000000"/>
                <w:sz w:val="20"/>
                <w:szCs w:val="20"/>
                <w:lang w:val="es-ES" w:eastAsia="es-ES"/>
              </w:rPr>
              <w:t xml:space="preserve">ción de </w:t>
            </w:r>
            <w:r w:rsidRPr="000C5886">
              <w:rPr>
                <w:rFonts w:ascii="Century Gothic" w:eastAsia="Times New Roman" w:hAnsi="Century Gothic" w:cs="Times New Roman"/>
                <w:color w:val="000000"/>
                <w:sz w:val="20"/>
                <w:szCs w:val="20"/>
                <w:lang w:val="es-ES" w:eastAsia="es-ES"/>
              </w:rPr>
              <w:t>la cobertura</w:t>
            </w:r>
          </w:p>
        </w:tc>
        <w:tc>
          <w:tcPr>
            <w:tcW w:w="1787" w:type="pct"/>
            <w:tcBorders>
              <w:top w:val="nil"/>
              <w:left w:val="nil"/>
              <w:bottom w:val="single" w:sz="4" w:space="0" w:color="auto"/>
              <w:right w:val="single" w:sz="4" w:space="0" w:color="auto"/>
            </w:tcBorders>
            <w:shd w:val="clear" w:color="auto" w:fill="auto"/>
            <w:vAlign w:val="center"/>
            <w:hideMark/>
          </w:tcPr>
          <w:p w14:paraId="2F3204E3" w14:textId="21197259" w:rsidR="00C9081B" w:rsidRPr="000C5886" w:rsidRDefault="00C9081B"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Realizar c</w:t>
            </w:r>
            <w:r w:rsidR="00FF5481" w:rsidRPr="000C5886">
              <w:rPr>
                <w:rFonts w:ascii="Century Gothic" w:eastAsia="Times New Roman" w:hAnsi="Century Gothic" w:cs="Times New Roman"/>
                <w:color w:val="000000"/>
                <w:sz w:val="20"/>
                <w:szCs w:val="20"/>
                <w:lang w:val="es-ES" w:eastAsia="es-ES"/>
              </w:rPr>
              <w:t>ampañas de la SEM y de las IEM y CEM para motivar en actividades educativas a la niñez y a la juventud desescolarizada involucrando a padres de familia</w:t>
            </w:r>
            <w:r w:rsidRPr="000C5886">
              <w:rPr>
                <w:rFonts w:ascii="Century Gothic" w:eastAsia="Times New Roman" w:hAnsi="Century Gothic" w:cs="Times New Roman"/>
                <w:color w:val="000000"/>
                <w:sz w:val="20"/>
                <w:szCs w:val="20"/>
                <w:lang w:val="es-ES" w:eastAsia="es-ES"/>
              </w:rPr>
              <w:t>.</w:t>
            </w:r>
          </w:p>
          <w:p w14:paraId="04A78886" w14:textId="5C3E367A" w:rsidR="00FF5481" w:rsidRPr="000C5886" w:rsidRDefault="00C9081B" w:rsidP="00C9081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F</w:t>
            </w:r>
            <w:r w:rsidR="00FF5481" w:rsidRPr="000C5886">
              <w:rPr>
                <w:rFonts w:ascii="Century Gothic" w:eastAsia="Times New Roman" w:hAnsi="Century Gothic" w:cs="Times New Roman"/>
                <w:color w:val="000000"/>
                <w:sz w:val="20"/>
                <w:szCs w:val="20"/>
                <w:lang w:val="es-ES" w:eastAsia="es-ES"/>
              </w:rPr>
              <w:t>ortalecer el proyecto de transporte escolar y el de otros medios de transporte como el uso de la bicicleta, dotando a las IEM y CEM de instalaciones físicas adecuadas y de medios de transporte.</w:t>
            </w:r>
          </w:p>
        </w:tc>
        <w:tc>
          <w:tcPr>
            <w:tcW w:w="1397" w:type="pct"/>
            <w:gridSpan w:val="2"/>
            <w:tcBorders>
              <w:top w:val="nil"/>
              <w:left w:val="nil"/>
              <w:bottom w:val="single" w:sz="4" w:space="0" w:color="auto"/>
              <w:right w:val="single" w:sz="4" w:space="0" w:color="auto"/>
            </w:tcBorders>
            <w:shd w:val="clear" w:color="auto" w:fill="auto"/>
            <w:vAlign w:val="center"/>
            <w:hideMark/>
          </w:tcPr>
          <w:p w14:paraId="2A2D2059"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Estrategias utilizadas y su efectividad para ampliar la cobertura.</w:t>
            </w:r>
          </w:p>
        </w:tc>
      </w:tr>
      <w:tr w:rsidR="00C9081B" w:rsidRPr="000C5886" w14:paraId="5F95F1E9" w14:textId="77777777" w:rsidTr="00C9081B">
        <w:trPr>
          <w:trHeight w:val="1728"/>
        </w:trPr>
        <w:tc>
          <w:tcPr>
            <w:tcW w:w="547" w:type="pct"/>
            <w:vMerge/>
            <w:tcBorders>
              <w:top w:val="nil"/>
              <w:left w:val="single" w:sz="4" w:space="0" w:color="auto"/>
              <w:bottom w:val="single" w:sz="4" w:space="0" w:color="auto"/>
              <w:right w:val="single" w:sz="4" w:space="0" w:color="auto"/>
            </w:tcBorders>
            <w:shd w:val="clear" w:color="auto" w:fill="auto"/>
            <w:vAlign w:val="center"/>
            <w:hideMark/>
          </w:tcPr>
          <w:p w14:paraId="21AB9D5A"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566" w:type="pct"/>
            <w:vMerge/>
            <w:tcBorders>
              <w:top w:val="nil"/>
              <w:left w:val="single" w:sz="4" w:space="0" w:color="auto"/>
              <w:bottom w:val="single" w:sz="4" w:space="0" w:color="auto"/>
              <w:right w:val="single" w:sz="4" w:space="0" w:color="auto"/>
            </w:tcBorders>
            <w:shd w:val="clear" w:color="auto" w:fill="auto"/>
            <w:vAlign w:val="center"/>
            <w:hideMark/>
          </w:tcPr>
          <w:p w14:paraId="4FC05199"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703" w:type="pct"/>
            <w:tcBorders>
              <w:top w:val="nil"/>
              <w:left w:val="nil"/>
              <w:bottom w:val="single" w:sz="4" w:space="0" w:color="auto"/>
              <w:right w:val="single" w:sz="4" w:space="0" w:color="auto"/>
            </w:tcBorders>
            <w:shd w:val="clear" w:color="auto" w:fill="auto"/>
            <w:noWrap/>
            <w:vAlign w:val="center"/>
            <w:hideMark/>
          </w:tcPr>
          <w:p w14:paraId="20073480" w14:textId="36A48E03" w:rsidR="00FF5481" w:rsidRPr="000C5886" w:rsidRDefault="00FF5481" w:rsidP="00C9081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Increment</w:t>
            </w:r>
            <w:r w:rsidR="00C9081B" w:rsidRPr="000C5886">
              <w:rPr>
                <w:rFonts w:ascii="Century Gothic" w:eastAsia="Times New Roman" w:hAnsi="Century Gothic" w:cs="Times New Roman"/>
                <w:color w:val="000000"/>
                <w:sz w:val="20"/>
                <w:szCs w:val="20"/>
                <w:lang w:val="es-ES" w:eastAsia="es-ES"/>
              </w:rPr>
              <w:t xml:space="preserve">o de </w:t>
            </w:r>
            <w:r w:rsidRPr="000C5886">
              <w:rPr>
                <w:rFonts w:ascii="Century Gothic" w:eastAsia="Times New Roman" w:hAnsi="Century Gothic" w:cs="Times New Roman"/>
                <w:color w:val="000000"/>
                <w:sz w:val="20"/>
                <w:szCs w:val="20"/>
                <w:lang w:val="es-ES" w:eastAsia="es-ES"/>
              </w:rPr>
              <w:t>la matrícula</w:t>
            </w:r>
          </w:p>
        </w:tc>
        <w:tc>
          <w:tcPr>
            <w:tcW w:w="1787" w:type="pct"/>
            <w:tcBorders>
              <w:top w:val="nil"/>
              <w:left w:val="nil"/>
              <w:bottom w:val="single" w:sz="4" w:space="0" w:color="auto"/>
              <w:right w:val="single" w:sz="4" w:space="0" w:color="auto"/>
            </w:tcBorders>
            <w:shd w:val="clear" w:color="auto" w:fill="auto"/>
            <w:vAlign w:val="center"/>
            <w:hideMark/>
          </w:tcPr>
          <w:p w14:paraId="4F75C4C7"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Brindar un ambiente escolar que cubra todos aspectos importantes para el estudiante, de forma tal que se sienta motivado en un entorno que garantice sus derechos fundamentales y necesidades básicas y afectivas para evitar la deserción escolar. </w:t>
            </w:r>
          </w:p>
        </w:tc>
        <w:tc>
          <w:tcPr>
            <w:tcW w:w="1397" w:type="pct"/>
            <w:gridSpan w:val="2"/>
            <w:tcBorders>
              <w:top w:val="nil"/>
              <w:left w:val="nil"/>
              <w:bottom w:val="single" w:sz="4" w:space="0" w:color="auto"/>
              <w:right w:val="single" w:sz="4" w:space="0" w:color="auto"/>
            </w:tcBorders>
            <w:shd w:val="clear" w:color="auto" w:fill="auto"/>
            <w:vAlign w:val="center"/>
            <w:hideMark/>
          </w:tcPr>
          <w:p w14:paraId="740ADB8F" w14:textId="0CE88F0C" w:rsidR="00FF5481" w:rsidRPr="000C5886" w:rsidRDefault="00FF5481" w:rsidP="00AA639F">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Hacer el control desde la SEM y el seguimiento desde las IEM y CEM a las observaciones registradas de los niños desertores. Aplicación de estrategias para tomar correctivos a las no conformidades encontradas en el seguimiento.</w:t>
            </w:r>
          </w:p>
        </w:tc>
      </w:tr>
      <w:tr w:rsidR="00C9081B" w:rsidRPr="000C5886" w14:paraId="22A91CCB" w14:textId="77777777" w:rsidTr="00C9081B">
        <w:trPr>
          <w:trHeight w:val="63"/>
        </w:trPr>
        <w:tc>
          <w:tcPr>
            <w:tcW w:w="547" w:type="pct"/>
            <w:vMerge/>
            <w:tcBorders>
              <w:top w:val="nil"/>
              <w:left w:val="single" w:sz="4" w:space="0" w:color="auto"/>
              <w:bottom w:val="single" w:sz="4" w:space="0" w:color="auto"/>
              <w:right w:val="single" w:sz="4" w:space="0" w:color="auto"/>
            </w:tcBorders>
            <w:shd w:val="clear" w:color="auto" w:fill="auto"/>
            <w:vAlign w:val="center"/>
            <w:hideMark/>
          </w:tcPr>
          <w:p w14:paraId="166E6651"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566" w:type="pct"/>
            <w:vMerge/>
            <w:tcBorders>
              <w:top w:val="nil"/>
              <w:left w:val="single" w:sz="4" w:space="0" w:color="auto"/>
              <w:bottom w:val="single" w:sz="4" w:space="0" w:color="auto"/>
              <w:right w:val="single" w:sz="4" w:space="0" w:color="auto"/>
            </w:tcBorders>
            <w:shd w:val="clear" w:color="auto" w:fill="auto"/>
            <w:vAlign w:val="center"/>
            <w:hideMark/>
          </w:tcPr>
          <w:p w14:paraId="2457EFC5"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703" w:type="pct"/>
            <w:tcBorders>
              <w:top w:val="nil"/>
              <w:left w:val="nil"/>
              <w:bottom w:val="single" w:sz="4" w:space="0" w:color="auto"/>
              <w:right w:val="single" w:sz="4" w:space="0" w:color="auto"/>
            </w:tcBorders>
            <w:shd w:val="clear" w:color="auto" w:fill="auto"/>
            <w:vAlign w:val="center"/>
            <w:hideMark/>
          </w:tcPr>
          <w:p w14:paraId="5C9610D6" w14:textId="628D6257" w:rsidR="00FF5481" w:rsidRPr="000C5886" w:rsidRDefault="00C9081B" w:rsidP="00C9081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Gestión </w:t>
            </w:r>
            <w:r w:rsidR="00FF5481" w:rsidRPr="000C5886">
              <w:rPr>
                <w:rFonts w:ascii="Century Gothic" w:eastAsia="Times New Roman" w:hAnsi="Century Gothic" w:cs="Times New Roman"/>
                <w:color w:val="000000"/>
                <w:sz w:val="20"/>
                <w:szCs w:val="20"/>
                <w:lang w:val="es-ES" w:eastAsia="es-ES"/>
              </w:rPr>
              <w:t>ante el Ministerio de Educación Nacional los recursos de Complemento de Planta</w:t>
            </w:r>
          </w:p>
        </w:tc>
        <w:tc>
          <w:tcPr>
            <w:tcW w:w="1787" w:type="pct"/>
            <w:tcBorders>
              <w:top w:val="nil"/>
              <w:left w:val="nil"/>
              <w:bottom w:val="single" w:sz="4" w:space="0" w:color="auto"/>
              <w:right w:val="single" w:sz="4" w:space="0" w:color="auto"/>
            </w:tcBorders>
            <w:shd w:val="clear" w:color="auto" w:fill="auto"/>
            <w:vAlign w:val="center"/>
            <w:hideMark/>
          </w:tcPr>
          <w:p w14:paraId="0410CB65" w14:textId="2F7B235D" w:rsidR="00FF5481" w:rsidRPr="000C5886" w:rsidRDefault="005F5A69" w:rsidP="00FF5481">
            <w:pPr>
              <w:spacing w:after="0" w:line="240" w:lineRule="auto"/>
              <w:rPr>
                <w:rFonts w:ascii="Century Gothic" w:eastAsia="Times New Roman" w:hAnsi="Century Gothic" w:cs="Times New Roman"/>
                <w:color w:val="000000"/>
                <w:sz w:val="20"/>
                <w:szCs w:val="20"/>
                <w:lang w:val="es-ES" w:eastAsia="es-ES"/>
              </w:rPr>
            </w:pPr>
            <w:r>
              <w:rPr>
                <w:rFonts w:ascii="Century Gothic" w:eastAsia="Times New Roman" w:hAnsi="Century Gothic" w:cs="Times New Roman"/>
                <w:color w:val="000000"/>
                <w:sz w:val="20"/>
                <w:szCs w:val="20"/>
                <w:lang w:val="es-ES" w:eastAsia="es-ES"/>
              </w:rPr>
              <w:t>G</w:t>
            </w:r>
            <w:r w:rsidR="00FF5481" w:rsidRPr="000C5886">
              <w:rPr>
                <w:rFonts w:ascii="Century Gothic" w:eastAsia="Times New Roman" w:hAnsi="Century Gothic" w:cs="Times New Roman"/>
                <w:color w:val="000000"/>
                <w:sz w:val="20"/>
                <w:szCs w:val="20"/>
                <w:lang w:val="es-ES" w:eastAsia="es-ES"/>
              </w:rPr>
              <w:t xml:space="preserve">estionar oportunamente el valor de complemento de planta, soportarlo y </w:t>
            </w:r>
            <w:r w:rsidR="00872D48" w:rsidRPr="000C5886">
              <w:rPr>
                <w:rFonts w:ascii="Century Gothic" w:eastAsia="Times New Roman" w:hAnsi="Century Gothic" w:cs="Times New Roman"/>
                <w:color w:val="000000"/>
                <w:sz w:val="20"/>
                <w:szCs w:val="20"/>
                <w:lang w:val="es-ES" w:eastAsia="es-ES"/>
              </w:rPr>
              <w:t>justificarlo</w:t>
            </w:r>
            <w:r w:rsidR="00FF5481" w:rsidRPr="000C5886">
              <w:rPr>
                <w:rFonts w:ascii="Century Gothic" w:eastAsia="Times New Roman" w:hAnsi="Century Gothic" w:cs="Times New Roman"/>
                <w:color w:val="000000"/>
                <w:sz w:val="20"/>
                <w:szCs w:val="20"/>
                <w:lang w:val="es-ES" w:eastAsia="es-ES"/>
              </w:rPr>
              <w:t xml:space="preserve"> suficientemente ante el MEN, de forma que se garantice la asignación de recursos sin tener que desfinanciar otras fuentes del ingreso del presupuesto.</w:t>
            </w:r>
          </w:p>
        </w:tc>
        <w:tc>
          <w:tcPr>
            <w:tcW w:w="1397" w:type="pct"/>
            <w:gridSpan w:val="2"/>
            <w:tcBorders>
              <w:top w:val="nil"/>
              <w:left w:val="nil"/>
              <w:bottom w:val="single" w:sz="4" w:space="0" w:color="auto"/>
              <w:right w:val="single" w:sz="4" w:space="0" w:color="auto"/>
            </w:tcBorders>
            <w:shd w:val="clear" w:color="auto" w:fill="auto"/>
            <w:vAlign w:val="center"/>
            <w:hideMark/>
          </w:tcPr>
          <w:p w14:paraId="13579984"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Valor de complemento de planta solicitado vs valor asignado por el MEN</w:t>
            </w:r>
          </w:p>
        </w:tc>
      </w:tr>
      <w:tr w:rsidR="00C9081B" w:rsidRPr="001E2110" w14:paraId="7134DC78" w14:textId="77777777" w:rsidTr="00C9081B">
        <w:trPr>
          <w:trHeight w:val="864"/>
        </w:trPr>
        <w:tc>
          <w:tcPr>
            <w:tcW w:w="547" w:type="pct"/>
            <w:vMerge/>
            <w:tcBorders>
              <w:top w:val="nil"/>
              <w:left w:val="single" w:sz="4" w:space="0" w:color="auto"/>
              <w:bottom w:val="single" w:sz="4" w:space="0" w:color="auto"/>
              <w:right w:val="single" w:sz="4" w:space="0" w:color="auto"/>
            </w:tcBorders>
            <w:shd w:val="clear" w:color="auto" w:fill="auto"/>
            <w:vAlign w:val="center"/>
            <w:hideMark/>
          </w:tcPr>
          <w:p w14:paraId="4CC2684B"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566" w:type="pct"/>
            <w:vMerge/>
            <w:tcBorders>
              <w:top w:val="nil"/>
              <w:left w:val="single" w:sz="4" w:space="0" w:color="auto"/>
              <w:bottom w:val="single" w:sz="4" w:space="0" w:color="auto"/>
              <w:right w:val="single" w:sz="4" w:space="0" w:color="auto"/>
            </w:tcBorders>
            <w:shd w:val="clear" w:color="auto" w:fill="auto"/>
            <w:vAlign w:val="center"/>
            <w:hideMark/>
          </w:tcPr>
          <w:p w14:paraId="5927E933"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p>
        </w:tc>
        <w:tc>
          <w:tcPr>
            <w:tcW w:w="703" w:type="pct"/>
            <w:tcBorders>
              <w:top w:val="nil"/>
              <w:left w:val="nil"/>
              <w:bottom w:val="single" w:sz="4" w:space="0" w:color="auto"/>
              <w:right w:val="single" w:sz="4" w:space="0" w:color="auto"/>
            </w:tcBorders>
            <w:shd w:val="clear" w:color="auto" w:fill="auto"/>
            <w:noWrap/>
            <w:vAlign w:val="center"/>
            <w:hideMark/>
          </w:tcPr>
          <w:p w14:paraId="6B2A2F34" w14:textId="3DD04C59" w:rsidR="00FF5481" w:rsidRPr="000C5886" w:rsidRDefault="00C9081B"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Viabilización del </w:t>
            </w:r>
            <w:r w:rsidR="00FF5481" w:rsidRPr="000C5886">
              <w:rPr>
                <w:rFonts w:ascii="Century Gothic" w:eastAsia="Times New Roman" w:hAnsi="Century Gothic" w:cs="Times New Roman"/>
                <w:color w:val="000000"/>
                <w:sz w:val="20"/>
                <w:szCs w:val="20"/>
                <w:lang w:val="es-ES" w:eastAsia="es-ES"/>
              </w:rPr>
              <w:t>proyectos para funcionamiento e inversión</w:t>
            </w:r>
          </w:p>
        </w:tc>
        <w:tc>
          <w:tcPr>
            <w:tcW w:w="1787" w:type="pct"/>
            <w:tcBorders>
              <w:top w:val="nil"/>
              <w:left w:val="nil"/>
              <w:bottom w:val="single" w:sz="4" w:space="0" w:color="auto"/>
              <w:right w:val="single" w:sz="4" w:space="0" w:color="auto"/>
            </w:tcBorders>
            <w:shd w:val="clear" w:color="auto" w:fill="auto"/>
            <w:vAlign w:val="center"/>
            <w:hideMark/>
          </w:tcPr>
          <w:p w14:paraId="4C61CA63" w14:textId="78C5B81C" w:rsidR="00FF5481" w:rsidRPr="000C5886" w:rsidRDefault="005F5A69" w:rsidP="005F5A69">
            <w:pPr>
              <w:spacing w:after="0" w:line="240" w:lineRule="auto"/>
              <w:rPr>
                <w:rFonts w:ascii="Century Gothic" w:eastAsia="Times New Roman" w:hAnsi="Century Gothic" w:cs="Times New Roman"/>
                <w:color w:val="000000"/>
                <w:sz w:val="20"/>
                <w:szCs w:val="20"/>
                <w:lang w:val="es-ES" w:eastAsia="es-ES"/>
              </w:rPr>
            </w:pPr>
            <w:r>
              <w:rPr>
                <w:rFonts w:ascii="Century Gothic" w:eastAsia="Times New Roman" w:hAnsi="Century Gothic" w:cs="Times New Roman"/>
                <w:color w:val="000000"/>
                <w:sz w:val="20"/>
                <w:szCs w:val="20"/>
                <w:lang w:val="es-ES" w:eastAsia="es-ES"/>
              </w:rPr>
              <w:t>Gestionar</w:t>
            </w:r>
            <w:r w:rsidR="00FF5481" w:rsidRPr="000C5886">
              <w:rPr>
                <w:rFonts w:ascii="Century Gothic" w:eastAsia="Times New Roman" w:hAnsi="Century Gothic" w:cs="Times New Roman"/>
                <w:color w:val="000000"/>
                <w:sz w:val="20"/>
                <w:szCs w:val="20"/>
                <w:lang w:val="es-ES" w:eastAsia="es-ES"/>
              </w:rPr>
              <w:t xml:space="preserve"> ante los Ministerios de Hacienda y Educación por parte de las directivas de la SEM y de los </w:t>
            </w:r>
            <w:r w:rsidR="00A02A7A" w:rsidRPr="000C5886">
              <w:rPr>
                <w:rFonts w:ascii="Century Gothic" w:eastAsia="Times New Roman" w:hAnsi="Century Gothic" w:cs="Times New Roman"/>
                <w:color w:val="000000"/>
                <w:sz w:val="20"/>
                <w:szCs w:val="20"/>
                <w:lang w:val="es-ES" w:eastAsia="es-ES"/>
              </w:rPr>
              <w:t xml:space="preserve">señores rectores </w:t>
            </w:r>
            <w:r w:rsidR="00FF5481" w:rsidRPr="000C5886">
              <w:rPr>
                <w:rFonts w:ascii="Century Gothic" w:eastAsia="Times New Roman" w:hAnsi="Century Gothic" w:cs="Times New Roman"/>
                <w:color w:val="000000"/>
                <w:sz w:val="20"/>
                <w:szCs w:val="20"/>
                <w:lang w:val="es-ES" w:eastAsia="es-ES"/>
              </w:rPr>
              <w:t xml:space="preserve">y </w:t>
            </w:r>
            <w:r w:rsidR="00A02A7A" w:rsidRPr="000C5886">
              <w:rPr>
                <w:rFonts w:ascii="Century Gothic" w:eastAsia="Times New Roman" w:hAnsi="Century Gothic" w:cs="Times New Roman"/>
                <w:color w:val="000000"/>
                <w:sz w:val="20"/>
                <w:szCs w:val="20"/>
                <w:lang w:val="es-ES" w:eastAsia="es-ES"/>
              </w:rPr>
              <w:t>directores</w:t>
            </w:r>
            <w:r w:rsidR="00FF5481" w:rsidRPr="000C5886">
              <w:rPr>
                <w:rFonts w:ascii="Century Gothic" w:eastAsia="Times New Roman" w:hAnsi="Century Gothic" w:cs="Times New Roman"/>
                <w:color w:val="000000"/>
                <w:sz w:val="20"/>
                <w:szCs w:val="20"/>
                <w:lang w:val="es-ES" w:eastAsia="es-ES"/>
              </w:rPr>
              <w:t>.</w:t>
            </w:r>
          </w:p>
        </w:tc>
        <w:tc>
          <w:tcPr>
            <w:tcW w:w="1397" w:type="pct"/>
            <w:gridSpan w:val="2"/>
            <w:tcBorders>
              <w:top w:val="nil"/>
              <w:left w:val="nil"/>
              <w:bottom w:val="single" w:sz="4" w:space="0" w:color="auto"/>
              <w:right w:val="single" w:sz="4" w:space="0" w:color="auto"/>
            </w:tcBorders>
            <w:shd w:val="clear" w:color="auto" w:fill="auto"/>
            <w:vAlign w:val="center"/>
            <w:hideMark/>
          </w:tcPr>
          <w:p w14:paraId="5E9E1267" w14:textId="77777777" w:rsidR="00FF5481" w:rsidRPr="000C5886" w:rsidRDefault="00FF5481" w:rsidP="00FF5481">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Número de proyectos presentados, viabilizados y financiados.</w:t>
            </w:r>
          </w:p>
        </w:tc>
      </w:tr>
    </w:tbl>
    <w:p w14:paraId="29FE0BCD" w14:textId="5B51BA46" w:rsidR="005F5A69" w:rsidRDefault="005F5A69" w:rsidP="004C1FCB">
      <w:pPr>
        <w:jc w:val="both"/>
        <w:rPr>
          <w:rFonts w:ascii="Century Gothic" w:hAnsi="Century Gothic" w:cs="Arial"/>
          <w:highlight w:val="yellow"/>
          <w:lang w:val="es-ES"/>
        </w:rPr>
      </w:pPr>
    </w:p>
    <w:p w14:paraId="6963F1A9" w14:textId="77777777" w:rsidR="005F5A69" w:rsidRDefault="005F5A69">
      <w:pPr>
        <w:rPr>
          <w:rFonts w:ascii="Century Gothic" w:hAnsi="Century Gothic" w:cs="Arial"/>
          <w:highlight w:val="yellow"/>
          <w:lang w:val="es-ES"/>
        </w:rPr>
      </w:pPr>
      <w:r>
        <w:rPr>
          <w:rFonts w:ascii="Century Gothic" w:hAnsi="Century Gothic" w:cs="Arial"/>
          <w:highlight w:val="yellow"/>
          <w:lang w:val="es-ES"/>
        </w:rPr>
        <w:br w:type="page"/>
      </w:r>
    </w:p>
    <w:tbl>
      <w:tblPr>
        <w:tblW w:w="5000" w:type="pct"/>
        <w:tblCellMar>
          <w:left w:w="70" w:type="dxa"/>
          <w:right w:w="70" w:type="dxa"/>
        </w:tblCellMar>
        <w:tblLook w:val="04A0" w:firstRow="1" w:lastRow="0" w:firstColumn="1" w:lastColumn="0" w:noHBand="0" w:noVBand="1"/>
      </w:tblPr>
      <w:tblGrid>
        <w:gridCol w:w="1773"/>
        <w:gridCol w:w="1600"/>
        <w:gridCol w:w="2225"/>
        <w:gridCol w:w="2240"/>
        <w:gridCol w:w="4456"/>
      </w:tblGrid>
      <w:tr w:rsidR="009D2B6B" w:rsidRPr="000C5886" w14:paraId="358F33DC" w14:textId="77777777" w:rsidTr="000C5886">
        <w:trPr>
          <w:trHeight w:val="300"/>
        </w:trPr>
        <w:tc>
          <w:tcPr>
            <w:tcW w:w="721"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19573FE4" w14:textId="2106BA8F" w:rsidR="009D2B6B" w:rsidRPr="000C5886" w:rsidRDefault="009D2B6B" w:rsidP="009D2B6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hAnsi="Century Gothic" w:cs="Arial"/>
                <w:lang w:val="es-ES"/>
              </w:rPr>
              <w:lastRenderedPageBreak/>
              <w:br w:type="page"/>
              <w:t xml:space="preserve"> </w:t>
            </w:r>
            <w:r w:rsidRPr="000C5886">
              <w:rPr>
                <w:rFonts w:ascii="Century Gothic" w:eastAsia="Times New Roman" w:hAnsi="Century Gothic" w:cs="Times New Roman"/>
                <w:b/>
                <w:bCs/>
                <w:color w:val="000000"/>
                <w:sz w:val="20"/>
                <w:szCs w:val="20"/>
                <w:lang w:val="es-ES" w:eastAsia="es-ES"/>
              </w:rPr>
              <w:t>Ingresos</w:t>
            </w:r>
          </w:p>
        </w:tc>
        <w:tc>
          <w:tcPr>
            <w:tcW w:w="651"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33ABB4F" w14:textId="013C4E1C" w:rsidR="009D2B6B" w:rsidRPr="000C5886" w:rsidRDefault="009D2B6B" w:rsidP="009D2B6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Meta</w:t>
            </w:r>
          </w:p>
        </w:tc>
        <w:tc>
          <w:tcPr>
            <w:tcW w:w="905"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3F30A95B" w14:textId="1F3C6340" w:rsidR="009D2B6B" w:rsidRPr="000C5886" w:rsidRDefault="009D2B6B" w:rsidP="009D2B6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Acciones</w:t>
            </w:r>
          </w:p>
        </w:tc>
        <w:tc>
          <w:tcPr>
            <w:tcW w:w="911"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8DDD1DD" w14:textId="3E153541" w:rsidR="009D2B6B" w:rsidRPr="000C5886" w:rsidRDefault="009D2B6B" w:rsidP="009D2B6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Actividades</w:t>
            </w:r>
          </w:p>
        </w:tc>
        <w:tc>
          <w:tcPr>
            <w:tcW w:w="1812"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00C8E1E8" w14:textId="3FB55E1B" w:rsidR="009D2B6B" w:rsidRPr="000C5886" w:rsidRDefault="009D2B6B" w:rsidP="009D2B6B">
            <w:pPr>
              <w:spacing w:after="0" w:line="240" w:lineRule="auto"/>
              <w:jc w:val="center"/>
              <w:rPr>
                <w:rFonts w:ascii="Century Gothic" w:eastAsia="Times New Roman" w:hAnsi="Century Gothic" w:cs="Times New Roman"/>
                <w:b/>
                <w:bCs/>
                <w:color w:val="000000"/>
                <w:sz w:val="20"/>
                <w:szCs w:val="20"/>
                <w:lang w:val="es-ES" w:eastAsia="es-ES"/>
              </w:rPr>
            </w:pPr>
            <w:r w:rsidRPr="000C5886">
              <w:rPr>
                <w:rFonts w:ascii="Century Gothic" w:eastAsia="Times New Roman" w:hAnsi="Century Gothic" w:cs="Times New Roman"/>
                <w:b/>
                <w:bCs/>
                <w:color w:val="000000"/>
                <w:sz w:val="20"/>
                <w:szCs w:val="20"/>
                <w:lang w:val="es-ES" w:eastAsia="es-ES"/>
              </w:rPr>
              <w:t>Indicadores de seguimiento</w:t>
            </w:r>
          </w:p>
        </w:tc>
      </w:tr>
      <w:tr w:rsidR="009D2B6B" w:rsidRPr="000C5886" w14:paraId="739E84CA" w14:textId="77777777" w:rsidTr="000C5886">
        <w:trPr>
          <w:trHeight w:val="576"/>
        </w:trPr>
        <w:tc>
          <w:tcPr>
            <w:tcW w:w="72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1C549B3"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Impuesto predial</w:t>
            </w:r>
          </w:p>
        </w:tc>
        <w:tc>
          <w:tcPr>
            <w:tcW w:w="651" w:type="pct"/>
            <w:vMerge w:val="restart"/>
            <w:tcBorders>
              <w:top w:val="nil"/>
              <w:left w:val="single" w:sz="4" w:space="0" w:color="auto"/>
              <w:bottom w:val="single" w:sz="4" w:space="0" w:color="000000"/>
              <w:right w:val="single" w:sz="4" w:space="0" w:color="auto"/>
            </w:tcBorders>
            <w:shd w:val="clear" w:color="auto" w:fill="auto"/>
            <w:vAlign w:val="center"/>
            <w:hideMark/>
          </w:tcPr>
          <w:p w14:paraId="18A947F9" w14:textId="69CFAAA8" w:rsidR="009D2B6B" w:rsidRPr="000C5886" w:rsidRDefault="009D2B6B"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100% </w:t>
            </w:r>
          </w:p>
        </w:tc>
        <w:tc>
          <w:tcPr>
            <w:tcW w:w="905" w:type="pct"/>
            <w:tcBorders>
              <w:top w:val="nil"/>
              <w:left w:val="nil"/>
              <w:bottom w:val="single" w:sz="4" w:space="0" w:color="auto"/>
              <w:right w:val="single" w:sz="4" w:space="0" w:color="auto"/>
            </w:tcBorders>
            <w:shd w:val="clear" w:color="auto" w:fill="auto"/>
            <w:vAlign w:val="center"/>
            <w:hideMark/>
          </w:tcPr>
          <w:p w14:paraId="027E3C2E" w14:textId="1A75B575" w:rsidR="000C5886" w:rsidRPr="000C5886" w:rsidRDefault="000C5886"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 </w:t>
            </w:r>
            <w:r w:rsidR="009D2B6B" w:rsidRPr="000C5886">
              <w:rPr>
                <w:rFonts w:ascii="Century Gothic" w:eastAsia="Times New Roman" w:hAnsi="Century Gothic" w:cs="Times New Roman"/>
                <w:color w:val="000000"/>
                <w:sz w:val="20"/>
                <w:szCs w:val="20"/>
                <w:lang w:val="es-ES" w:eastAsia="es-ES"/>
              </w:rPr>
              <w:t>Factura</w:t>
            </w:r>
            <w:r w:rsidRPr="000C5886">
              <w:rPr>
                <w:rFonts w:ascii="Century Gothic" w:eastAsia="Times New Roman" w:hAnsi="Century Gothic" w:cs="Times New Roman"/>
                <w:color w:val="000000"/>
                <w:sz w:val="20"/>
                <w:szCs w:val="20"/>
                <w:lang w:val="es-ES" w:eastAsia="es-ES"/>
              </w:rPr>
              <w:t xml:space="preserve">ción de </w:t>
            </w:r>
            <w:r w:rsidR="009D2B6B" w:rsidRPr="000C5886">
              <w:rPr>
                <w:rFonts w:ascii="Century Gothic" w:eastAsia="Times New Roman" w:hAnsi="Century Gothic" w:cs="Times New Roman"/>
                <w:color w:val="000000"/>
                <w:sz w:val="20"/>
                <w:szCs w:val="20"/>
                <w:lang w:val="es-ES" w:eastAsia="es-ES"/>
              </w:rPr>
              <w:t xml:space="preserve">la totalidad de los predios de acuerdo a la base remitida por el IGAC </w:t>
            </w:r>
          </w:p>
          <w:p w14:paraId="313ADD2C" w14:textId="5A9F3004" w:rsidR="009D2B6B" w:rsidRPr="000C5886" w:rsidRDefault="000C5886"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A</w:t>
            </w:r>
            <w:r w:rsidR="009D2B6B" w:rsidRPr="000C5886">
              <w:rPr>
                <w:rFonts w:ascii="Century Gothic" w:eastAsia="Times New Roman" w:hAnsi="Century Gothic" w:cs="Times New Roman"/>
                <w:color w:val="000000"/>
                <w:sz w:val="20"/>
                <w:szCs w:val="20"/>
                <w:lang w:val="es-ES" w:eastAsia="es-ES"/>
              </w:rPr>
              <w:t>plicar las tarifas del Estatuto Tributario</w:t>
            </w:r>
          </w:p>
        </w:tc>
        <w:tc>
          <w:tcPr>
            <w:tcW w:w="911" w:type="pct"/>
            <w:tcBorders>
              <w:top w:val="nil"/>
              <w:left w:val="nil"/>
              <w:bottom w:val="single" w:sz="4" w:space="0" w:color="auto"/>
              <w:right w:val="single" w:sz="4" w:space="0" w:color="auto"/>
            </w:tcBorders>
            <w:shd w:val="clear" w:color="auto" w:fill="auto"/>
            <w:vAlign w:val="center"/>
            <w:hideMark/>
          </w:tcPr>
          <w:p w14:paraId="3A439FED" w14:textId="0DA6BAA0" w:rsidR="009D2B6B" w:rsidRPr="000C5886" w:rsidRDefault="009D2B6B"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Verifica</w:t>
            </w:r>
            <w:r w:rsidR="000C5886" w:rsidRPr="000C5886">
              <w:rPr>
                <w:rFonts w:ascii="Century Gothic" w:eastAsia="Times New Roman" w:hAnsi="Century Gothic" w:cs="Times New Roman"/>
                <w:color w:val="000000"/>
                <w:sz w:val="20"/>
                <w:szCs w:val="20"/>
                <w:lang w:val="es-ES" w:eastAsia="es-ES"/>
              </w:rPr>
              <w:t xml:space="preserve">r </w:t>
            </w:r>
            <w:r w:rsidRPr="000C5886">
              <w:rPr>
                <w:rFonts w:ascii="Century Gothic" w:eastAsia="Times New Roman" w:hAnsi="Century Gothic" w:cs="Times New Roman"/>
                <w:color w:val="000000"/>
                <w:sz w:val="20"/>
                <w:szCs w:val="20"/>
                <w:lang w:val="es-ES" w:eastAsia="es-ES"/>
              </w:rPr>
              <w:t>la facturación</w:t>
            </w:r>
          </w:p>
        </w:tc>
        <w:tc>
          <w:tcPr>
            <w:tcW w:w="1812" w:type="pct"/>
            <w:tcBorders>
              <w:top w:val="nil"/>
              <w:left w:val="nil"/>
              <w:bottom w:val="single" w:sz="4" w:space="0" w:color="auto"/>
              <w:right w:val="single" w:sz="4" w:space="0" w:color="auto"/>
            </w:tcBorders>
            <w:shd w:val="clear" w:color="auto" w:fill="auto"/>
            <w:noWrap/>
            <w:vAlign w:val="center"/>
            <w:hideMark/>
          </w:tcPr>
          <w:p w14:paraId="4F5B10C0"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No. de predios facturados</w:t>
            </w:r>
          </w:p>
        </w:tc>
      </w:tr>
      <w:tr w:rsidR="009D2B6B" w:rsidRPr="000C5886" w14:paraId="14FAE113" w14:textId="77777777" w:rsidTr="000C5886">
        <w:trPr>
          <w:trHeight w:val="576"/>
        </w:trPr>
        <w:tc>
          <w:tcPr>
            <w:tcW w:w="721" w:type="pct"/>
            <w:vMerge/>
            <w:tcBorders>
              <w:top w:val="nil"/>
              <w:left w:val="single" w:sz="4" w:space="0" w:color="auto"/>
              <w:bottom w:val="single" w:sz="4" w:space="0" w:color="auto"/>
              <w:right w:val="single" w:sz="4" w:space="0" w:color="auto"/>
            </w:tcBorders>
            <w:vAlign w:val="center"/>
            <w:hideMark/>
          </w:tcPr>
          <w:p w14:paraId="235940EE"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321CB491"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tcBorders>
              <w:top w:val="nil"/>
              <w:left w:val="nil"/>
              <w:bottom w:val="single" w:sz="4" w:space="0" w:color="auto"/>
              <w:right w:val="single" w:sz="4" w:space="0" w:color="auto"/>
            </w:tcBorders>
            <w:shd w:val="clear" w:color="auto" w:fill="auto"/>
            <w:vAlign w:val="center"/>
            <w:hideMark/>
          </w:tcPr>
          <w:p w14:paraId="1247EACE" w14:textId="4E7D98DD" w:rsidR="009D2B6B" w:rsidRPr="000C5886" w:rsidRDefault="009D2B6B"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Expedi</w:t>
            </w:r>
            <w:r w:rsidR="000C5886" w:rsidRPr="000C5886">
              <w:rPr>
                <w:rFonts w:ascii="Century Gothic" w:eastAsia="Times New Roman" w:hAnsi="Century Gothic" w:cs="Times New Roman"/>
                <w:color w:val="000000"/>
                <w:sz w:val="20"/>
                <w:szCs w:val="20"/>
                <w:lang w:val="es-ES" w:eastAsia="es-ES"/>
              </w:rPr>
              <w:t xml:space="preserve">ción de </w:t>
            </w:r>
            <w:r w:rsidRPr="000C5886">
              <w:rPr>
                <w:rFonts w:ascii="Century Gothic" w:eastAsia="Times New Roman" w:hAnsi="Century Gothic" w:cs="Times New Roman"/>
                <w:color w:val="000000"/>
                <w:sz w:val="20"/>
                <w:szCs w:val="20"/>
                <w:lang w:val="es-ES" w:eastAsia="es-ES"/>
              </w:rPr>
              <w:t>los títulos ejecutivos de los contribuyentes en mora</w:t>
            </w:r>
          </w:p>
        </w:tc>
        <w:tc>
          <w:tcPr>
            <w:tcW w:w="911" w:type="pct"/>
            <w:tcBorders>
              <w:top w:val="nil"/>
              <w:left w:val="nil"/>
              <w:bottom w:val="single" w:sz="4" w:space="0" w:color="auto"/>
              <w:right w:val="single" w:sz="4" w:space="0" w:color="auto"/>
            </w:tcBorders>
            <w:shd w:val="clear" w:color="auto" w:fill="auto"/>
            <w:vAlign w:val="center"/>
            <w:hideMark/>
          </w:tcPr>
          <w:p w14:paraId="6C07A94A" w14:textId="46C14618" w:rsidR="009D2B6B" w:rsidRPr="000C5886" w:rsidRDefault="009D2B6B"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Aplica</w:t>
            </w:r>
            <w:r w:rsidR="000C5886" w:rsidRPr="000C5886">
              <w:rPr>
                <w:rFonts w:ascii="Century Gothic" w:eastAsia="Times New Roman" w:hAnsi="Century Gothic" w:cs="Times New Roman"/>
                <w:color w:val="000000"/>
                <w:sz w:val="20"/>
                <w:szCs w:val="20"/>
                <w:lang w:val="es-ES" w:eastAsia="es-ES"/>
              </w:rPr>
              <w:t xml:space="preserve">r </w:t>
            </w:r>
            <w:r w:rsidRPr="000C5886">
              <w:rPr>
                <w:rFonts w:ascii="Century Gothic" w:eastAsia="Times New Roman" w:hAnsi="Century Gothic" w:cs="Times New Roman"/>
                <w:color w:val="000000"/>
                <w:sz w:val="20"/>
                <w:szCs w:val="20"/>
                <w:lang w:val="es-ES" w:eastAsia="es-ES"/>
              </w:rPr>
              <w:t>las resoluciones emitidas por el IGAC</w:t>
            </w:r>
          </w:p>
        </w:tc>
        <w:tc>
          <w:tcPr>
            <w:tcW w:w="1812" w:type="pct"/>
            <w:tcBorders>
              <w:top w:val="nil"/>
              <w:left w:val="nil"/>
              <w:bottom w:val="single" w:sz="4" w:space="0" w:color="auto"/>
              <w:right w:val="single" w:sz="4" w:space="0" w:color="auto"/>
            </w:tcBorders>
            <w:shd w:val="clear" w:color="auto" w:fill="auto"/>
            <w:noWrap/>
            <w:vAlign w:val="center"/>
            <w:hideMark/>
          </w:tcPr>
          <w:p w14:paraId="7CF66E85" w14:textId="7643FA1F"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No. de títulos expedidos</w:t>
            </w:r>
          </w:p>
        </w:tc>
      </w:tr>
      <w:tr w:rsidR="009D2B6B" w:rsidRPr="000C5886" w14:paraId="71C42508" w14:textId="77777777" w:rsidTr="000C5886">
        <w:trPr>
          <w:trHeight w:val="576"/>
        </w:trPr>
        <w:tc>
          <w:tcPr>
            <w:tcW w:w="721" w:type="pct"/>
            <w:vMerge/>
            <w:tcBorders>
              <w:top w:val="nil"/>
              <w:left w:val="single" w:sz="4" w:space="0" w:color="auto"/>
              <w:bottom w:val="single" w:sz="4" w:space="0" w:color="auto"/>
              <w:right w:val="single" w:sz="4" w:space="0" w:color="auto"/>
            </w:tcBorders>
            <w:vAlign w:val="center"/>
            <w:hideMark/>
          </w:tcPr>
          <w:p w14:paraId="77995A02"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511F0333"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vMerge w:val="restart"/>
            <w:tcBorders>
              <w:top w:val="nil"/>
              <w:left w:val="nil"/>
              <w:right w:val="single" w:sz="4" w:space="0" w:color="auto"/>
            </w:tcBorders>
            <w:shd w:val="clear" w:color="auto" w:fill="auto"/>
            <w:vAlign w:val="center"/>
            <w:hideMark/>
          </w:tcPr>
          <w:p w14:paraId="2DCA9AC3" w14:textId="3C5F74F4" w:rsidR="009D2B6B" w:rsidRPr="000C5886" w:rsidRDefault="009D2B6B"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Realiza</w:t>
            </w:r>
            <w:r w:rsidR="000C5886" w:rsidRPr="000C5886">
              <w:rPr>
                <w:rFonts w:ascii="Century Gothic" w:eastAsia="Times New Roman" w:hAnsi="Century Gothic" w:cs="Times New Roman"/>
                <w:color w:val="000000"/>
                <w:sz w:val="20"/>
                <w:szCs w:val="20"/>
                <w:lang w:val="es-ES" w:eastAsia="es-ES"/>
              </w:rPr>
              <w:t xml:space="preserve">ción de </w:t>
            </w:r>
            <w:r w:rsidRPr="000C5886">
              <w:rPr>
                <w:rFonts w:ascii="Century Gothic" w:eastAsia="Times New Roman" w:hAnsi="Century Gothic" w:cs="Times New Roman"/>
                <w:color w:val="000000"/>
                <w:sz w:val="20"/>
                <w:szCs w:val="20"/>
                <w:lang w:val="es-ES" w:eastAsia="es-ES"/>
              </w:rPr>
              <w:t>acuerdos de pago</w:t>
            </w:r>
          </w:p>
        </w:tc>
        <w:tc>
          <w:tcPr>
            <w:tcW w:w="911" w:type="pct"/>
            <w:vMerge w:val="restart"/>
            <w:tcBorders>
              <w:top w:val="nil"/>
              <w:left w:val="nil"/>
              <w:right w:val="single" w:sz="4" w:space="0" w:color="auto"/>
            </w:tcBorders>
            <w:shd w:val="clear" w:color="auto" w:fill="auto"/>
            <w:vAlign w:val="center"/>
            <w:hideMark/>
          </w:tcPr>
          <w:p w14:paraId="509FFF82" w14:textId="54849FE5"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Revisar la información de los predios que estén por prescribir y emitir los títulos ejecutivos</w:t>
            </w:r>
          </w:p>
        </w:tc>
        <w:tc>
          <w:tcPr>
            <w:tcW w:w="1812" w:type="pct"/>
            <w:tcBorders>
              <w:top w:val="nil"/>
              <w:left w:val="nil"/>
              <w:bottom w:val="single" w:sz="4" w:space="0" w:color="auto"/>
              <w:right w:val="single" w:sz="4" w:space="0" w:color="auto"/>
            </w:tcBorders>
            <w:shd w:val="clear" w:color="auto" w:fill="auto"/>
            <w:noWrap/>
            <w:vAlign w:val="center"/>
            <w:hideMark/>
          </w:tcPr>
          <w:p w14:paraId="251A01CF" w14:textId="0C754ECE"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No. de </w:t>
            </w:r>
            <w:r w:rsidR="00A02A7A" w:rsidRPr="000C5886">
              <w:rPr>
                <w:rFonts w:ascii="Century Gothic" w:eastAsia="Times New Roman" w:hAnsi="Century Gothic" w:cs="Times New Roman"/>
                <w:color w:val="000000"/>
                <w:sz w:val="20"/>
                <w:szCs w:val="20"/>
                <w:lang w:val="es-ES" w:eastAsia="es-ES"/>
              </w:rPr>
              <w:t xml:space="preserve">mandamientos </w:t>
            </w:r>
            <w:r w:rsidRPr="000C5886">
              <w:rPr>
                <w:rFonts w:ascii="Century Gothic" w:eastAsia="Times New Roman" w:hAnsi="Century Gothic" w:cs="Times New Roman"/>
                <w:color w:val="000000"/>
                <w:sz w:val="20"/>
                <w:szCs w:val="20"/>
                <w:lang w:val="es-ES" w:eastAsia="es-ES"/>
              </w:rPr>
              <w:t xml:space="preserve">de </w:t>
            </w:r>
            <w:r w:rsidR="00A02A7A" w:rsidRPr="000C5886">
              <w:rPr>
                <w:rFonts w:ascii="Century Gothic" w:eastAsia="Times New Roman" w:hAnsi="Century Gothic" w:cs="Times New Roman"/>
                <w:color w:val="000000"/>
                <w:sz w:val="20"/>
                <w:szCs w:val="20"/>
                <w:lang w:val="es-ES" w:eastAsia="es-ES"/>
              </w:rPr>
              <w:t>pago</w:t>
            </w:r>
          </w:p>
        </w:tc>
      </w:tr>
      <w:tr w:rsidR="009D2B6B" w:rsidRPr="000C5886" w14:paraId="4EB56D2C" w14:textId="77777777" w:rsidTr="000C5886">
        <w:trPr>
          <w:trHeight w:val="288"/>
        </w:trPr>
        <w:tc>
          <w:tcPr>
            <w:tcW w:w="721" w:type="pct"/>
            <w:vMerge/>
            <w:tcBorders>
              <w:top w:val="nil"/>
              <w:left w:val="single" w:sz="4" w:space="0" w:color="auto"/>
              <w:bottom w:val="single" w:sz="4" w:space="0" w:color="auto"/>
              <w:right w:val="single" w:sz="4" w:space="0" w:color="auto"/>
            </w:tcBorders>
            <w:vAlign w:val="center"/>
            <w:hideMark/>
          </w:tcPr>
          <w:p w14:paraId="0CCDA503"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4840165E"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vMerge/>
            <w:tcBorders>
              <w:left w:val="nil"/>
              <w:bottom w:val="single" w:sz="4" w:space="0" w:color="auto"/>
              <w:right w:val="single" w:sz="4" w:space="0" w:color="auto"/>
            </w:tcBorders>
            <w:shd w:val="clear" w:color="auto" w:fill="auto"/>
            <w:noWrap/>
            <w:vAlign w:val="center"/>
            <w:hideMark/>
          </w:tcPr>
          <w:p w14:paraId="5DA6E96A" w14:textId="1F6467B1"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11" w:type="pct"/>
            <w:vMerge/>
            <w:tcBorders>
              <w:left w:val="nil"/>
              <w:bottom w:val="single" w:sz="4" w:space="0" w:color="auto"/>
              <w:right w:val="single" w:sz="4" w:space="0" w:color="auto"/>
            </w:tcBorders>
            <w:shd w:val="clear" w:color="auto" w:fill="auto"/>
            <w:noWrap/>
            <w:vAlign w:val="center"/>
            <w:hideMark/>
          </w:tcPr>
          <w:p w14:paraId="67557C78" w14:textId="23D13558"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812" w:type="pct"/>
            <w:tcBorders>
              <w:top w:val="nil"/>
              <w:left w:val="nil"/>
              <w:bottom w:val="single" w:sz="4" w:space="0" w:color="auto"/>
              <w:right w:val="single" w:sz="4" w:space="0" w:color="auto"/>
            </w:tcBorders>
            <w:shd w:val="clear" w:color="auto" w:fill="auto"/>
            <w:noWrap/>
            <w:vAlign w:val="center"/>
            <w:hideMark/>
          </w:tcPr>
          <w:p w14:paraId="5594F630"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No. de acuerdos de pago</w:t>
            </w:r>
          </w:p>
        </w:tc>
      </w:tr>
      <w:tr w:rsidR="009D2B6B" w:rsidRPr="000C5886" w14:paraId="072E0837" w14:textId="77777777" w:rsidTr="000C5886">
        <w:trPr>
          <w:trHeight w:val="576"/>
        </w:trPr>
        <w:tc>
          <w:tcPr>
            <w:tcW w:w="721" w:type="pct"/>
            <w:vMerge w:val="restart"/>
            <w:tcBorders>
              <w:top w:val="nil"/>
              <w:left w:val="single" w:sz="4" w:space="0" w:color="auto"/>
              <w:bottom w:val="single" w:sz="4" w:space="0" w:color="000000"/>
              <w:right w:val="single" w:sz="4" w:space="0" w:color="auto"/>
            </w:tcBorders>
            <w:shd w:val="clear" w:color="auto" w:fill="auto"/>
            <w:vAlign w:val="center"/>
            <w:hideMark/>
          </w:tcPr>
          <w:p w14:paraId="212A13BE"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Arrendamientos de inmuebles</w:t>
            </w:r>
          </w:p>
        </w:tc>
        <w:tc>
          <w:tcPr>
            <w:tcW w:w="651" w:type="pct"/>
            <w:vMerge w:val="restart"/>
            <w:tcBorders>
              <w:top w:val="nil"/>
              <w:left w:val="single" w:sz="4" w:space="0" w:color="auto"/>
              <w:bottom w:val="single" w:sz="4" w:space="0" w:color="000000"/>
              <w:right w:val="single" w:sz="4" w:space="0" w:color="auto"/>
            </w:tcBorders>
            <w:shd w:val="clear" w:color="auto" w:fill="auto"/>
            <w:vAlign w:val="center"/>
            <w:hideMark/>
          </w:tcPr>
          <w:p w14:paraId="664422EF" w14:textId="23DC62AD" w:rsidR="009D2B6B" w:rsidRPr="000C5886" w:rsidRDefault="000C5886"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100%</w:t>
            </w:r>
          </w:p>
        </w:tc>
        <w:tc>
          <w:tcPr>
            <w:tcW w:w="905" w:type="pct"/>
            <w:vMerge w:val="restart"/>
            <w:tcBorders>
              <w:top w:val="nil"/>
              <w:left w:val="single" w:sz="4" w:space="0" w:color="auto"/>
              <w:bottom w:val="single" w:sz="4" w:space="0" w:color="000000"/>
              <w:right w:val="single" w:sz="4" w:space="0" w:color="auto"/>
            </w:tcBorders>
            <w:shd w:val="clear" w:color="auto" w:fill="auto"/>
            <w:vAlign w:val="center"/>
            <w:hideMark/>
          </w:tcPr>
          <w:p w14:paraId="5EFD0C87" w14:textId="791FB023"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 xml:space="preserve">Revisión de los predios del Municipio que se encuentren en arrendamiento </w:t>
            </w:r>
          </w:p>
        </w:tc>
        <w:tc>
          <w:tcPr>
            <w:tcW w:w="911" w:type="pct"/>
            <w:tcBorders>
              <w:top w:val="nil"/>
              <w:left w:val="nil"/>
              <w:bottom w:val="single" w:sz="4" w:space="0" w:color="auto"/>
              <w:right w:val="single" w:sz="4" w:space="0" w:color="auto"/>
            </w:tcBorders>
            <w:shd w:val="clear" w:color="auto" w:fill="auto"/>
            <w:vAlign w:val="center"/>
            <w:hideMark/>
          </w:tcPr>
          <w:p w14:paraId="2CD691DA"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Promover y facilitar la actualización de los contratos</w:t>
            </w:r>
          </w:p>
        </w:tc>
        <w:tc>
          <w:tcPr>
            <w:tcW w:w="1812" w:type="pct"/>
            <w:vMerge w:val="restart"/>
            <w:tcBorders>
              <w:top w:val="nil"/>
              <w:left w:val="single" w:sz="4" w:space="0" w:color="auto"/>
              <w:bottom w:val="single" w:sz="4" w:space="0" w:color="000000"/>
              <w:right w:val="single" w:sz="4" w:space="0" w:color="auto"/>
            </w:tcBorders>
            <w:shd w:val="clear" w:color="auto" w:fill="auto"/>
            <w:vAlign w:val="center"/>
            <w:hideMark/>
          </w:tcPr>
          <w:p w14:paraId="3EA626DF" w14:textId="514B1262"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w:t>
            </w:r>
            <w:r w:rsidR="00A02A7A" w:rsidRPr="000C5886">
              <w:rPr>
                <w:rFonts w:ascii="Century Gothic" w:eastAsia="Times New Roman" w:hAnsi="Century Gothic" w:cs="Times New Roman"/>
                <w:color w:val="000000"/>
                <w:sz w:val="20"/>
                <w:szCs w:val="20"/>
                <w:lang w:val="es-ES" w:eastAsia="es-ES"/>
              </w:rPr>
              <w:t xml:space="preserve"> </w:t>
            </w:r>
            <w:r w:rsidRPr="000C5886">
              <w:rPr>
                <w:rFonts w:ascii="Century Gothic" w:eastAsia="Times New Roman" w:hAnsi="Century Gothic" w:cs="Times New Roman"/>
                <w:color w:val="000000"/>
                <w:sz w:val="20"/>
                <w:szCs w:val="20"/>
                <w:lang w:val="es-ES" w:eastAsia="es-ES"/>
              </w:rPr>
              <w:t>recaudo/valor contratos de arrendamiento</w:t>
            </w:r>
          </w:p>
        </w:tc>
      </w:tr>
      <w:tr w:rsidR="009D2B6B" w:rsidRPr="000C5886" w14:paraId="0C63699B" w14:textId="77777777" w:rsidTr="000C5886">
        <w:trPr>
          <w:trHeight w:val="288"/>
        </w:trPr>
        <w:tc>
          <w:tcPr>
            <w:tcW w:w="721" w:type="pct"/>
            <w:vMerge/>
            <w:tcBorders>
              <w:top w:val="nil"/>
              <w:left w:val="single" w:sz="4" w:space="0" w:color="auto"/>
              <w:bottom w:val="single" w:sz="4" w:space="0" w:color="000000"/>
              <w:right w:val="single" w:sz="4" w:space="0" w:color="auto"/>
            </w:tcBorders>
            <w:vAlign w:val="center"/>
            <w:hideMark/>
          </w:tcPr>
          <w:p w14:paraId="0BFDD93C"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24838F91"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vMerge/>
            <w:tcBorders>
              <w:top w:val="nil"/>
              <w:left w:val="single" w:sz="4" w:space="0" w:color="auto"/>
              <w:bottom w:val="single" w:sz="4" w:space="0" w:color="000000"/>
              <w:right w:val="single" w:sz="4" w:space="0" w:color="auto"/>
            </w:tcBorders>
            <w:vAlign w:val="center"/>
            <w:hideMark/>
          </w:tcPr>
          <w:p w14:paraId="66276D10"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11" w:type="pct"/>
            <w:tcBorders>
              <w:top w:val="nil"/>
              <w:left w:val="nil"/>
              <w:bottom w:val="single" w:sz="4" w:space="0" w:color="auto"/>
              <w:right w:val="single" w:sz="4" w:space="0" w:color="auto"/>
            </w:tcBorders>
            <w:shd w:val="clear" w:color="auto" w:fill="auto"/>
            <w:vAlign w:val="center"/>
            <w:hideMark/>
          </w:tcPr>
          <w:p w14:paraId="118FF248" w14:textId="27F64FEB" w:rsidR="009D2B6B" w:rsidRPr="000C5886" w:rsidRDefault="009D2B6B" w:rsidP="000C5886">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Gen</w:t>
            </w:r>
            <w:r w:rsidR="000C5886" w:rsidRPr="000C5886">
              <w:rPr>
                <w:rFonts w:ascii="Century Gothic" w:eastAsia="Times New Roman" w:hAnsi="Century Gothic" w:cs="Times New Roman"/>
                <w:color w:val="000000"/>
                <w:sz w:val="20"/>
                <w:szCs w:val="20"/>
                <w:lang w:val="es-ES" w:eastAsia="es-ES"/>
              </w:rPr>
              <w:t>erar</w:t>
            </w:r>
            <w:r w:rsidRPr="000C5886">
              <w:rPr>
                <w:rFonts w:ascii="Century Gothic" w:eastAsia="Times New Roman" w:hAnsi="Century Gothic" w:cs="Times New Roman"/>
                <w:color w:val="000000"/>
                <w:sz w:val="20"/>
                <w:szCs w:val="20"/>
                <w:lang w:val="es-ES" w:eastAsia="es-ES"/>
              </w:rPr>
              <w:t xml:space="preserve"> oportuna</w:t>
            </w:r>
            <w:r w:rsidR="000C5886" w:rsidRPr="000C5886">
              <w:rPr>
                <w:rFonts w:ascii="Century Gothic" w:eastAsia="Times New Roman" w:hAnsi="Century Gothic" w:cs="Times New Roman"/>
                <w:color w:val="000000"/>
                <w:sz w:val="20"/>
                <w:szCs w:val="20"/>
                <w:lang w:val="es-ES" w:eastAsia="es-ES"/>
              </w:rPr>
              <w:t xml:space="preserve">mente el </w:t>
            </w:r>
            <w:r w:rsidRPr="000C5886">
              <w:rPr>
                <w:rFonts w:ascii="Century Gothic" w:eastAsia="Times New Roman" w:hAnsi="Century Gothic" w:cs="Times New Roman"/>
                <w:color w:val="000000"/>
                <w:sz w:val="20"/>
                <w:szCs w:val="20"/>
                <w:lang w:val="es-ES" w:eastAsia="es-ES"/>
              </w:rPr>
              <w:t>cobrar</w:t>
            </w:r>
          </w:p>
        </w:tc>
        <w:tc>
          <w:tcPr>
            <w:tcW w:w="1812" w:type="pct"/>
            <w:vMerge/>
            <w:tcBorders>
              <w:top w:val="nil"/>
              <w:left w:val="single" w:sz="4" w:space="0" w:color="auto"/>
              <w:bottom w:val="single" w:sz="4" w:space="0" w:color="000000"/>
              <w:right w:val="single" w:sz="4" w:space="0" w:color="auto"/>
            </w:tcBorders>
            <w:vAlign w:val="center"/>
            <w:hideMark/>
          </w:tcPr>
          <w:p w14:paraId="5A4E641C"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r>
      <w:tr w:rsidR="009D2B6B" w:rsidRPr="000C5886" w14:paraId="6F78EC4E" w14:textId="77777777" w:rsidTr="000C5886">
        <w:trPr>
          <w:trHeight w:val="288"/>
        </w:trPr>
        <w:tc>
          <w:tcPr>
            <w:tcW w:w="721" w:type="pct"/>
            <w:vMerge w:val="restart"/>
            <w:tcBorders>
              <w:top w:val="nil"/>
              <w:left w:val="single" w:sz="4" w:space="0" w:color="auto"/>
              <w:bottom w:val="single" w:sz="4" w:space="0" w:color="000000"/>
              <w:right w:val="single" w:sz="4" w:space="0" w:color="auto"/>
            </w:tcBorders>
            <w:shd w:val="clear" w:color="auto" w:fill="auto"/>
            <w:vAlign w:val="center"/>
            <w:hideMark/>
          </w:tcPr>
          <w:p w14:paraId="5CD71435"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Multas de Tránsito</w:t>
            </w:r>
          </w:p>
        </w:tc>
        <w:tc>
          <w:tcPr>
            <w:tcW w:w="651" w:type="pct"/>
            <w:vMerge w:val="restart"/>
            <w:tcBorders>
              <w:top w:val="nil"/>
              <w:left w:val="single" w:sz="4" w:space="0" w:color="auto"/>
              <w:bottom w:val="single" w:sz="4" w:space="0" w:color="000000"/>
              <w:right w:val="single" w:sz="4" w:space="0" w:color="auto"/>
            </w:tcBorders>
            <w:shd w:val="clear" w:color="auto" w:fill="auto"/>
            <w:vAlign w:val="center"/>
            <w:hideMark/>
          </w:tcPr>
          <w:p w14:paraId="422F183C"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Mantener el recaudo histórico</w:t>
            </w:r>
          </w:p>
        </w:tc>
        <w:tc>
          <w:tcPr>
            <w:tcW w:w="905" w:type="pct"/>
            <w:tcBorders>
              <w:top w:val="nil"/>
              <w:left w:val="nil"/>
              <w:bottom w:val="single" w:sz="4" w:space="0" w:color="auto"/>
              <w:right w:val="single" w:sz="4" w:space="0" w:color="auto"/>
            </w:tcBorders>
            <w:shd w:val="clear" w:color="auto" w:fill="auto"/>
            <w:vAlign w:val="center"/>
            <w:hideMark/>
          </w:tcPr>
          <w:p w14:paraId="23C18D9D" w14:textId="2F31A032" w:rsidR="009D2B6B" w:rsidRPr="000C5886" w:rsidRDefault="009D2B6B" w:rsidP="005F5A69">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Promo</w:t>
            </w:r>
            <w:r w:rsidR="005F5A69">
              <w:rPr>
                <w:rFonts w:ascii="Century Gothic" w:eastAsia="Times New Roman" w:hAnsi="Century Gothic" w:cs="Times New Roman"/>
                <w:color w:val="000000"/>
                <w:sz w:val="20"/>
                <w:szCs w:val="20"/>
                <w:lang w:val="es-ES" w:eastAsia="es-ES"/>
              </w:rPr>
              <w:t>ción d</w:t>
            </w:r>
            <w:r w:rsidRPr="000C5886">
              <w:rPr>
                <w:rFonts w:ascii="Century Gothic" w:eastAsia="Times New Roman" w:hAnsi="Century Gothic" w:cs="Times New Roman"/>
                <w:color w:val="000000"/>
                <w:sz w:val="20"/>
                <w:szCs w:val="20"/>
                <w:lang w:val="es-ES" w:eastAsia="es-ES"/>
              </w:rPr>
              <w:t>el pago oportuno de las multas</w:t>
            </w:r>
          </w:p>
        </w:tc>
        <w:tc>
          <w:tcPr>
            <w:tcW w:w="911" w:type="pct"/>
            <w:tcBorders>
              <w:top w:val="nil"/>
              <w:left w:val="nil"/>
              <w:bottom w:val="single" w:sz="4" w:space="0" w:color="auto"/>
              <w:right w:val="single" w:sz="4" w:space="0" w:color="auto"/>
            </w:tcBorders>
            <w:shd w:val="clear" w:color="auto" w:fill="auto"/>
            <w:vAlign w:val="center"/>
            <w:hideMark/>
          </w:tcPr>
          <w:p w14:paraId="53629561"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implementación de estrategias persuasivas</w:t>
            </w:r>
          </w:p>
        </w:tc>
        <w:tc>
          <w:tcPr>
            <w:tcW w:w="1812" w:type="pct"/>
            <w:tcBorders>
              <w:top w:val="nil"/>
              <w:left w:val="nil"/>
              <w:bottom w:val="single" w:sz="4" w:space="0" w:color="auto"/>
              <w:right w:val="single" w:sz="4" w:space="0" w:color="auto"/>
            </w:tcBorders>
            <w:shd w:val="clear" w:color="auto" w:fill="auto"/>
            <w:noWrap/>
            <w:vAlign w:val="center"/>
            <w:hideMark/>
          </w:tcPr>
          <w:p w14:paraId="08097FCF"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Cantidad de procesos iniciados</w:t>
            </w:r>
          </w:p>
        </w:tc>
      </w:tr>
      <w:tr w:rsidR="009D2B6B" w:rsidRPr="000C5886" w14:paraId="79FF8E4C" w14:textId="77777777" w:rsidTr="000C5886">
        <w:trPr>
          <w:trHeight w:val="300"/>
        </w:trPr>
        <w:tc>
          <w:tcPr>
            <w:tcW w:w="721" w:type="pct"/>
            <w:vMerge/>
            <w:tcBorders>
              <w:top w:val="nil"/>
              <w:left w:val="single" w:sz="4" w:space="0" w:color="auto"/>
              <w:bottom w:val="single" w:sz="4" w:space="0" w:color="000000"/>
              <w:right w:val="single" w:sz="4" w:space="0" w:color="auto"/>
            </w:tcBorders>
            <w:vAlign w:val="center"/>
            <w:hideMark/>
          </w:tcPr>
          <w:p w14:paraId="0D0E70D0"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7E0A946E"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vMerge w:val="restart"/>
            <w:tcBorders>
              <w:top w:val="nil"/>
              <w:left w:val="nil"/>
              <w:right w:val="single" w:sz="4" w:space="0" w:color="auto"/>
            </w:tcBorders>
            <w:shd w:val="clear" w:color="auto" w:fill="auto"/>
            <w:vAlign w:val="center"/>
            <w:hideMark/>
          </w:tcPr>
          <w:p w14:paraId="76ED3AFD" w14:textId="02814F67" w:rsidR="009D2B6B" w:rsidRPr="000C5886" w:rsidRDefault="000C5886" w:rsidP="005F5A69">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Fortalec</w:t>
            </w:r>
            <w:r w:rsidR="005F5A69">
              <w:rPr>
                <w:rFonts w:ascii="Century Gothic" w:eastAsia="Times New Roman" w:hAnsi="Century Gothic" w:cs="Times New Roman"/>
                <w:color w:val="000000"/>
                <w:sz w:val="20"/>
                <w:szCs w:val="20"/>
                <w:lang w:val="es-ES" w:eastAsia="es-ES"/>
              </w:rPr>
              <w:t>imiento d</w:t>
            </w:r>
            <w:r w:rsidR="009D2B6B" w:rsidRPr="000C5886">
              <w:rPr>
                <w:rFonts w:ascii="Century Gothic" w:eastAsia="Times New Roman" w:hAnsi="Century Gothic" w:cs="Times New Roman"/>
                <w:color w:val="000000"/>
                <w:sz w:val="20"/>
                <w:szCs w:val="20"/>
                <w:lang w:val="es-ES" w:eastAsia="es-ES"/>
              </w:rPr>
              <w:t>el proceso de cobro</w:t>
            </w:r>
          </w:p>
        </w:tc>
        <w:tc>
          <w:tcPr>
            <w:tcW w:w="911" w:type="pct"/>
            <w:vMerge w:val="restart"/>
            <w:tcBorders>
              <w:top w:val="nil"/>
              <w:left w:val="nil"/>
              <w:right w:val="single" w:sz="4" w:space="0" w:color="auto"/>
            </w:tcBorders>
            <w:shd w:val="clear" w:color="auto" w:fill="auto"/>
            <w:vAlign w:val="center"/>
            <w:hideMark/>
          </w:tcPr>
          <w:p w14:paraId="05FD05DB" w14:textId="75C73440"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Fortalecer estrategias pedagógicas preventivas</w:t>
            </w:r>
          </w:p>
        </w:tc>
        <w:tc>
          <w:tcPr>
            <w:tcW w:w="1812" w:type="pct"/>
            <w:tcBorders>
              <w:top w:val="nil"/>
              <w:left w:val="nil"/>
              <w:bottom w:val="single" w:sz="4" w:space="0" w:color="auto"/>
              <w:right w:val="single" w:sz="4" w:space="0" w:color="auto"/>
            </w:tcBorders>
            <w:shd w:val="clear" w:color="auto" w:fill="auto"/>
            <w:noWrap/>
            <w:vAlign w:val="center"/>
            <w:hideMark/>
          </w:tcPr>
          <w:p w14:paraId="56D66578" w14:textId="03727988"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Cantidades de procesos notificados</w:t>
            </w:r>
          </w:p>
        </w:tc>
      </w:tr>
      <w:tr w:rsidR="009D2B6B" w:rsidRPr="000C5886" w14:paraId="00D000AD" w14:textId="77777777" w:rsidTr="000C5886">
        <w:trPr>
          <w:trHeight w:val="288"/>
        </w:trPr>
        <w:tc>
          <w:tcPr>
            <w:tcW w:w="721" w:type="pct"/>
            <w:vMerge/>
            <w:tcBorders>
              <w:top w:val="nil"/>
              <w:left w:val="single" w:sz="4" w:space="0" w:color="auto"/>
              <w:bottom w:val="single" w:sz="4" w:space="0" w:color="000000"/>
              <w:right w:val="single" w:sz="4" w:space="0" w:color="auto"/>
            </w:tcBorders>
            <w:vAlign w:val="center"/>
            <w:hideMark/>
          </w:tcPr>
          <w:p w14:paraId="5C02F46A"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78677B9E"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vMerge/>
            <w:tcBorders>
              <w:left w:val="nil"/>
              <w:right w:val="single" w:sz="4" w:space="0" w:color="auto"/>
            </w:tcBorders>
            <w:shd w:val="clear" w:color="auto" w:fill="auto"/>
            <w:noWrap/>
            <w:vAlign w:val="center"/>
            <w:hideMark/>
          </w:tcPr>
          <w:p w14:paraId="34FE58EE" w14:textId="5DE27EBE"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11" w:type="pct"/>
            <w:vMerge/>
            <w:tcBorders>
              <w:left w:val="nil"/>
              <w:right w:val="single" w:sz="4" w:space="0" w:color="auto"/>
            </w:tcBorders>
            <w:shd w:val="clear" w:color="auto" w:fill="auto"/>
            <w:noWrap/>
            <w:vAlign w:val="center"/>
            <w:hideMark/>
          </w:tcPr>
          <w:p w14:paraId="1CA677F5" w14:textId="75A62C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812" w:type="pct"/>
            <w:tcBorders>
              <w:top w:val="nil"/>
              <w:left w:val="nil"/>
              <w:bottom w:val="single" w:sz="4" w:space="0" w:color="auto"/>
              <w:right w:val="single" w:sz="4" w:space="0" w:color="auto"/>
            </w:tcBorders>
            <w:shd w:val="clear" w:color="auto" w:fill="auto"/>
            <w:noWrap/>
            <w:vAlign w:val="center"/>
            <w:hideMark/>
          </w:tcPr>
          <w:p w14:paraId="3954AF25"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Cantidad y valor de procesos pagados</w:t>
            </w:r>
          </w:p>
        </w:tc>
      </w:tr>
      <w:tr w:rsidR="009D2B6B" w:rsidRPr="001E2110" w14:paraId="68F4C799" w14:textId="77777777" w:rsidTr="000C5886">
        <w:trPr>
          <w:trHeight w:val="288"/>
        </w:trPr>
        <w:tc>
          <w:tcPr>
            <w:tcW w:w="721" w:type="pct"/>
            <w:vMerge/>
            <w:tcBorders>
              <w:top w:val="nil"/>
              <w:left w:val="single" w:sz="4" w:space="0" w:color="auto"/>
              <w:bottom w:val="single" w:sz="4" w:space="0" w:color="000000"/>
              <w:right w:val="single" w:sz="4" w:space="0" w:color="auto"/>
            </w:tcBorders>
            <w:vAlign w:val="center"/>
            <w:hideMark/>
          </w:tcPr>
          <w:p w14:paraId="46B6A558"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651" w:type="pct"/>
            <w:vMerge/>
            <w:tcBorders>
              <w:top w:val="nil"/>
              <w:left w:val="single" w:sz="4" w:space="0" w:color="auto"/>
              <w:bottom w:val="single" w:sz="4" w:space="0" w:color="000000"/>
              <w:right w:val="single" w:sz="4" w:space="0" w:color="auto"/>
            </w:tcBorders>
            <w:vAlign w:val="center"/>
            <w:hideMark/>
          </w:tcPr>
          <w:p w14:paraId="67F1F929"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05" w:type="pct"/>
            <w:vMerge/>
            <w:tcBorders>
              <w:left w:val="nil"/>
              <w:bottom w:val="single" w:sz="4" w:space="0" w:color="auto"/>
              <w:right w:val="single" w:sz="4" w:space="0" w:color="auto"/>
            </w:tcBorders>
            <w:shd w:val="clear" w:color="auto" w:fill="auto"/>
            <w:noWrap/>
            <w:vAlign w:val="center"/>
            <w:hideMark/>
          </w:tcPr>
          <w:p w14:paraId="48F0772E" w14:textId="32286FF5"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911" w:type="pct"/>
            <w:vMerge/>
            <w:tcBorders>
              <w:left w:val="nil"/>
              <w:bottom w:val="single" w:sz="4" w:space="0" w:color="auto"/>
              <w:right w:val="single" w:sz="4" w:space="0" w:color="auto"/>
            </w:tcBorders>
            <w:shd w:val="clear" w:color="auto" w:fill="auto"/>
            <w:noWrap/>
            <w:vAlign w:val="center"/>
            <w:hideMark/>
          </w:tcPr>
          <w:p w14:paraId="4C18FF05" w14:textId="48D1946A"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812" w:type="pct"/>
            <w:tcBorders>
              <w:top w:val="nil"/>
              <w:left w:val="nil"/>
              <w:bottom w:val="single" w:sz="4" w:space="0" w:color="auto"/>
              <w:right w:val="single" w:sz="4" w:space="0" w:color="auto"/>
            </w:tcBorders>
            <w:shd w:val="clear" w:color="auto" w:fill="auto"/>
            <w:noWrap/>
            <w:vAlign w:val="center"/>
            <w:hideMark/>
          </w:tcPr>
          <w:p w14:paraId="75FC3E73" w14:textId="77777777" w:rsidR="009D2B6B" w:rsidRPr="000C5886" w:rsidRDefault="009D2B6B" w:rsidP="009D2B6B">
            <w:pPr>
              <w:spacing w:after="0" w:line="240" w:lineRule="auto"/>
              <w:rPr>
                <w:rFonts w:ascii="Century Gothic" w:eastAsia="Times New Roman" w:hAnsi="Century Gothic" w:cs="Times New Roman"/>
                <w:color w:val="000000"/>
                <w:sz w:val="20"/>
                <w:szCs w:val="20"/>
                <w:lang w:val="es-ES" w:eastAsia="es-ES"/>
              </w:rPr>
            </w:pPr>
            <w:r w:rsidRPr="000C5886">
              <w:rPr>
                <w:rFonts w:ascii="Century Gothic" w:eastAsia="Times New Roman" w:hAnsi="Century Gothic" w:cs="Times New Roman"/>
                <w:color w:val="000000"/>
                <w:sz w:val="20"/>
                <w:szCs w:val="20"/>
                <w:lang w:val="es-ES" w:eastAsia="es-ES"/>
              </w:rPr>
              <w:t>Cantidad de procesos en acuerdo de pago</w:t>
            </w:r>
          </w:p>
        </w:tc>
      </w:tr>
    </w:tbl>
    <w:p w14:paraId="7460E9A1" w14:textId="77777777" w:rsidR="0016186A" w:rsidRPr="001E2110" w:rsidRDefault="0016186A">
      <w:pPr>
        <w:rPr>
          <w:rFonts w:ascii="Century Gothic" w:hAnsi="Century Gothic" w:cs="Arial"/>
          <w:highlight w:val="yellow"/>
          <w:lang w:val="es-ES"/>
        </w:rPr>
      </w:pPr>
      <w:r w:rsidRPr="001E2110">
        <w:rPr>
          <w:rFonts w:ascii="Century Gothic" w:hAnsi="Century Gothic" w:cs="Arial"/>
          <w:highlight w:val="yellow"/>
          <w:lang w:val="es-ES"/>
        </w:rPr>
        <w:br w:type="page"/>
      </w:r>
    </w:p>
    <w:tbl>
      <w:tblPr>
        <w:tblW w:w="5044" w:type="pct"/>
        <w:tblLayout w:type="fixed"/>
        <w:tblCellMar>
          <w:left w:w="70" w:type="dxa"/>
          <w:right w:w="70" w:type="dxa"/>
        </w:tblCellMar>
        <w:tblLook w:val="04A0" w:firstRow="1" w:lastRow="0" w:firstColumn="1" w:lastColumn="0" w:noHBand="0" w:noVBand="1"/>
      </w:tblPr>
      <w:tblGrid>
        <w:gridCol w:w="1493"/>
        <w:gridCol w:w="707"/>
        <w:gridCol w:w="4249"/>
        <w:gridCol w:w="3827"/>
        <w:gridCol w:w="2126"/>
      </w:tblGrid>
      <w:tr w:rsidR="00E042F7" w:rsidRPr="005F5A69" w14:paraId="6678B3AC" w14:textId="77777777" w:rsidTr="00E042F7">
        <w:trPr>
          <w:trHeight w:val="288"/>
        </w:trPr>
        <w:tc>
          <w:tcPr>
            <w:tcW w:w="602"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5073D70E" w14:textId="4BDCE192" w:rsidR="009D2B6B" w:rsidRPr="005F5A69" w:rsidRDefault="009D2B6B" w:rsidP="00E042F7">
            <w:pPr>
              <w:spacing w:after="0" w:line="240" w:lineRule="auto"/>
              <w:jc w:val="center"/>
              <w:rPr>
                <w:rFonts w:ascii="Century Gothic" w:eastAsia="Times New Roman" w:hAnsi="Century Gothic" w:cs="Times New Roman"/>
                <w:b/>
                <w:bCs/>
                <w:color w:val="000000"/>
                <w:sz w:val="20"/>
                <w:szCs w:val="20"/>
                <w:lang w:val="es-ES" w:eastAsia="es-ES"/>
              </w:rPr>
            </w:pPr>
            <w:r w:rsidRPr="005F5A69">
              <w:rPr>
                <w:rFonts w:ascii="Century Gothic" w:eastAsia="Times New Roman" w:hAnsi="Century Gothic" w:cs="Times New Roman"/>
                <w:b/>
                <w:bCs/>
                <w:color w:val="000000"/>
                <w:sz w:val="20"/>
                <w:szCs w:val="20"/>
                <w:lang w:val="es-ES" w:eastAsia="es-ES"/>
              </w:rPr>
              <w:lastRenderedPageBreak/>
              <w:t>Ingresos</w:t>
            </w:r>
          </w:p>
        </w:tc>
        <w:tc>
          <w:tcPr>
            <w:tcW w:w="285"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070E1DAA" w14:textId="1DEC5BB1" w:rsidR="009D2B6B" w:rsidRPr="005F5A69" w:rsidRDefault="009D2B6B" w:rsidP="00E042F7">
            <w:pPr>
              <w:spacing w:after="0" w:line="240" w:lineRule="auto"/>
              <w:jc w:val="center"/>
              <w:rPr>
                <w:rFonts w:ascii="Century Gothic" w:eastAsia="Times New Roman" w:hAnsi="Century Gothic" w:cs="Times New Roman"/>
                <w:b/>
                <w:bCs/>
                <w:color w:val="000000"/>
                <w:sz w:val="20"/>
                <w:szCs w:val="20"/>
                <w:lang w:val="es-ES" w:eastAsia="es-ES"/>
              </w:rPr>
            </w:pPr>
            <w:r w:rsidRPr="005F5A69">
              <w:rPr>
                <w:rFonts w:ascii="Century Gothic" w:eastAsia="Times New Roman" w:hAnsi="Century Gothic" w:cs="Times New Roman"/>
                <w:b/>
                <w:bCs/>
                <w:color w:val="000000"/>
                <w:sz w:val="20"/>
                <w:szCs w:val="20"/>
                <w:lang w:val="es-ES" w:eastAsia="es-ES"/>
              </w:rPr>
              <w:t>Meta</w:t>
            </w:r>
          </w:p>
        </w:tc>
        <w:tc>
          <w:tcPr>
            <w:tcW w:w="1713"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394B39C" w14:textId="2F7FF680" w:rsidR="009D2B6B" w:rsidRPr="005F5A69" w:rsidRDefault="009D2B6B" w:rsidP="00E042F7">
            <w:pPr>
              <w:spacing w:after="0" w:line="240" w:lineRule="auto"/>
              <w:jc w:val="center"/>
              <w:rPr>
                <w:rFonts w:ascii="Century Gothic" w:eastAsia="Times New Roman" w:hAnsi="Century Gothic" w:cs="Times New Roman"/>
                <w:b/>
                <w:bCs/>
                <w:color w:val="000000"/>
                <w:sz w:val="20"/>
                <w:szCs w:val="20"/>
                <w:lang w:val="es-ES" w:eastAsia="es-ES"/>
              </w:rPr>
            </w:pPr>
            <w:r w:rsidRPr="005F5A69">
              <w:rPr>
                <w:rFonts w:ascii="Century Gothic" w:eastAsia="Times New Roman" w:hAnsi="Century Gothic" w:cs="Times New Roman"/>
                <w:b/>
                <w:bCs/>
                <w:color w:val="000000"/>
                <w:sz w:val="20"/>
                <w:szCs w:val="20"/>
                <w:lang w:val="es-ES" w:eastAsia="es-ES"/>
              </w:rPr>
              <w:t>Acciones</w:t>
            </w:r>
          </w:p>
        </w:tc>
        <w:tc>
          <w:tcPr>
            <w:tcW w:w="1543"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3ABB51FF" w14:textId="00292126" w:rsidR="009D2B6B" w:rsidRPr="005F5A69" w:rsidRDefault="009D2B6B" w:rsidP="00E042F7">
            <w:pPr>
              <w:spacing w:after="0" w:line="240" w:lineRule="auto"/>
              <w:jc w:val="center"/>
              <w:rPr>
                <w:rFonts w:ascii="Century Gothic" w:eastAsia="Times New Roman" w:hAnsi="Century Gothic" w:cs="Times New Roman"/>
                <w:b/>
                <w:bCs/>
                <w:color w:val="000000"/>
                <w:sz w:val="20"/>
                <w:szCs w:val="20"/>
                <w:lang w:val="es-ES" w:eastAsia="es-ES"/>
              </w:rPr>
            </w:pPr>
            <w:r w:rsidRPr="005F5A69">
              <w:rPr>
                <w:rFonts w:ascii="Century Gothic" w:eastAsia="Times New Roman" w:hAnsi="Century Gothic" w:cs="Times New Roman"/>
                <w:b/>
                <w:bCs/>
                <w:color w:val="000000"/>
                <w:sz w:val="20"/>
                <w:szCs w:val="20"/>
                <w:lang w:val="es-ES" w:eastAsia="es-ES"/>
              </w:rPr>
              <w:t>Actividades</w:t>
            </w:r>
          </w:p>
        </w:tc>
        <w:tc>
          <w:tcPr>
            <w:tcW w:w="857"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3F4573CF" w14:textId="4AB0DBB5" w:rsidR="009D2B6B" w:rsidRPr="005F5A69" w:rsidRDefault="009D2B6B" w:rsidP="00E042F7">
            <w:pPr>
              <w:spacing w:after="0" w:line="240" w:lineRule="auto"/>
              <w:jc w:val="center"/>
              <w:rPr>
                <w:rFonts w:ascii="Century Gothic" w:eastAsia="Times New Roman" w:hAnsi="Century Gothic" w:cs="Times New Roman"/>
                <w:b/>
                <w:bCs/>
                <w:color w:val="000000"/>
                <w:sz w:val="20"/>
                <w:szCs w:val="20"/>
                <w:lang w:val="es-ES" w:eastAsia="es-ES"/>
              </w:rPr>
            </w:pPr>
            <w:r w:rsidRPr="005F5A69">
              <w:rPr>
                <w:rFonts w:ascii="Century Gothic" w:eastAsia="Times New Roman" w:hAnsi="Century Gothic" w:cs="Times New Roman"/>
                <w:b/>
                <w:bCs/>
                <w:color w:val="000000"/>
                <w:sz w:val="20"/>
                <w:szCs w:val="20"/>
                <w:lang w:val="es-ES" w:eastAsia="es-ES"/>
              </w:rPr>
              <w:t>Indicadores de seguimiento</w:t>
            </w:r>
          </w:p>
        </w:tc>
      </w:tr>
      <w:tr w:rsidR="00E042F7" w:rsidRPr="005F5A69" w14:paraId="7075FB55" w14:textId="77777777" w:rsidTr="00E042F7">
        <w:trPr>
          <w:trHeight w:val="600"/>
        </w:trPr>
        <w:tc>
          <w:tcPr>
            <w:tcW w:w="602" w:type="pct"/>
            <w:vMerge w:val="restart"/>
            <w:tcBorders>
              <w:top w:val="nil"/>
              <w:left w:val="single" w:sz="4" w:space="0" w:color="auto"/>
              <w:bottom w:val="nil"/>
              <w:right w:val="single" w:sz="4" w:space="0" w:color="auto"/>
            </w:tcBorders>
            <w:shd w:val="clear" w:color="auto" w:fill="auto"/>
            <w:vAlign w:val="center"/>
            <w:hideMark/>
          </w:tcPr>
          <w:p w14:paraId="3F91C7C5" w14:textId="02474FCB" w:rsidR="009D2B6B" w:rsidRPr="005F5A69" w:rsidRDefault="009D2B6B" w:rsidP="000C5886">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 xml:space="preserve">Impuesto espectáculos públicos no escénicos en el </w:t>
            </w:r>
            <w:r w:rsidR="000C5886" w:rsidRPr="005F5A69">
              <w:rPr>
                <w:rFonts w:ascii="Century Gothic" w:eastAsia="Times New Roman" w:hAnsi="Century Gothic" w:cs="Times New Roman"/>
                <w:color w:val="000000"/>
                <w:sz w:val="20"/>
                <w:szCs w:val="20"/>
                <w:lang w:val="es-ES" w:eastAsia="es-ES"/>
              </w:rPr>
              <w:t>m</w:t>
            </w:r>
            <w:r w:rsidRPr="005F5A69">
              <w:rPr>
                <w:rFonts w:ascii="Century Gothic" w:eastAsia="Times New Roman" w:hAnsi="Century Gothic" w:cs="Times New Roman"/>
                <w:color w:val="000000"/>
                <w:sz w:val="20"/>
                <w:szCs w:val="20"/>
                <w:lang w:val="es-ES" w:eastAsia="es-ES"/>
              </w:rPr>
              <w:t>unicipio de Pasto</w:t>
            </w:r>
          </w:p>
        </w:tc>
        <w:tc>
          <w:tcPr>
            <w:tcW w:w="285" w:type="pct"/>
            <w:vMerge w:val="restart"/>
            <w:tcBorders>
              <w:top w:val="nil"/>
              <w:left w:val="single" w:sz="4" w:space="0" w:color="auto"/>
              <w:bottom w:val="nil"/>
              <w:right w:val="single" w:sz="4" w:space="0" w:color="auto"/>
            </w:tcBorders>
            <w:shd w:val="clear" w:color="auto" w:fill="auto"/>
            <w:vAlign w:val="center"/>
            <w:hideMark/>
          </w:tcPr>
          <w:p w14:paraId="56A994D3" w14:textId="34BE3E0E" w:rsidR="009D2B6B" w:rsidRPr="005F5A69" w:rsidRDefault="000C5886" w:rsidP="000C5886">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100%</w:t>
            </w:r>
          </w:p>
        </w:tc>
        <w:tc>
          <w:tcPr>
            <w:tcW w:w="1713" w:type="pct"/>
            <w:tcBorders>
              <w:top w:val="nil"/>
              <w:left w:val="nil"/>
              <w:bottom w:val="single" w:sz="4" w:space="0" w:color="auto"/>
              <w:right w:val="single" w:sz="4" w:space="0" w:color="auto"/>
            </w:tcBorders>
            <w:shd w:val="clear" w:color="auto" w:fill="auto"/>
            <w:vAlign w:val="center"/>
            <w:hideMark/>
          </w:tcPr>
          <w:p w14:paraId="42BF4EB3" w14:textId="5D0EA447" w:rsidR="009D2B6B" w:rsidRPr="005F5A69" w:rsidRDefault="000C5886" w:rsidP="00E042F7">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 xml:space="preserve">Control de </w:t>
            </w:r>
            <w:r w:rsidR="009D2B6B" w:rsidRPr="005F5A69">
              <w:rPr>
                <w:rFonts w:ascii="Century Gothic" w:eastAsia="Times New Roman" w:hAnsi="Century Gothic" w:cs="Times New Roman"/>
                <w:color w:val="000000"/>
                <w:sz w:val="20"/>
                <w:szCs w:val="20"/>
                <w:lang w:val="es-ES" w:eastAsia="es-ES"/>
              </w:rPr>
              <w:t xml:space="preserve">las puertas del estadio libertad para la </w:t>
            </w:r>
            <w:r w:rsidRPr="005F5A69">
              <w:rPr>
                <w:rFonts w:ascii="Century Gothic" w:eastAsia="Times New Roman" w:hAnsi="Century Gothic" w:cs="Times New Roman"/>
                <w:color w:val="000000"/>
                <w:sz w:val="20"/>
                <w:szCs w:val="20"/>
                <w:lang w:val="es-ES" w:eastAsia="es-ES"/>
              </w:rPr>
              <w:t xml:space="preserve">liquidación </w:t>
            </w:r>
            <w:r w:rsidR="00E042F7">
              <w:rPr>
                <w:rFonts w:ascii="Century Gothic" w:eastAsia="Times New Roman" w:hAnsi="Century Gothic" w:cs="Times New Roman"/>
                <w:color w:val="000000"/>
                <w:sz w:val="20"/>
                <w:szCs w:val="20"/>
                <w:lang w:val="es-ES" w:eastAsia="es-ES"/>
              </w:rPr>
              <w:t>correspondiente</w:t>
            </w:r>
          </w:p>
        </w:tc>
        <w:tc>
          <w:tcPr>
            <w:tcW w:w="1543" w:type="pct"/>
            <w:tcBorders>
              <w:top w:val="nil"/>
              <w:left w:val="nil"/>
              <w:bottom w:val="single" w:sz="4" w:space="0" w:color="auto"/>
              <w:right w:val="single" w:sz="4" w:space="0" w:color="auto"/>
            </w:tcBorders>
            <w:shd w:val="clear" w:color="auto" w:fill="auto"/>
            <w:vAlign w:val="center"/>
            <w:hideMark/>
          </w:tcPr>
          <w:p w14:paraId="403B0005" w14:textId="04D6CE34" w:rsidR="009D2B6B" w:rsidRPr="005F5A69" w:rsidRDefault="009D2B6B" w:rsidP="000C5886">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Verifica</w:t>
            </w:r>
            <w:r w:rsidR="000C5886" w:rsidRPr="005F5A69">
              <w:rPr>
                <w:rFonts w:ascii="Century Gothic" w:eastAsia="Times New Roman" w:hAnsi="Century Gothic" w:cs="Times New Roman"/>
                <w:color w:val="000000"/>
                <w:sz w:val="20"/>
                <w:szCs w:val="20"/>
                <w:lang w:val="es-ES" w:eastAsia="es-ES"/>
              </w:rPr>
              <w:t xml:space="preserve">r </w:t>
            </w:r>
            <w:r w:rsidRPr="005F5A69">
              <w:rPr>
                <w:rFonts w:ascii="Century Gothic" w:eastAsia="Times New Roman" w:hAnsi="Century Gothic" w:cs="Times New Roman"/>
                <w:color w:val="000000"/>
                <w:sz w:val="20"/>
                <w:szCs w:val="20"/>
                <w:lang w:val="es-ES" w:eastAsia="es-ES"/>
              </w:rPr>
              <w:t>la facturación, en cada una de las p</w:t>
            </w:r>
            <w:r w:rsidR="000C5886" w:rsidRPr="005F5A69">
              <w:rPr>
                <w:rFonts w:ascii="Century Gothic" w:eastAsia="Times New Roman" w:hAnsi="Century Gothic" w:cs="Times New Roman"/>
                <w:color w:val="000000"/>
                <w:sz w:val="20"/>
                <w:szCs w:val="20"/>
                <w:lang w:val="es-ES" w:eastAsia="es-ES"/>
              </w:rPr>
              <w:t>uertas</w:t>
            </w:r>
          </w:p>
        </w:tc>
        <w:tc>
          <w:tcPr>
            <w:tcW w:w="857" w:type="pct"/>
            <w:tcBorders>
              <w:top w:val="nil"/>
              <w:left w:val="nil"/>
              <w:bottom w:val="single" w:sz="4" w:space="0" w:color="auto"/>
              <w:right w:val="single" w:sz="4" w:space="0" w:color="auto"/>
            </w:tcBorders>
            <w:shd w:val="clear" w:color="auto" w:fill="auto"/>
            <w:noWrap/>
            <w:vAlign w:val="center"/>
            <w:hideMark/>
          </w:tcPr>
          <w:p w14:paraId="327C953C"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 xml:space="preserve">No. de partidos programados </w:t>
            </w:r>
          </w:p>
        </w:tc>
      </w:tr>
      <w:tr w:rsidR="00E042F7" w:rsidRPr="005F5A69" w14:paraId="52897FD1" w14:textId="77777777" w:rsidTr="00E042F7">
        <w:trPr>
          <w:trHeight w:val="576"/>
        </w:trPr>
        <w:tc>
          <w:tcPr>
            <w:tcW w:w="602" w:type="pct"/>
            <w:vMerge/>
            <w:tcBorders>
              <w:top w:val="nil"/>
              <w:left w:val="single" w:sz="4" w:space="0" w:color="auto"/>
              <w:bottom w:val="nil"/>
              <w:right w:val="single" w:sz="4" w:space="0" w:color="auto"/>
            </w:tcBorders>
            <w:vAlign w:val="center"/>
            <w:hideMark/>
          </w:tcPr>
          <w:p w14:paraId="7937D23A"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nil"/>
              <w:right w:val="single" w:sz="4" w:space="0" w:color="auto"/>
            </w:tcBorders>
            <w:vAlign w:val="center"/>
            <w:hideMark/>
          </w:tcPr>
          <w:p w14:paraId="6D88FFEA"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tcBorders>
              <w:top w:val="nil"/>
              <w:left w:val="nil"/>
              <w:bottom w:val="single" w:sz="4" w:space="0" w:color="auto"/>
              <w:right w:val="single" w:sz="4" w:space="0" w:color="auto"/>
            </w:tcBorders>
            <w:shd w:val="clear" w:color="auto" w:fill="auto"/>
            <w:vAlign w:val="center"/>
            <w:hideMark/>
          </w:tcPr>
          <w:p w14:paraId="3BCEB629" w14:textId="64A0C8A8" w:rsidR="009D2B6B" w:rsidRPr="005F5A69" w:rsidRDefault="009D2B6B" w:rsidP="005F5A69">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Realiza</w:t>
            </w:r>
            <w:r w:rsidR="005F5A69" w:rsidRPr="005F5A69">
              <w:rPr>
                <w:rFonts w:ascii="Century Gothic" w:eastAsia="Times New Roman" w:hAnsi="Century Gothic" w:cs="Times New Roman"/>
                <w:color w:val="000000"/>
                <w:sz w:val="20"/>
                <w:szCs w:val="20"/>
                <w:lang w:val="es-ES" w:eastAsia="es-ES"/>
              </w:rPr>
              <w:t xml:space="preserve">ción de </w:t>
            </w:r>
            <w:r w:rsidRPr="005F5A69">
              <w:rPr>
                <w:rFonts w:ascii="Century Gothic" w:eastAsia="Times New Roman" w:hAnsi="Century Gothic" w:cs="Times New Roman"/>
                <w:color w:val="000000"/>
                <w:sz w:val="20"/>
                <w:szCs w:val="20"/>
                <w:lang w:val="es-ES" w:eastAsia="es-ES"/>
              </w:rPr>
              <w:t>operativos a las discotecas y salones donde se cobre la entrada al disfr</w:t>
            </w:r>
            <w:r w:rsidR="000C5886" w:rsidRPr="005F5A69">
              <w:rPr>
                <w:rFonts w:ascii="Century Gothic" w:eastAsia="Times New Roman" w:hAnsi="Century Gothic" w:cs="Times New Roman"/>
                <w:color w:val="000000"/>
                <w:sz w:val="20"/>
                <w:szCs w:val="20"/>
                <w:lang w:val="es-ES" w:eastAsia="es-ES"/>
              </w:rPr>
              <w:t>ute del espectáculo no escénico</w:t>
            </w:r>
          </w:p>
        </w:tc>
        <w:tc>
          <w:tcPr>
            <w:tcW w:w="1543" w:type="pct"/>
            <w:tcBorders>
              <w:top w:val="nil"/>
              <w:left w:val="nil"/>
              <w:bottom w:val="single" w:sz="4" w:space="0" w:color="auto"/>
              <w:right w:val="single" w:sz="4" w:space="0" w:color="auto"/>
            </w:tcBorders>
            <w:shd w:val="clear" w:color="auto" w:fill="auto"/>
            <w:vAlign w:val="center"/>
            <w:hideMark/>
          </w:tcPr>
          <w:p w14:paraId="042F0A01" w14:textId="2A09F149" w:rsidR="009D2B6B" w:rsidRPr="005F5A69" w:rsidRDefault="009D2B6B" w:rsidP="005F5A69">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Aplica</w:t>
            </w:r>
            <w:r w:rsidR="005F5A69" w:rsidRPr="005F5A69">
              <w:rPr>
                <w:rFonts w:ascii="Century Gothic" w:eastAsia="Times New Roman" w:hAnsi="Century Gothic" w:cs="Times New Roman"/>
                <w:color w:val="000000"/>
                <w:sz w:val="20"/>
                <w:szCs w:val="20"/>
                <w:lang w:val="es-ES" w:eastAsia="es-ES"/>
              </w:rPr>
              <w:t xml:space="preserve">r </w:t>
            </w:r>
            <w:r w:rsidRPr="005F5A69">
              <w:rPr>
                <w:rFonts w:ascii="Century Gothic" w:eastAsia="Times New Roman" w:hAnsi="Century Gothic" w:cs="Times New Roman"/>
                <w:color w:val="000000"/>
                <w:sz w:val="20"/>
                <w:szCs w:val="20"/>
                <w:lang w:val="es-ES" w:eastAsia="es-ES"/>
              </w:rPr>
              <w:t xml:space="preserve">el Estatuto Tributario Municipal </w:t>
            </w:r>
          </w:p>
        </w:tc>
        <w:tc>
          <w:tcPr>
            <w:tcW w:w="857" w:type="pct"/>
            <w:tcBorders>
              <w:top w:val="nil"/>
              <w:left w:val="nil"/>
              <w:bottom w:val="single" w:sz="4" w:space="0" w:color="auto"/>
              <w:right w:val="single" w:sz="4" w:space="0" w:color="auto"/>
            </w:tcBorders>
            <w:shd w:val="clear" w:color="auto" w:fill="auto"/>
            <w:noWrap/>
            <w:vAlign w:val="center"/>
            <w:hideMark/>
          </w:tcPr>
          <w:p w14:paraId="1B9F8A4D"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No. de establecimientos visitados</w:t>
            </w:r>
          </w:p>
        </w:tc>
      </w:tr>
      <w:tr w:rsidR="00E042F7" w:rsidRPr="005F5A69" w14:paraId="49DA5D67" w14:textId="77777777" w:rsidTr="00E042F7">
        <w:trPr>
          <w:trHeight w:val="576"/>
        </w:trPr>
        <w:tc>
          <w:tcPr>
            <w:tcW w:w="602" w:type="pct"/>
            <w:vMerge/>
            <w:tcBorders>
              <w:top w:val="nil"/>
              <w:left w:val="single" w:sz="4" w:space="0" w:color="auto"/>
              <w:bottom w:val="nil"/>
              <w:right w:val="single" w:sz="4" w:space="0" w:color="auto"/>
            </w:tcBorders>
            <w:vAlign w:val="center"/>
            <w:hideMark/>
          </w:tcPr>
          <w:p w14:paraId="7FF95894"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nil"/>
              <w:right w:val="single" w:sz="4" w:space="0" w:color="auto"/>
            </w:tcBorders>
            <w:vAlign w:val="center"/>
            <w:hideMark/>
          </w:tcPr>
          <w:p w14:paraId="1BC815F0"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tcBorders>
              <w:top w:val="nil"/>
              <w:left w:val="nil"/>
              <w:bottom w:val="single" w:sz="4" w:space="0" w:color="auto"/>
              <w:right w:val="single" w:sz="4" w:space="0" w:color="auto"/>
            </w:tcBorders>
            <w:shd w:val="clear" w:color="auto" w:fill="auto"/>
            <w:vAlign w:val="center"/>
            <w:hideMark/>
          </w:tcPr>
          <w:p w14:paraId="65FE4884" w14:textId="4154E9EE" w:rsidR="009D2B6B" w:rsidRPr="005F5A69" w:rsidRDefault="009D2B6B" w:rsidP="005F5A69">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Control</w:t>
            </w:r>
            <w:r w:rsidR="005F5A69" w:rsidRPr="005F5A69">
              <w:rPr>
                <w:rFonts w:ascii="Century Gothic" w:eastAsia="Times New Roman" w:hAnsi="Century Gothic" w:cs="Times New Roman"/>
                <w:color w:val="000000"/>
                <w:sz w:val="20"/>
                <w:szCs w:val="20"/>
                <w:lang w:val="es-ES" w:eastAsia="es-ES"/>
              </w:rPr>
              <w:t xml:space="preserve"> de</w:t>
            </w:r>
            <w:r w:rsidRPr="005F5A69">
              <w:rPr>
                <w:rFonts w:ascii="Century Gothic" w:eastAsia="Times New Roman" w:hAnsi="Century Gothic" w:cs="Times New Roman"/>
                <w:color w:val="000000"/>
                <w:sz w:val="20"/>
                <w:szCs w:val="20"/>
                <w:lang w:val="es-ES" w:eastAsia="es-ES"/>
              </w:rPr>
              <w:t xml:space="preserve"> </w:t>
            </w:r>
            <w:r w:rsidR="000C5886" w:rsidRPr="005F5A69">
              <w:rPr>
                <w:rFonts w:ascii="Century Gothic" w:eastAsia="Times New Roman" w:hAnsi="Century Gothic" w:cs="Times New Roman"/>
                <w:color w:val="000000"/>
                <w:sz w:val="20"/>
                <w:szCs w:val="20"/>
                <w:lang w:val="es-ES" w:eastAsia="es-ES"/>
              </w:rPr>
              <w:t xml:space="preserve">todas las </w:t>
            </w:r>
            <w:r w:rsidRPr="005F5A69">
              <w:rPr>
                <w:rFonts w:ascii="Century Gothic" w:eastAsia="Times New Roman" w:hAnsi="Century Gothic" w:cs="Times New Roman"/>
                <w:color w:val="000000"/>
                <w:sz w:val="20"/>
                <w:szCs w:val="20"/>
                <w:lang w:val="es-ES" w:eastAsia="es-ES"/>
              </w:rPr>
              <w:t xml:space="preserve">puertas </w:t>
            </w:r>
            <w:r w:rsidR="000C5886" w:rsidRPr="005F5A69">
              <w:rPr>
                <w:rFonts w:ascii="Century Gothic" w:eastAsia="Times New Roman" w:hAnsi="Century Gothic" w:cs="Times New Roman"/>
                <w:color w:val="000000"/>
                <w:sz w:val="20"/>
                <w:szCs w:val="20"/>
                <w:lang w:val="es-ES" w:eastAsia="es-ES"/>
              </w:rPr>
              <w:t xml:space="preserve">en </w:t>
            </w:r>
            <w:r w:rsidRPr="005F5A69">
              <w:rPr>
                <w:rFonts w:ascii="Century Gothic" w:eastAsia="Times New Roman" w:hAnsi="Century Gothic" w:cs="Times New Roman"/>
                <w:color w:val="000000"/>
                <w:sz w:val="20"/>
                <w:szCs w:val="20"/>
                <w:lang w:val="es-ES" w:eastAsia="es-ES"/>
              </w:rPr>
              <w:t>el esp</w:t>
            </w:r>
            <w:r w:rsidR="00AA639F" w:rsidRPr="005F5A69">
              <w:rPr>
                <w:rFonts w:ascii="Century Gothic" w:eastAsia="Times New Roman" w:hAnsi="Century Gothic" w:cs="Times New Roman"/>
                <w:color w:val="000000"/>
                <w:sz w:val="20"/>
                <w:szCs w:val="20"/>
                <w:lang w:val="es-ES" w:eastAsia="es-ES"/>
              </w:rPr>
              <w:t>ectáculo de la ciudad de hierro</w:t>
            </w:r>
          </w:p>
        </w:tc>
        <w:tc>
          <w:tcPr>
            <w:tcW w:w="1543" w:type="pct"/>
            <w:tcBorders>
              <w:top w:val="nil"/>
              <w:left w:val="nil"/>
              <w:bottom w:val="single" w:sz="4" w:space="0" w:color="auto"/>
              <w:right w:val="single" w:sz="4" w:space="0" w:color="auto"/>
            </w:tcBorders>
            <w:shd w:val="clear" w:color="auto" w:fill="auto"/>
            <w:vAlign w:val="center"/>
            <w:hideMark/>
          </w:tcPr>
          <w:p w14:paraId="6730CFDC" w14:textId="183CBA8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 xml:space="preserve">Sellar la boletería correspondiente </w:t>
            </w:r>
          </w:p>
        </w:tc>
        <w:tc>
          <w:tcPr>
            <w:tcW w:w="857" w:type="pct"/>
            <w:tcBorders>
              <w:top w:val="nil"/>
              <w:left w:val="nil"/>
              <w:bottom w:val="single" w:sz="4" w:space="0" w:color="auto"/>
              <w:right w:val="single" w:sz="4" w:space="0" w:color="auto"/>
            </w:tcBorders>
            <w:shd w:val="clear" w:color="auto" w:fill="auto"/>
            <w:noWrap/>
            <w:vAlign w:val="center"/>
            <w:hideMark/>
          </w:tcPr>
          <w:p w14:paraId="56A317F1" w14:textId="485B2113" w:rsidR="009D2B6B" w:rsidRPr="005F5A69" w:rsidRDefault="000C5886"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No. de boletas selladas</w:t>
            </w:r>
          </w:p>
        </w:tc>
      </w:tr>
      <w:tr w:rsidR="00E042F7" w:rsidRPr="005F5A69" w14:paraId="6FF4AACA" w14:textId="77777777" w:rsidTr="00E042F7">
        <w:trPr>
          <w:trHeight w:val="576"/>
        </w:trPr>
        <w:tc>
          <w:tcPr>
            <w:tcW w:w="60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3E24FD"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 xml:space="preserve">Venta de servicios </w:t>
            </w:r>
          </w:p>
        </w:tc>
        <w:tc>
          <w:tcPr>
            <w:tcW w:w="28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1DDF51" w14:textId="0EBB7D55" w:rsidR="009D2B6B" w:rsidRPr="005F5A69" w:rsidRDefault="00765ADC" w:rsidP="00765ADC">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100%</w:t>
            </w:r>
          </w:p>
        </w:tc>
        <w:tc>
          <w:tcPr>
            <w:tcW w:w="1713" w:type="pct"/>
            <w:vMerge w:val="restart"/>
            <w:tcBorders>
              <w:top w:val="nil"/>
              <w:left w:val="single" w:sz="4" w:space="0" w:color="auto"/>
              <w:bottom w:val="single" w:sz="4" w:space="0" w:color="000000"/>
              <w:right w:val="single" w:sz="4" w:space="0" w:color="auto"/>
            </w:tcBorders>
            <w:shd w:val="clear" w:color="auto" w:fill="auto"/>
            <w:vAlign w:val="center"/>
            <w:hideMark/>
          </w:tcPr>
          <w:p w14:paraId="550D055C" w14:textId="0EC96FEE" w:rsidR="009D2B6B" w:rsidRPr="005F5A69" w:rsidRDefault="005F5A69" w:rsidP="005F5A69">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P</w:t>
            </w:r>
            <w:r w:rsidR="009D2B6B" w:rsidRPr="005F5A69">
              <w:rPr>
                <w:rFonts w:ascii="Century Gothic" w:eastAsia="Times New Roman" w:hAnsi="Century Gothic" w:cs="Times New Roman"/>
                <w:color w:val="000000"/>
                <w:sz w:val="20"/>
                <w:szCs w:val="20"/>
                <w:lang w:val="es-ES" w:eastAsia="es-ES"/>
              </w:rPr>
              <w:t>romo</w:t>
            </w:r>
            <w:r w:rsidRPr="005F5A69">
              <w:rPr>
                <w:rFonts w:ascii="Century Gothic" w:eastAsia="Times New Roman" w:hAnsi="Century Gothic" w:cs="Times New Roman"/>
                <w:color w:val="000000"/>
                <w:sz w:val="20"/>
                <w:szCs w:val="20"/>
                <w:lang w:val="es-ES" w:eastAsia="es-ES"/>
              </w:rPr>
              <w:t xml:space="preserve">ción de </w:t>
            </w:r>
            <w:r w:rsidR="009D2B6B" w:rsidRPr="005F5A69">
              <w:rPr>
                <w:rFonts w:ascii="Century Gothic" w:eastAsia="Times New Roman" w:hAnsi="Century Gothic" w:cs="Times New Roman"/>
                <w:color w:val="000000"/>
                <w:sz w:val="20"/>
                <w:szCs w:val="20"/>
                <w:lang w:val="es-ES" w:eastAsia="es-ES"/>
              </w:rPr>
              <w:t xml:space="preserve">los servicios que Pasto </w:t>
            </w:r>
            <w:r w:rsidR="000C5886" w:rsidRPr="005F5A69">
              <w:rPr>
                <w:rFonts w:ascii="Century Gothic" w:eastAsia="Times New Roman" w:hAnsi="Century Gothic" w:cs="Times New Roman"/>
                <w:color w:val="000000"/>
                <w:sz w:val="20"/>
                <w:szCs w:val="20"/>
                <w:lang w:val="es-ES" w:eastAsia="es-ES"/>
              </w:rPr>
              <w:t>Deporte tienen a su disposición</w:t>
            </w:r>
          </w:p>
        </w:tc>
        <w:tc>
          <w:tcPr>
            <w:tcW w:w="1543" w:type="pct"/>
            <w:tcBorders>
              <w:top w:val="nil"/>
              <w:left w:val="nil"/>
              <w:bottom w:val="single" w:sz="4" w:space="0" w:color="auto"/>
              <w:right w:val="single" w:sz="4" w:space="0" w:color="auto"/>
            </w:tcBorders>
            <w:shd w:val="clear" w:color="auto" w:fill="auto"/>
            <w:vAlign w:val="center"/>
            <w:hideMark/>
          </w:tcPr>
          <w:p w14:paraId="6F937994"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Promover y facilitar el pago de las inscripciones a los cursos de piscina</w:t>
            </w:r>
          </w:p>
        </w:tc>
        <w:tc>
          <w:tcPr>
            <w:tcW w:w="857" w:type="pct"/>
            <w:tcBorders>
              <w:top w:val="nil"/>
              <w:left w:val="nil"/>
              <w:bottom w:val="nil"/>
              <w:right w:val="single" w:sz="4" w:space="0" w:color="auto"/>
            </w:tcBorders>
            <w:shd w:val="clear" w:color="auto" w:fill="auto"/>
            <w:vAlign w:val="center"/>
            <w:hideMark/>
          </w:tcPr>
          <w:p w14:paraId="07AC16D5" w14:textId="7A63BB7E" w:rsidR="009D2B6B" w:rsidRPr="005F5A69" w:rsidRDefault="000C5886" w:rsidP="00AA639F">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No. de alumnos inscritos</w:t>
            </w:r>
          </w:p>
        </w:tc>
      </w:tr>
      <w:tr w:rsidR="00E042F7" w:rsidRPr="005F5A69" w14:paraId="4902E65C" w14:textId="77777777" w:rsidTr="00E042F7">
        <w:trPr>
          <w:trHeight w:val="864"/>
        </w:trPr>
        <w:tc>
          <w:tcPr>
            <w:tcW w:w="602" w:type="pct"/>
            <w:vMerge/>
            <w:tcBorders>
              <w:top w:val="single" w:sz="4" w:space="0" w:color="auto"/>
              <w:left w:val="single" w:sz="4" w:space="0" w:color="auto"/>
              <w:bottom w:val="single" w:sz="4" w:space="0" w:color="000000"/>
              <w:right w:val="single" w:sz="4" w:space="0" w:color="auto"/>
            </w:tcBorders>
            <w:vAlign w:val="center"/>
            <w:hideMark/>
          </w:tcPr>
          <w:p w14:paraId="1848F72E"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single" w:sz="4" w:space="0" w:color="auto"/>
              <w:left w:val="single" w:sz="4" w:space="0" w:color="auto"/>
              <w:bottom w:val="single" w:sz="4" w:space="0" w:color="000000"/>
              <w:right w:val="single" w:sz="4" w:space="0" w:color="auto"/>
            </w:tcBorders>
            <w:vAlign w:val="center"/>
            <w:hideMark/>
          </w:tcPr>
          <w:p w14:paraId="423F537D"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vMerge/>
            <w:tcBorders>
              <w:top w:val="nil"/>
              <w:left w:val="single" w:sz="4" w:space="0" w:color="auto"/>
              <w:bottom w:val="single" w:sz="4" w:space="0" w:color="000000"/>
              <w:right w:val="single" w:sz="4" w:space="0" w:color="auto"/>
            </w:tcBorders>
            <w:vAlign w:val="center"/>
            <w:hideMark/>
          </w:tcPr>
          <w:p w14:paraId="1272A998" w14:textId="77777777"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543" w:type="pct"/>
            <w:tcBorders>
              <w:top w:val="nil"/>
              <w:left w:val="nil"/>
              <w:bottom w:val="single" w:sz="4" w:space="0" w:color="auto"/>
              <w:right w:val="single" w:sz="4" w:space="0" w:color="auto"/>
            </w:tcBorders>
            <w:shd w:val="clear" w:color="auto" w:fill="auto"/>
            <w:vAlign w:val="center"/>
            <w:hideMark/>
          </w:tcPr>
          <w:p w14:paraId="53E0F520" w14:textId="7993086F"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 xml:space="preserve">Promocionar la venta de espacios y vallas publicitarias en el Coliseo Sergio Antonio </w:t>
            </w:r>
            <w:r w:rsidR="00765ADC" w:rsidRPr="005F5A69">
              <w:rPr>
                <w:rFonts w:ascii="Century Gothic" w:eastAsia="Times New Roman" w:hAnsi="Century Gothic" w:cs="Times New Roman"/>
                <w:color w:val="000000"/>
                <w:sz w:val="20"/>
                <w:szCs w:val="20"/>
                <w:lang w:val="es-ES" w:eastAsia="es-ES"/>
              </w:rPr>
              <w:t xml:space="preserve">Ruano </w:t>
            </w:r>
            <w:r w:rsidRPr="005F5A69">
              <w:rPr>
                <w:rFonts w:ascii="Century Gothic" w:eastAsia="Times New Roman" w:hAnsi="Century Gothic" w:cs="Times New Roman"/>
                <w:color w:val="000000"/>
                <w:sz w:val="20"/>
                <w:szCs w:val="20"/>
                <w:lang w:val="es-ES" w:eastAsia="es-ES"/>
              </w:rPr>
              <w:t>con empresas públicas y privadas</w:t>
            </w:r>
          </w:p>
        </w:tc>
        <w:tc>
          <w:tcPr>
            <w:tcW w:w="857" w:type="pct"/>
            <w:tcBorders>
              <w:top w:val="single" w:sz="4" w:space="0" w:color="auto"/>
              <w:left w:val="nil"/>
              <w:bottom w:val="single" w:sz="4" w:space="0" w:color="auto"/>
              <w:right w:val="single" w:sz="4" w:space="0" w:color="auto"/>
            </w:tcBorders>
            <w:shd w:val="clear" w:color="auto" w:fill="auto"/>
            <w:noWrap/>
            <w:vAlign w:val="center"/>
            <w:hideMark/>
          </w:tcPr>
          <w:p w14:paraId="78289C58" w14:textId="35D007F0"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w:t>
            </w:r>
            <w:r w:rsidR="00AA639F" w:rsidRPr="005F5A69">
              <w:rPr>
                <w:rFonts w:ascii="Century Gothic" w:eastAsia="Times New Roman" w:hAnsi="Century Gothic" w:cs="Times New Roman"/>
                <w:color w:val="000000"/>
                <w:sz w:val="20"/>
                <w:szCs w:val="20"/>
                <w:lang w:val="es-ES" w:eastAsia="es-ES"/>
              </w:rPr>
              <w:t xml:space="preserve"> </w:t>
            </w:r>
            <w:r w:rsidRPr="005F5A69">
              <w:rPr>
                <w:rFonts w:ascii="Century Gothic" w:eastAsia="Times New Roman" w:hAnsi="Century Gothic" w:cs="Times New Roman"/>
                <w:color w:val="000000"/>
                <w:sz w:val="20"/>
                <w:szCs w:val="20"/>
                <w:lang w:val="es-ES" w:eastAsia="es-ES"/>
              </w:rPr>
              <w:t>recaudo</w:t>
            </w:r>
            <w:r w:rsidR="00AA639F" w:rsidRPr="005F5A69">
              <w:rPr>
                <w:rFonts w:ascii="Century Gothic" w:eastAsia="Times New Roman" w:hAnsi="Century Gothic" w:cs="Times New Roman"/>
                <w:color w:val="000000"/>
                <w:sz w:val="20"/>
                <w:szCs w:val="20"/>
                <w:lang w:val="es-ES" w:eastAsia="es-ES"/>
              </w:rPr>
              <w:t xml:space="preserve"> </w:t>
            </w:r>
            <w:r w:rsidRPr="005F5A69">
              <w:rPr>
                <w:rFonts w:ascii="Century Gothic" w:eastAsia="Times New Roman" w:hAnsi="Century Gothic" w:cs="Times New Roman"/>
                <w:color w:val="000000"/>
                <w:sz w:val="20"/>
                <w:szCs w:val="20"/>
                <w:lang w:val="es-ES" w:eastAsia="es-ES"/>
              </w:rPr>
              <w:t>/</w:t>
            </w:r>
            <w:r w:rsidR="00AA639F" w:rsidRPr="005F5A69">
              <w:rPr>
                <w:rFonts w:ascii="Century Gothic" w:eastAsia="Times New Roman" w:hAnsi="Century Gothic" w:cs="Times New Roman"/>
                <w:color w:val="000000"/>
                <w:sz w:val="20"/>
                <w:szCs w:val="20"/>
                <w:lang w:val="es-ES" w:eastAsia="es-ES"/>
              </w:rPr>
              <w:t xml:space="preserve"> </w:t>
            </w:r>
            <w:r w:rsidRPr="005F5A69">
              <w:rPr>
                <w:rFonts w:ascii="Century Gothic" w:eastAsia="Times New Roman" w:hAnsi="Century Gothic" w:cs="Times New Roman"/>
                <w:color w:val="000000"/>
                <w:sz w:val="20"/>
                <w:szCs w:val="20"/>
                <w:lang w:val="es-ES" w:eastAsia="es-ES"/>
              </w:rPr>
              <w:t>valor contratos de arrendamiento</w:t>
            </w:r>
          </w:p>
        </w:tc>
      </w:tr>
      <w:tr w:rsidR="00E042F7" w:rsidRPr="001E2110" w14:paraId="2C8D0A59" w14:textId="77777777" w:rsidTr="00E042F7">
        <w:trPr>
          <w:trHeight w:val="600"/>
        </w:trPr>
        <w:tc>
          <w:tcPr>
            <w:tcW w:w="602" w:type="pct"/>
            <w:tcBorders>
              <w:top w:val="nil"/>
              <w:left w:val="single" w:sz="4" w:space="0" w:color="auto"/>
              <w:bottom w:val="single" w:sz="4" w:space="0" w:color="000000"/>
              <w:right w:val="single" w:sz="4" w:space="0" w:color="auto"/>
            </w:tcBorders>
            <w:shd w:val="clear" w:color="auto" w:fill="auto"/>
            <w:vAlign w:val="center"/>
            <w:hideMark/>
          </w:tcPr>
          <w:p w14:paraId="0F4C4425" w14:textId="0AC49712" w:rsidR="009D2B6B" w:rsidRPr="005F5A69" w:rsidRDefault="00AA639F"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Rentas c</w:t>
            </w:r>
            <w:r w:rsidR="009D2B6B" w:rsidRPr="005F5A69">
              <w:rPr>
                <w:rFonts w:ascii="Century Gothic" w:eastAsia="Times New Roman" w:hAnsi="Century Gothic" w:cs="Times New Roman"/>
                <w:color w:val="000000"/>
                <w:sz w:val="20"/>
                <w:szCs w:val="20"/>
                <w:lang w:val="es-ES" w:eastAsia="es-ES"/>
              </w:rPr>
              <w:t xml:space="preserve">ontractuales </w:t>
            </w:r>
          </w:p>
        </w:tc>
        <w:tc>
          <w:tcPr>
            <w:tcW w:w="285" w:type="pct"/>
            <w:tcBorders>
              <w:top w:val="nil"/>
              <w:left w:val="single" w:sz="4" w:space="0" w:color="auto"/>
              <w:bottom w:val="single" w:sz="4" w:space="0" w:color="000000"/>
              <w:right w:val="single" w:sz="4" w:space="0" w:color="auto"/>
            </w:tcBorders>
            <w:shd w:val="clear" w:color="auto" w:fill="auto"/>
            <w:vAlign w:val="center"/>
            <w:hideMark/>
          </w:tcPr>
          <w:p w14:paraId="7BDF086B" w14:textId="2617B04F" w:rsidR="009D2B6B" w:rsidRPr="005F5A69" w:rsidRDefault="005F5A69" w:rsidP="005F5A69">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100%</w:t>
            </w:r>
          </w:p>
        </w:tc>
        <w:tc>
          <w:tcPr>
            <w:tcW w:w="1713" w:type="pct"/>
            <w:tcBorders>
              <w:top w:val="nil"/>
              <w:left w:val="single" w:sz="4" w:space="0" w:color="auto"/>
              <w:bottom w:val="single" w:sz="4" w:space="0" w:color="000000"/>
              <w:right w:val="single" w:sz="4" w:space="0" w:color="auto"/>
            </w:tcBorders>
            <w:shd w:val="clear" w:color="auto" w:fill="auto"/>
            <w:vAlign w:val="center"/>
            <w:hideMark/>
          </w:tcPr>
          <w:p w14:paraId="3652EDED" w14:textId="34272A75" w:rsidR="009D2B6B" w:rsidRPr="005F5A69" w:rsidRDefault="009D2B6B" w:rsidP="005F5A69">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Realiza</w:t>
            </w:r>
            <w:r w:rsidR="005F5A69" w:rsidRPr="005F5A69">
              <w:rPr>
                <w:rFonts w:ascii="Century Gothic" w:eastAsia="Times New Roman" w:hAnsi="Century Gothic" w:cs="Times New Roman"/>
                <w:color w:val="000000"/>
                <w:sz w:val="20"/>
                <w:szCs w:val="20"/>
                <w:lang w:val="es-ES" w:eastAsia="es-ES"/>
              </w:rPr>
              <w:t xml:space="preserve">ción del </w:t>
            </w:r>
            <w:r w:rsidRPr="005F5A69">
              <w:rPr>
                <w:rFonts w:ascii="Century Gothic" w:eastAsia="Times New Roman" w:hAnsi="Century Gothic" w:cs="Times New Roman"/>
                <w:color w:val="000000"/>
                <w:sz w:val="20"/>
                <w:szCs w:val="20"/>
                <w:lang w:val="es-ES" w:eastAsia="es-ES"/>
              </w:rPr>
              <w:t>inventario de las iglesias católicas y cristianas establecidas en Pasto</w:t>
            </w:r>
          </w:p>
        </w:tc>
        <w:tc>
          <w:tcPr>
            <w:tcW w:w="1543" w:type="pct"/>
            <w:tcBorders>
              <w:top w:val="nil"/>
              <w:left w:val="single" w:sz="4" w:space="0" w:color="auto"/>
              <w:bottom w:val="single" w:sz="4" w:space="0" w:color="000000"/>
              <w:right w:val="single" w:sz="4" w:space="0" w:color="auto"/>
            </w:tcBorders>
            <w:shd w:val="clear" w:color="auto" w:fill="auto"/>
            <w:vAlign w:val="center"/>
            <w:hideMark/>
          </w:tcPr>
          <w:p w14:paraId="267E7D15" w14:textId="2E228DC4" w:rsidR="009D2B6B" w:rsidRPr="005F5A69" w:rsidRDefault="00E042F7" w:rsidP="00E042F7">
            <w:pPr>
              <w:spacing w:after="0" w:line="240" w:lineRule="auto"/>
              <w:rPr>
                <w:rFonts w:ascii="Century Gothic" w:eastAsia="Times New Roman" w:hAnsi="Century Gothic" w:cs="Times New Roman"/>
                <w:color w:val="000000"/>
                <w:sz w:val="20"/>
                <w:szCs w:val="20"/>
                <w:lang w:val="es-ES" w:eastAsia="es-ES"/>
              </w:rPr>
            </w:pPr>
            <w:r>
              <w:rPr>
                <w:rFonts w:ascii="Century Gothic" w:eastAsia="Times New Roman" w:hAnsi="Century Gothic" w:cs="Times New Roman"/>
                <w:color w:val="000000"/>
                <w:sz w:val="20"/>
                <w:szCs w:val="20"/>
                <w:lang w:val="es-ES" w:eastAsia="es-ES"/>
              </w:rPr>
              <w:t xml:space="preserve">Realizar visitas a </w:t>
            </w:r>
            <w:r w:rsidR="009D2B6B" w:rsidRPr="005F5A69">
              <w:rPr>
                <w:rFonts w:ascii="Century Gothic" w:eastAsia="Times New Roman" w:hAnsi="Century Gothic" w:cs="Times New Roman"/>
                <w:color w:val="000000"/>
                <w:sz w:val="20"/>
                <w:szCs w:val="20"/>
                <w:lang w:val="es-ES" w:eastAsia="es-ES"/>
              </w:rPr>
              <w:t xml:space="preserve">las iglesias para promover el escenario del Coliseo Sergio Antonio Ruano </w:t>
            </w:r>
          </w:p>
        </w:tc>
        <w:tc>
          <w:tcPr>
            <w:tcW w:w="857" w:type="pct"/>
            <w:tcBorders>
              <w:top w:val="nil"/>
              <w:left w:val="single" w:sz="4" w:space="0" w:color="auto"/>
              <w:bottom w:val="single" w:sz="4" w:space="0" w:color="000000"/>
              <w:right w:val="single" w:sz="4" w:space="0" w:color="auto"/>
            </w:tcBorders>
            <w:shd w:val="clear" w:color="auto" w:fill="auto"/>
            <w:noWrap/>
            <w:vAlign w:val="center"/>
            <w:hideMark/>
          </w:tcPr>
          <w:p w14:paraId="5D915C41" w14:textId="30FBAF84" w:rsidR="009D2B6B" w:rsidRPr="005F5A69" w:rsidRDefault="009D2B6B" w:rsidP="009D2B6B">
            <w:pPr>
              <w:spacing w:after="0" w:line="240" w:lineRule="auto"/>
              <w:rPr>
                <w:rFonts w:ascii="Century Gothic" w:eastAsia="Times New Roman" w:hAnsi="Century Gothic" w:cs="Times New Roman"/>
                <w:color w:val="000000"/>
                <w:sz w:val="20"/>
                <w:szCs w:val="20"/>
                <w:lang w:val="es-ES" w:eastAsia="es-ES"/>
              </w:rPr>
            </w:pPr>
            <w:r w:rsidRPr="005F5A69">
              <w:rPr>
                <w:rFonts w:ascii="Century Gothic" w:eastAsia="Times New Roman" w:hAnsi="Century Gothic" w:cs="Times New Roman"/>
                <w:color w:val="000000"/>
                <w:sz w:val="20"/>
                <w:szCs w:val="20"/>
                <w:lang w:val="es-ES" w:eastAsia="es-ES"/>
              </w:rPr>
              <w:t>No. de iglesias / total recaudo</w:t>
            </w:r>
          </w:p>
        </w:tc>
      </w:tr>
      <w:tr w:rsidR="00E042F7" w:rsidRPr="001E2110" w14:paraId="267EB313" w14:textId="77777777" w:rsidTr="00E042F7">
        <w:trPr>
          <w:trHeight w:val="434"/>
        </w:trPr>
        <w:tc>
          <w:tcPr>
            <w:tcW w:w="60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BCA9284" w14:textId="7ED8F316"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Impuesto </w:t>
            </w:r>
            <w:r w:rsidR="00CB7D73" w:rsidRPr="00E042F7">
              <w:rPr>
                <w:rFonts w:ascii="Century Gothic" w:eastAsia="Times New Roman" w:hAnsi="Century Gothic" w:cs="Times New Roman"/>
                <w:color w:val="000000"/>
                <w:sz w:val="20"/>
                <w:szCs w:val="20"/>
                <w:lang w:val="es-ES" w:eastAsia="es-ES"/>
              </w:rPr>
              <w:t xml:space="preserve">alumbrado público </w:t>
            </w:r>
          </w:p>
        </w:tc>
        <w:tc>
          <w:tcPr>
            <w:tcW w:w="28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563BB27" w14:textId="6D5607B4" w:rsidR="009D2B6B" w:rsidRPr="00E042F7" w:rsidRDefault="009D2B6B" w:rsidP="00CB7D73">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100% </w:t>
            </w:r>
          </w:p>
        </w:tc>
        <w:tc>
          <w:tcPr>
            <w:tcW w:w="1713" w:type="pct"/>
            <w:tcBorders>
              <w:top w:val="nil"/>
              <w:left w:val="nil"/>
              <w:bottom w:val="single" w:sz="4" w:space="0" w:color="auto"/>
              <w:right w:val="single" w:sz="4" w:space="0" w:color="auto"/>
            </w:tcBorders>
            <w:shd w:val="clear" w:color="auto" w:fill="auto"/>
            <w:vAlign w:val="center"/>
            <w:hideMark/>
          </w:tcPr>
          <w:p w14:paraId="6E0FA1E7"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Facturar la totalidad de los usuarios o sujetos pasivos del impuesto  y aplicar las tarifas del Estatuto Tributario</w:t>
            </w:r>
          </w:p>
        </w:tc>
        <w:tc>
          <w:tcPr>
            <w:tcW w:w="1543" w:type="pct"/>
            <w:tcBorders>
              <w:top w:val="nil"/>
              <w:left w:val="nil"/>
              <w:bottom w:val="single" w:sz="4" w:space="0" w:color="auto"/>
              <w:right w:val="single" w:sz="4" w:space="0" w:color="auto"/>
            </w:tcBorders>
            <w:shd w:val="clear" w:color="auto" w:fill="auto"/>
            <w:vAlign w:val="center"/>
            <w:hideMark/>
          </w:tcPr>
          <w:p w14:paraId="68C319D8" w14:textId="573D0DA2"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Verificación y </w:t>
            </w:r>
            <w:r w:rsidR="008C4501" w:rsidRPr="00E042F7">
              <w:rPr>
                <w:rFonts w:ascii="Century Gothic" w:eastAsia="Times New Roman" w:hAnsi="Century Gothic" w:cs="Times New Roman"/>
                <w:color w:val="000000"/>
                <w:sz w:val="20"/>
                <w:szCs w:val="20"/>
                <w:lang w:val="es-ES" w:eastAsia="es-ES"/>
              </w:rPr>
              <w:t>auditorías</w:t>
            </w:r>
            <w:r w:rsidRPr="00E042F7">
              <w:rPr>
                <w:rFonts w:ascii="Century Gothic" w:eastAsia="Times New Roman" w:hAnsi="Century Gothic" w:cs="Times New Roman"/>
                <w:color w:val="000000"/>
                <w:sz w:val="20"/>
                <w:szCs w:val="20"/>
                <w:lang w:val="es-ES" w:eastAsia="es-ES"/>
              </w:rPr>
              <w:t xml:space="preserve"> a las comercializadoras de </w:t>
            </w:r>
            <w:r w:rsidR="008C4501" w:rsidRPr="00E042F7">
              <w:rPr>
                <w:rFonts w:ascii="Century Gothic" w:eastAsia="Times New Roman" w:hAnsi="Century Gothic" w:cs="Times New Roman"/>
                <w:color w:val="000000"/>
                <w:sz w:val="20"/>
                <w:szCs w:val="20"/>
                <w:lang w:val="es-ES" w:eastAsia="es-ES"/>
              </w:rPr>
              <w:t>energía</w:t>
            </w:r>
            <w:r w:rsidRPr="00E042F7">
              <w:rPr>
                <w:rFonts w:ascii="Century Gothic" w:eastAsia="Times New Roman" w:hAnsi="Century Gothic" w:cs="Times New Roman"/>
                <w:color w:val="000000"/>
                <w:sz w:val="20"/>
                <w:szCs w:val="20"/>
                <w:lang w:val="es-ES" w:eastAsia="es-ES"/>
              </w:rPr>
              <w:t xml:space="preserve"> la facturación del impuesto</w:t>
            </w:r>
          </w:p>
        </w:tc>
        <w:tc>
          <w:tcPr>
            <w:tcW w:w="857" w:type="pct"/>
            <w:tcBorders>
              <w:top w:val="nil"/>
              <w:left w:val="nil"/>
              <w:bottom w:val="single" w:sz="4" w:space="0" w:color="auto"/>
              <w:right w:val="single" w:sz="4" w:space="0" w:color="auto"/>
            </w:tcBorders>
            <w:shd w:val="clear" w:color="auto" w:fill="auto"/>
            <w:noWrap/>
            <w:vAlign w:val="center"/>
            <w:hideMark/>
          </w:tcPr>
          <w:p w14:paraId="1FC36822"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No. de usuarios facturados</w:t>
            </w:r>
          </w:p>
        </w:tc>
      </w:tr>
      <w:tr w:rsidR="00E042F7" w:rsidRPr="001E2110" w14:paraId="003CB85D" w14:textId="77777777" w:rsidTr="00E042F7">
        <w:trPr>
          <w:trHeight w:val="720"/>
        </w:trPr>
        <w:tc>
          <w:tcPr>
            <w:tcW w:w="602" w:type="pct"/>
            <w:vMerge/>
            <w:tcBorders>
              <w:top w:val="nil"/>
              <w:left w:val="single" w:sz="4" w:space="0" w:color="auto"/>
              <w:bottom w:val="single" w:sz="4" w:space="0" w:color="000000"/>
              <w:right w:val="single" w:sz="4" w:space="0" w:color="auto"/>
            </w:tcBorders>
            <w:vAlign w:val="center"/>
            <w:hideMark/>
          </w:tcPr>
          <w:p w14:paraId="65A8A7C2"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single" w:sz="4" w:space="0" w:color="000000"/>
              <w:right w:val="single" w:sz="4" w:space="0" w:color="auto"/>
            </w:tcBorders>
            <w:vAlign w:val="center"/>
            <w:hideMark/>
          </w:tcPr>
          <w:p w14:paraId="12389EBD"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tcBorders>
              <w:top w:val="nil"/>
              <w:left w:val="nil"/>
              <w:bottom w:val="single" w:sz="4" w:space="0" w:color="auto"/>
              <w:right w:val="single" w:sz="4" w:space="0" w:color="auto"/>
            </w:tcBorders>
            <w:shd w:val="clear" w:color="auto" w:fill="auto"/>
            <w:vAlign w:val="center"/>
            <w:hideMark/>
          </w:tcPr>
          <w:p w14:paraId="212E634C" w14:textId="788B3E6E"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Reforzar el proceso </w:t>
            </w:r>
            <w:r w:rsidR="00A02A7A" w:rsidRPr="00E042F7">
              <w:rPr>
                <w:rFonts w:ascii="Century Gothic" w:eastAsia="Times New Roman" w:hAnsi="Century Gothic" w:cs="Times New Roman"/>
                <w:color w:val="000000"/>
                <w:sz w:val="20"/>
                <w:szCs w:val="20"/>
                <w:lang w:val="es-ES" w:eastAsia="es-ES"/>
              </w:rPr>
              <w:t xml:space="preserve">persuasivo </w:t>
            </w:r>
            <w:r w:rsidRPr="00E042F7">
              <w:rPr>
                <w:rFonts w:ascii="Century Gothic" w:eastAsia="Times New Roman" w:hAnsi="Century Gothic" w:cs="Times New Roman"/>
                <w:color w:val="000000"/>
                <w:sz w:val="20"/>
                <w:szCs w:val="20"/>
                <w:lang w:val="es-ES" w:eastAsia="es-ES"/>
              </w:rPr>
              <w:t xml:space="preserve">de las cuentas por cobrar del impuesto de Alumbrado </w:t>
            </w:r>
            <w:r w:rsidR="008C4501" w:rsidRPr="00E042F7">
              <w:rPr>
                <w:rFonts w:ascii="Century Gothic" w:eastAsia="Times New Roman" w:hAnsi="Century Gothic" w:cs="Times New Roman"/>
                <w:color w:val="000000"/>
                <w:sz w:val="20"/>
                <w:szCs w:val="20"/>
                <w:lang w:val="es-ES" w:eastAsia="es-ES"/>
              </w:rPr>
              <w:t>Público</w:t>
            </w:r>
            <w:r w:rsidRPr="00E042F7">
              <w:rPr>
                <w:rFonts w:ascii="Century Gothic" w:eastAsia="Times New Roman" w:hAnsi="Century Gothic" w:cs="Times New Roman"/>
                <w:color w:val="000000"/>
                <w:sz w:val="20"/>
                <w:szCs w:val="20"/>
                <w:lang w:val="es-ES" w:eastAsia="es-ES"/>
              </w:rPr>
              <w:t>.</w:t>
            </w:r>
          </w:p>
        </w:tc>
        <w:tc>
          <w:tcPr>
            <w:tcW w:w="1543" w:type="pct"/>
            <w:tcBorders>
              <w:top w:val="nil"/>
              <w:left w:val="nil"/>
              <w:bottom w:val="single" w:sz="4" w:space="0" w:color="auto"/>
              <w:right w:val="single" w:sz="4" w:space="0" w:color="auto"/>
            </w:tcBorders>
            <w:shd w:val="clear" w:color="auto" w:fill="auto"/>
            <w:vAlign w:val="center"/>
            <w:hideMark/>
          </w:tcPr>
          <w:p w14:paraId="0BA41BA7" w14:textId="0E1E3634"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Fortalecer </w:t>
            </w:r>
            <w:r w:rsidR="008C4501" w:rsidRPr="00E042F7">
              <w:rPr>
                <w:rFonts w:ascii="Century Gothic" w:eastAsia="Times New Roman" w:hAnsi="Century Gothic" w:cs="Times New Roman"/>
                <w:color w:val="000000"/>
                <w:sz w:val="20"/>
                <w:szCs w:val="20"/>
                <w:lang w:val="es-ES" w:eastAsia="es-ES"/>
              </w:rPr>
              <w:t>estrategias</w:t>
            </w:r>
            <w:r w:rsidRPr="00E042F7">
              <w:rPr>
                <w:rFonts w:ascii="Century Gothic" w:eastAsia="Times New Roman" w:hAnsi="Century Gothic" w:cs="Times New Roman"/>
                <w:color w:val="000000"/>
                <w:sz w:val="20"/>
                <w:szCs w:val="20"/>
                <w:lang w:val="es-ES" w:eastAsia="es-ES"/>
              </w:rPr>
              <w:t xml:space="preserve"> pedagógicas preventivas</w:t>
            </w:r>
          </w:p>
        </w:tc>
        <w:tc>
          <w:tcPr>
            <w:tcW w:w="857" w:type="pct"/>
            <w:tcBorders>
              <w:top w:val="nil"/>
              <w:left w:val="nil"/>
              <w:bottom w:val="single" w:sz="4" w:space="0" w:color="auto"/>
              <w:right w:val="single" w:sz="4" w:space="0" w:color="auto"/>
            </w:tcBorders>
            <w:shd w:val="clear" w:color="auto" w:fill="auto"/>
            <w:noWrap/>
            <w:vAlign w:val="center"/>
            <w:hideMark/>
          </w:tcPr>
          <w:p w14:paraId="31C57C42" w14:textId="529599A1" w:rsidR="009D2B6B" w:rsidRPr="00E042F7" w:rsidRDefault="009D2B6B" w:rsidP="00E042F7">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No. </w:t>
            </w:r>
            <w:r w:rsidR="00A02A7A" w:rsidRPr="00E042F7">
              <w:rPr>
                <w:rFonts w:ascii="Century Gothic" w:eastAsia="Times New Roman" w:hAnsi="Century Gothic" w:cs="Times New Roman"/>
                <w:color w:val="000000"/>
                <w:sz w:val="20"/>
                <w:szCs w:val="20"/>
                <w:lang w:val="es-ES" w:eastAsia="es-ES"/>
              </w:rPr>
              <w:t>de notificaciones de pago</w:t>
            </w:r>
          </w:p>
        </w:tc>
      </w:tr>
      <w:tr w:rsidR="00E042F7" w:rsidRPr="001E2110" w14:paraId="6EAAD0AC" w14:textId="77777777" w:rsidTr="00E042F7">
        <w:trPr>
          <w:trHeight w:val="54"/>
        </w:trPr>
        <w:tc>
          <w:tcPr>
            <w:tcW w:w="602" w:type="pct"/>
            <w:vMerge/>
            <w:tcBorders>
              <w:top w:val="nil"/>
              <w:left w:val="single" w:sz="4" w:space="0" w:color="auto"/>
              <w:bottom w:val="single" w:sz="4" w:space="0" w:color="000000"/>
              <w:right w:val="single" w:sz="4" w:space="0" w:color="auto"/>
            </w:tcBorders>
            <w:vAlign w:val="center"/>
            <w:hideMark/>
          </w:tcPr>
          <w:p w14:paraId="347966BB"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single" w:sz="4" w:space="0" w:color="000000"/>
              <w:right w:val="single" w:sz="4" w:space="0" w:color="auto"/>
            </w:tcBorders>
            <w:vAlign w:val="center"/>
            <w:hideMark/>
          </w:tcPr>
          <w:p w14:paraId="3066EE73"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tcBorders>
              <w:top w:val="nil"/>
              <w:left w:val="nil"/>
              <w:bottom w:val="single" w:sz="4" w:space="0" w:color="auto"/>
              <w:right w:val="single" w:sz="4" w:space="0" w:color="auto"/>
            </w:tcBorders>
            <w:shd w:val="clear" w:color="auto" w:fill="auto"/>
            <w:vAlign w:val="center"/>
            <w:hideMark/>
          </w:tcPr>
          <w:p w14:paraId="77D683D2" w14:textId="27687E5E"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Auditoria y Seguimiento a la facturación de impuesto de </w:t>
            </w:r>
            <w:r w:rsidR="00A02A7A" w:rsidRPr="00E042F7">
              <w:rPr>
                <w:rFonts w:ascii="Century Gothic" w:eastAsia="Times New Roman" w:hAnsi="Century Gothic" w:cs="Times New Roman"/>
                <w:color w:val="000000"/>
                <w:sz w:val="20"/>
                <w:szCs w:val="20"/>
                <w:lang w:val="es-ES" w:eastAsia="es-ES"/>
              </w:rPr>
              <w:t xml:space="preserve">alumbrado público </w:t>
            </w:r>
            <w:r w:rsidRPr="00E042F7">
              <w:rPr>
                <w:rFonts w:ascii="Century Gothic" w:eastAsia="Times New Roman" w:hAnsi="Century Gothic" w:cs="Times New Roman"/>
                <w:color w:val="000000"/>
                <w:sz w:val="20"/>
                <w:szCs w:val="20"/>
                <w:lang w:val="es-ES" w:eastAsia="es-ES"/>
              </w:rPr>
              <w:t xml:space="preserve">a las </w:t>
            </w:r>
            <w:r w:rsidR="00A02A7A" w:rsidRPr="00E042F7">
              <w:rPr>
                <w:rFonts w:ascii="Century Gothic" w:eastAsia="Times New Roman" w:hAnsi="Century Gothic" w:cs="Times New Roman"/>
                <w:color w:val="000000"/>
                <w:sz w:val="20"/>
                <w:szCs w:val="20"/>
                <w:lang w:val="es-ES" w:eastAsia="es-ES"/>
              </w:rPr>
              <w:t>comercializadoras</w:t>
            </w:r>
            <w:r w:rsidRPr="00E042F7">
              <w:rPr>
                <w:rFonts w:ascii="Century Gothic" w:eastAsia="Times New Roman" w:hAnsi="Century Gothic" w:cs="Times New Roman"/>
                <w:color w:val="000000"/>
                <w:sz w:val="20"/>
                <w:szCs w:val="20"/>
                <w:lang w:val="es-ES" w:eastAsia="es-ES"/>
              </w:rPr>
              <w:t>.</w:t>
            </w:r>
          </w:p>
        </w:tc>
        <w:tc>
          <w:tcPr>
            <w:tcW w:w="1543" w:type="pct"/>
            <w:tcBorders>
              <w:top w:val="nil"/>
              <w:left w:val="nil"/>
              <w:bottom w:val="nil"/>
              <w:right w:val="single" w:sz="4" w:space="0" w:color="auto"/>
            </w:tcBorders>
            <w:shd w:val="clear" w:color="auto" w:fill="auto"/>
            <w:vAlign w:val="center"/>
            <w:hideMark/>
          </w:tcPr>
          <w:p w14:paraId="7B8C0B84"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Auditoria </w:t>
            </w:r>
          </w:p>
        </w:tc>
        <w:tc>
          <w:tcPr>
            <w:tcW w:w="857" w:type="pct"/>
            <w:tcBorders>
              <w:top w:val="nil"/>
              <w:left w:val="nil"/>
              <w:bottom w:val="nil"/>
              <w:right w:val="single" w:sz="4" w:space="0" w:color="auto"/>
            </w:tcBorders>
            <w:shd w:val="clear" w:color="auto" w:fill="auto"/>
            <w:noWrap/>
            <w:vAlign w:val="center"/>
            <w:hideMark/>
          </w:tcPr>
          <w:p w14:paraId="46A2CD4D" w14:textId="0AD73624"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No. </w:t>
            </w:r>
            <w:r w:rsidR="00A02A7A" w:rsidRPr="00E042F7">
              <w:rPr>
                <w:rFonts w:ascii="Century Gothic" w:eastAsia="Times New Roman" w:hAnsi="Century Gothic" w:cs="Times New Roman"/>
                <w:color w:val="000000"/>
                <w:sz w:val="20"/>
                <w:szCs w:val="20"/>
                <w:lang w:val="es-ES" w:eastAsia="es-ES"/>
              </w:rPr>
              <w:t>de auditorías practicadas</w:t>
            </w:r>
            <w:r w:rsidRPr="00E042F7">
              <w:rPr>
                <w:rFonts w:ascii="Century Gothic" w:eastAsia="Times New Roman" w:hAnsi="Century Gothic" w:cs="Times New Roman"/>
                <w:color w:val="000000"/>
                <w:sz w:val="20"/>
                <w:szCs w:val="20"/>
                <w:lang w:val="es-ES" w:eastAsia="es-ES"/>
              </w:rPr>
              <w:t>.</w:t>
            </w:r>
          </w:p>
        </w:tc>
      </w:tr>
      <w:tr w:rsidR="00E042F7" w:rsidRPr="001E2110" w14:paraId="62D9FF89" w14:textId="77777777" w:rsidTr="00E042F7">
        <w:trPr>
          <w:trHeight w:val="343"/>
        </w:trPr>
        <w:tc>
          <w:tcPr>
            <w:tcW w:w="602" w:type="pct"/>
            <w:vMerge/>
            <w:tcBorders>
              <w:top w:val="nil"/>
              <w:left w:val="single" w:sz="4" w:space="0" w:color="auto"/>
              <w:bottom w:val="single" w:sz="4" w:space="0" w:color="000000"/>
              <w:right w:val="single" w:sz="4" w:space="0" w:color="auto"/>
            </w:tcBorders>
            <w:vAlign w:val="center"/>
            <w:hideMark/>
          </w:tcPr>
          <w:p w14:paraId="2A143E30"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single" w:sz="4" w:space="0" w:color="000000"/>
              <w:right w:val="single" w:sz="4" w:space="0" w:color="auto"/>
            </w:tcBorders>
            <w:vAlign w:val="center"/>
            <w:hideMark/>
          </w:tcPr>
          <w:p w14:paraId="65A279E6"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2B4AD1" w14:textId="5F45C251" w:rsidR="009D2B6B" w:rsidRPr="00E042F7" w:rsidRDefault="008C4501" w:rsidP="008C4501">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Depuración y </w:t>
            </w:r>
            <w:r w:rsidR="00A02A7A" w:rsidRPr="00E042F7">
              <w:rPr>
                <w:rFonts w:ascii="Century Gothic" w:eastAsia="Times New Roman" w:hAnsi="Century Gothic" w:cs="Times New Roman"/>
                <w:color w:val="000000"/>
                <w:sz w:val="20"/>
                <w:szCs w:val="20"/>
                <w:lang w:val="es-ES" w:eastAsia="es-ES"/>
              </w:rPr>
              <w:t xml:space="preserve">traslado </w:t>
            </w:r>
            <w:r w:rsidRPr="00E042F7">
              <w:rPr>
                <w:rFonts w:ascii="Century Gothic" w:eastAsia="Times New Roman" w:hAnsi="Century Gothic" w:cs="Times New Roman"/>
                <w:color w:val="000000"/>
                <w:sz w:val="20"/>
                <w:szCs w:val="20"/>
                <w:lang w:val="es-ES" w:eastAsia="es-ES"/>
              </w:rPr>
              <w:t xml:space="preserve">a la </w:t>
            </w:r>
            <w:r w:rsidR="009D2B6B" w:rsidRPr="00E042F7">
              <w:rPr>
                <w:rFonts w:ascii="Century Gothic" w:eastAsia="Times New Roman" w:hAnsi="Century Gothic" w:cs="Times New Roman"/>
                <w:color w:val="000000"/>
                <w:sz w:val="20"/>
                <w:szCs w:val="20"/>
                <w:lang w:val="es-ES" w:eastAsia="es-ES"/>
              </w:rPr>
              <w:t>Secretar</w:t>
            </w:r>
            <w:r w:rsidRPr="00E042F7">
              <w:rPr>
                <w:rFonts w:ascii="Century Gothic" w:eastAsia="Times New Roman" w:hAnsi="Century Gothic" w:cs="Times New Roman"/>
                <w:color w:val="000000"/>
                <w:sz w:val="20"/>
                <w:szCs w:val="20"/>
                <w:lang w:val="es-ES" w:eastAsia="es-ES"/>
              </w:rPr>
              <w:t>í</w:t>
            </w:r>
            <w:r w:rsidR="009D2B6B" w:rsidRPr="00E042F7">
              <w:rPr>
                <w:rFonts w:ascii="Century Gothic" w:eastAsia="Times New Roman" w:hAnsi="Century Gothic" w:cs="Times New Roman"/>
                <w:color w:val="000000"/>
                <w:sz w:val="20"/>
                <w:szCs w:val="20"/>
                <w:lang w:val="es-ES" w:eastAsia="es-ES"/>
              </w:rPr>
              <w:t xml:space="preserve">a de </w:t>
            </w:r>
            <w:r w:rsidRPr="00E042F7">
              <w:rPr>
                <w:rFonts w:ascii="Century Gothic" w:eastAsia="Times New Roman" w:hAnsi="Century Gothic" w:cs="Times New Roman"/>
                <w:color w:val="000000"/>
                <w:sz w:val="20"/>
                <w:szCs w:val="20"/>
                <w:lang w:val="es-ES" w:eastAsia="es-ES"/>
              </w:rPr>
              <w:t>Hacienda</w:t>
            </w:r>
            <w:r w:rsidR="009D2B6B" w:rsidRPr="00E042F7">
              <w:rPr>
                <w:rFonts w:ascii="Century Gothic" w:eastAsia="Times New Roman" w:hAnsi="Century Gothic" w:cs="Times New Roman"/>
                <w:color w:val="000000"/>
                <w:sz w:val="20"/>
                <w:szCs w:val="20"/>
                <w:lang w:val="es-ES" w:eastAsia="es-ES"/>
              </w:rPr>
              <w:t xml:space="preserve"> Municipal los deudores </w:t>
            </w:r>
            <w:r w:rsidRPr="00E042F7">
              <w:rPr>
                <w:rFonts w:ascii="Century Gothic" w:eastAsia="Times New Roman" w:hAnsi="Century Gothic" w:cs="Times New Roman"/>
                <w:color w:val="000000"/>
                <w:sz w:val="20"/>
                <w:szCs w:val="20"/>
                <w:lang w:val="es-ES" w:eastAsia="es-ES"/>
              </w:rPr>
              <w:t xml:space="preserve">morosos </w:t>
            </w:r>
            <w:r w:rsidR="009D2B6B" w:rsidRPr="00E042F7">
              <w:rPr>
                <w:rFonts w:ascii="Century Gothic" w:eastAsia="Times New Roman" w:hAnsi="Century Gothic" w:cs="Times New Roman"/>
                <w:color w:val="000000"/>
                <w:sz w:val="20"/>
                <w:szCs w:val="20"/>
                <w:lang w:val="es-ES" w:eastAsia="es-ES"/>
              </w:rPr>
              <w:t xml:space="preserve">del </w:t>
            </w:r>
            <w:r w:rsidRPr="00E042F7">
              <w:rPr>
                <w:rFonts w:ascii="Century Gothic" w:eastAsia="Times New Roman" w:hAnsi="Century Gothic" w:cs="Times New Roman"/>
                <w:color w:val="000000"/>
                <w:sz w:val="20"/>
                <w:szCs w:val="20"/>
                <w:lang w:val="es-ES" w:eastAsia="es-ES"/>
              </w:rPr>
              <w:t>impuesto</w:t>
            </w:r>
          </w:p>
        </w:tc>
        <w:tc>
          <w:tcPr>
            <w:tcW w:w="15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E1FABD" w14:textId="6CBEDE3A" w:rsidR="009D2B6B" w:rsidRPr="00E042F7" w:rsidRDefault="008C4501"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Traslado </w:t>
            </w:r>
            <w:r w:rsidR="00A02A7A" w:rsidRPr="00E042F7">
              <w:rPr>
                <w:rFonts w:ascii="Century Gothic" w:eastAsia="Times New Roman" w:hAnsi="Century Gothic" w:cs="Times New Roman"/>
                <w:color w:val="000000"/>
                <w:sz w:val="20"/>
                <w:szCs w:val="20"/>
                <w:lang w:val="es-ES" w:eastAsia="es-ES"/>
              </w:rPr>
              <w:t xml:space="preserve">semestral </w:t>
            </w:r>
            <w:r w:rsidRPr="00E042F7">
              <w:rPr>
                <w:rFonts w:ascii="Century Gothic" w:eastAsia="Times New Roman" w:hAnsi="Century Gothic" w:cs="Times New Roman"/>
                <w:color w:val="000000"/>
                <w:sz w:val="20"/>
                <w:szCs w:val="20"/>
                <w:lang w:val="es-ES" w:eastAsia="es-ES"/>
              </w:rPr>
              <w:t xml:space="preserve">de </w:t>
            </w:r>
            <w:r w:rsidR="00A02A7A" w:rsidRPr="00E042F7">
              <w:rPr>
                <w:rFonts w:ascii="Century Gothic" w:eastAsia="Times New Roman" w:hAnsi="Century Gothic" w:cs="Times New Roman"/>
                <w:color w:val="000000"/>
                <w:sz w:val="20"/>
                <w:szCs w:val="20"/>
                <w:lang w:val="es-ES" w:eastAsia="es-ES"/>
              </w:rPr>
              <w:t>cartera</w:t>
            </w:r>
          </w:p>
        </w:tc>
        <w:tc>
          <w:tcPr>
            <w:tcW w:w="8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5CCAB9" w14:textId="465766CD"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No. </w:t>
            </w:r>
            <w:r w:rsidR="00A02A7A" w:rsidRPr="00E042F7">
              <w:rPr>
                <w:rFonts w:ascii="Century Gothic" w:eastAsia="Times New Roman" w:hAnsi="Century Gothic" w:cs="Times New Roman"/>
                <w:color w:val="000000"/>
                <w:sz w:val="20"/>
                <w:szCs w:val="20"/>
                <w:lang w:val="es-ES" w:eastAsia="es-ES"/>
              </w:rPr>
              <w:t>de usuarios trasladados</w:t>
            </w:r>
          </w:p>
        </w:tc>
      </w:tr>
      <w:tr w:rsidR="00E042F7" w:rsidRPr="001E2110" w14:paraId="18CACC0B" w14:textId="77777777" w:rsidTr="00E042F7">
        <w:trPr>
          <w:trHeight w:val="343"/>
        </w:trPr>
        <w:tc>
          <w:tcPr>
            <w:tcW w:w="602" w:type="pct"/>
            <w:vMerge/>
            <w:tcBorders>
              <w:top w:val="nil"/>
              <w:left w:val="single" w:sz="4" w:space="0" w:color="auto"/>
              <w:bottom w:val="single" w:sz="4" w:space="0" w:color="000000"/>
              <w:right w:val="single" w:sz="4" w:space="0" w:color="auto"/>
            </w:tcBorders>
            <w:vAlign w:val="center"/>
            <w:hideMark/>
          </w:tcPr>
          <w:p w14:paraId="602D0CED"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single" w:sz="4" w:space="0" w:color="000000"/>
              <w:right w:val="single" w:sz="4" w:space="0" w:color="auto"/>
            </w:tcBorders>
            <w:vAlign w:val="center"/>
            <w:hideMark/>
          </w:tcPr>
          <w:p w14:paraId="3B55B7FD"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vMerge/>
            <w:tcBorders>
              <w:top w:val="nil"/>
              <w:left w:val="single" w:sz="4" w:space="0" w:color="auto"/>
              <w:bottom w:val="single" w:sz="4" w:space="0" w:color="auto"/>
              <w:right w:val="single" w:sz="4" w:space="0" w:color="auto"/>
            </w:tcBorders>
            <w:vAlign w:val="center"/>
            <w:hideMark/>
          </w:tcPr>
          <w:p w14:paraId="62804138"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543" w:type="pct"/>
            <w:vMerge/>
            <w:tcBorders>
              <w:top w:val="single" w:sz="4" w:space="0" w:color="auto"/>
              <w:left w:val="single" w:sz="4" w:space="0" w:color="auto"/>
              <w:bottom w:val="single" w:sz="4" w:space="0" w:color="000000"/>
              <w:right w:val="single" w:sz="4" w:space="0" w:color="auto"/>
            </w:tcBorders>
            <w:vAlign w:val="center"/>
            <w:hideMark/>
          </w:tcPr>
          <w:p w14:paraId="6D52F927"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857" w:type="pct"/>
            <w:vMerge/>
            <w:tcBorders>
              <w:top w:val="single" w:sz="4" w:space="0" w:color="auto"/>
              <w:left w:val="single" w:sz="4" w:space="0" w:color="auto"/>
              <w:bottom w:val="single" w:sz="4" w:space="0" w:color="000000"/>
              <w:right w:val="single" w:sz="4" w:space="0" w:color="auto"/>
            </w:tcBorders>
            <w:vAlign w:val="center"/>
            <w:hideMark/>
          </w:tcPr>
          <w:p w14:paraId="232D3805"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r>
      <w:tr w:rsidR="00E042F7" w:rsidRPr="001E2110" w14:paraId="0D9733FD" w14:textId="77777777" w:rsidTr="00E042F7">
        <w:trPr>
          <w:trHeight w:val="360"/>
        </w:trPr>
        <w:tc>
          <w:tcPr>
            <w:tcW w:w="602" w:type="pct"/>
            <w:vMerge/>
            <w:tcBorders>
              <w:top w:val="nil"/>
              <w:left w:val="single" w:sz="4" w:space="0" w:color="auto"/>
              <w:bottom w:val="single" w:sz="4" w:space="0" w:color="000000"/>
              <w:right w:val="single" w:sz="4" w:space="0" w:color="auto"/>
            </w:tcBorders>
            <w:vAlign w:val="center"/>
            <w:hideMark/>
          </w:tcPr>
          <w:p w14:paraId="37028CA0"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285" w:type="pct"/>
            <w:vMerge/>
            <w:tcBorders>
              <w:top w:val="nil"/>
              <w:left w:val="single" w:sz="4" w:space="0" w:color="auto"/>
              <w:bottom w:val="single" w:sz="4" w:space="0" w:color="000000"/>
              <w:right w:val="single" w:sz="4" w:space="0" w:color="auto"/>
            </w:tcBorders>
            <w:vAlign w:val="center"/>
            <w:hideMark/>
          </w:tcPr>
          <w:p w14:paraId="77D9ACAA"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p>
        </w:tc>
        <w:tc>
          <w:tcPr>
            <w:tcW w:w="1713" w:type="pct"/>
            <w:tcBorders>
              <w:top w:val="nil"/>
              <w:left w:val="nil"/>
              <w:bottom w:val="single" w:sz="4" w:space="0" w:color="auto"/>
              <w:right w:val="single" w:sz="4" w:space="0" w:color="auto"/>
            </w:tcBorders>
            <w:shd w:val="clear" w:color="auto" w:fill="auto"/>
            <w:vAlign w:val="center"/>
            <w:hideMark/>
          </w:tcPr>
          <w:p w14:paraId="74C1EE17"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Promover el pago oportuno del impuesto</w:t>
            </w:r>
          </w:p>
        </w:tc>
        <w:tc>
          <w:tcPr>
            <w:tcW w:w="1543" w:type="pct"/>
            <w:tcBorders>
              <w:top w:val="nil"/>
              <w:left w:val="nil"/>
              <w:bottom w:val="single" w:sz="4" w:space="0" w:color="auto"/>
              <w:right w:val="single" w:sz="4" w:space="0" w:color="auto"/>
            </w:tcBorders>
            <w:shd w:val="clear" w:color="auto" w:fill="auto"/>
            <w:vAlign w:val="center"/>
            <w:hideMark/>
          </w:tcPr>
          <w:p w14:paraId="4ED7DD9E" w14:textId="77777777"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implementar estrategias persuasivas</w:t>
            </w:r>
          </w:p>
        </w:tc>
        <w:tc>
          <w:tcPr>
            <w:tcW w:w="857" w:type="pct"/>
            <w:tcBorders>
              <w:top w:val="nil"/>
              <w:left w:val="nil"/>
              <w:bottom w:val="single" w:sz="4" w:space="0" w:color="auto"/>
              <w:right w:val="single" w:sz="4" w:space="0" w:color="auto"/>
            </w:tcBorders>
            <w:shd w:val="clear" w:color="auto" w:fill="auto"/>
            <w:noWrap/>
            <w:vAlign w:val="center"/>
            <w:hideMark/>
          </w:tcPr>
          <w:p w14:paraId="4A5DDA94" w14:textId="62BAFA20" w:rsidR="009D2B6B" w:rsidRPr="00E042F7" w:rsidRDefault="009D2B6B" w:rsidP="009D2B6B">
            <w:pPr>
              <w:spacing w:after="0" w:line="240" w:lineRule="auto"/>
              <w:rPr>
                <w:rFonts w:ascii="Century Gothic" w:eastAsia="Times New Roman" w:hAnsi="Century Gothic" w:cs="Times New Roman"/>
                <w:color w:val="000000"/>
                <w:sz w:val="20"/>
                <w:szCs w:val="20"/>
                <w:lang w:val="es-ES" w:eastAsia="es-ES"/>
              </w:rPr>
            </w:pPr>
            <w:r w:rsidRPr="00E042F7">
              <w:rPr>
                <w:rFonts w:ascii="Century Gothic" w:eastAsia="Times New Roman" w:hAnsi="Century Gothic" w:cs="Times New Roman"/>
                <w:color w:val="000000"/>
                <w:sz w:val="20"/>
                <w:szCs w:val="20"/>
                <w:lang w:val="es-ES" w:eastAsia="es-ES"/>
              </w:rPr>
              <w:t xml:space="preserve">No. </w:t>
            </w:r>
            <w:r w:rsidR="00A02A7A" w:rsidRPr="00E042F7">
              <w:rPr>
                <w:rFonts w:ascii="Century Gothic" w:eastAsia="Times New Roman" w:hAnsi="Century Gothic" w:cs="Times New Roman"/>
                <w:color w:val="000000"/>
                <w:sz w:val="20"/>
                <w:szCs w:val="20"/>
                <w:lang w:val="es-ES" w:eastAsia="es-ES"/>
              </w:rPr>
              <w:t xml:space="preserve">de </w:t>
            </w:r>
            <w:r w:rsidRPr="00E042F7">
              <w:rPr>
                <w:rFonts w:ascii="Century Gothic" w:eastAsia="Times New Roman" w:hAnsi="Century Gothic" w:cs="Times New Roman"/>
                <w:color w:val="000000"/>
                <w:sz w:val="20"/>
                <w:szCs w:val="20"/>
                <w:lang w:val="es-ES" w:eastAsia="es-ES"/>
              </w:rPr>
              <w:t>estrategias implementadas</w:t>
            </w:r>
          </w:p>
        </w:tc>
      </w:tr>
    </w:tbl>
    <w:p w14:paraId="513D440C" w14:textId="77777777" w:rsidR="009D2B6B" w:rsidRPr="001E2110" w:rsidRDefault="009D2B6B">
      <w:pPr>
        <w:rPr>
          <w:rFonts w:ascii="Century Gothic" w:hAnsi="Century Gothic" w:cs="Arial"/>
          <w:highlight w:val="yellow"/>
          <w:lang w:val="es-ES"/>
        </w:rPr>
      </w:pPr>
    </w:p>
    <w:p w14:paraId="3974CF30" w14:textId="77777777" w:rsidR="009D2B6B" w:rsidRPr="001E2110" w:rsidRDefault="009D2B6B" w:rsidP="004C1FCB">
      <w:pPr>
        <w:jc w:val="both"/>
        <w:rPr>
          <w:rFonts w:ascii="Century Gothic" w:hAnsi="Century Gothic" w:cs="Arial"/>
          <w:highlight w:val="yellow"/>
          <w:lang w:val="es-ES"/>
        </w:rPr>
        <w:sectPr w:rsidR="009D2B6B" w:rsidRPr="001E2110" w:rsidSect="0045797F">
          <w:pgSz w:w="15840" w:h="12240" w:orient="landscape" w:code="1"/>
          <w:pgMar w:top="1701" w:right="1701" w:bottom="1701" w:left="1985" w:header="709" w:footer="709" w:gutter="0"/>
          <w:cols w:space="708"/>
          <w:docGrid w:linePitch="360"/>
        </w:sectPr>
      </w:pPr>
    </w:p>
    <w:p w14:paraId="6555115A" w14:textId="77777777" w:rsidR="008C4501" w:rsidRPr="00D23E67" w:rsidRDefault="008C4501" w:rsidP="0016186A">
      <w:pPr>
        <w:pStyle w:val="Ttulo2"/>
        <w:rPr>
          <w:lang w:val="es-ES"/>
        </w:rPr>
      </w:pPr>
      <w:bookmarkStart w:id="133" w:name="_Toc532565957"/>
      <w:r w:rsidRPr="00D23E67">
        <w:rPr>
          <w:lang w:val="es-ES"/>
        </w:rPr>
        <w:lastRenderedPageBreak/>
        <w:t>Acciones y medidas para controlar el gasto.</w:t>
      </w:r>
      <w:bookmarkEnd w:id="133"/>
    </w:p>
    <w:p w14:paraId="0B87A927" w14:textId="15C11ADA" w:rsidR="008C4501" w:rsidRPr="00D23E67" w:rsidRDefault="008C4501" w:rsidP="008C4501">
      <w:pPr>
        <w:jc w:val="both"/>
        <w:rPr>
          <w:rFonts w:ascii="Century Gothic" w:hAnsi="Century Gothic" w:cs="Arial"/>
          <w:lang w:val="es-ES"/>
        </w:rPr>
      </w:pPr>
      <w:r w:rsidRPr="00D23E67">
        <w:rPr>
          <w:rFonts w:ascii="Century Gothic" w:hAnsi="Century Gothic" w:cs="Arial"/>
          <w:lang w:val="es-ES"/>
        </w:rPr>
        <w:t>El objetivo que pretende alcanzar la administración municipal  relacionado con la obtención de mayores recursos para la inversión social, plantea, además, de la implementación y aplicación de medidas y estrategias orientadas al incremento de los recursos propios, aplicar efectivas políticas de disminución de los gastos de funcionamiento tendientes al cumplimiento de los límites establecidos en la Ley 617 de 2000 que estableció para los municipios de primera categoría, a los que pertenece el municipio de Pasto, que los gastos de funcionamiento no deben exceder el 65 por ciento de los ingresos corrientes de libre destinación – ICLD -, mandato éste al que se le ha venido dando estricto cumplimiento, en donde los gastos de funcionamiento, en 2017, representaron el 45.62 por ciento de los ICLD.</w:t>
      </w:r>
    </w:p>
    <w:p w14:paraId="6E70EF84" w14:textId="7FD48901" w:rsidR="008C4501" w:rsidRPr="00D23E67" w:rsidRDefault="00A02A7A" w:rsidP="008C4501">
      <w:pPr>
        <w:jc w:val="both"/>
        <w:rPr>
          <w:rFonts w:ascii="Century Gothic" w:hAnsi="Century Gothic" w:cs="Arial"/>
          <w:lang w:val="es-ES"/>
        </w:rPr>
      </w:pPr>
      <w:r w:rsidRPr="00D23E67">
        <w:rPr>
          <w:rFonts w:ascii="Century Gothic" w:hAnsi="Century Gothic" w:cs="Arial"/>
          <w:lang w:val="es-ES"/>
        </w:rPr>
        <w:t xml:space="preserve">En </w:t>
      </w:r>
      <w:r w:rsidR="008C4501" w:rsidRPr="00D23E67">
        <w:rPr>
          <w:rFonts w:ascii="Century Gothic" w:hAnsi="Century Gothic" w:cs="Arial"/>
          <w:lang w:val="es-ES"/>
        </w:rPr>
        <w:t>2017 la inversión comprometió recursos del 88.10 por ciento del total del presupuesto de ingresos, los gastos de funcionamiento representaron el 9.23 por ciento y los del servicio de la deuda el 2.67 por ciento.</w:t>
      </w:r>
    </w:p>
    <w:p w14:paraId="12278485" w14:textId="38E3C4FB" w:rsidR="005C63A7" w:rsidRPr="00E042F7" w:rsidRDefault="008C4501" w:rsidP="00E042F7">
      <w:pPr>
        <w:pStyle w:val="Prrafodelista"/>
        <w:widowControl/>
        <w:tabs>
          <w:tab w:val="left" w:pos="567"/>
        </w:tabs>
        <w:spacing w:after="240" w:line="276" w:lineRule="auto"/>
        <w:ind w:left="0" w:firstLine="0"/>
        <w:contextualSpacing/>
        <w:rPr>
          <w:rFonts w:cs="Arial"/>
          <w:lang w:val="es-ES"/>
        </w:rPr>
      </w:pPr>
      <w:r w:rsidRPr="00D23E67">
        <w:rPr>
          <w:rFonts w:cs="Arial"/>
          <w:lang w:val="es-ES"/>
        </w:rPr>
        <w:t>P</w:t>
      </w:r>
      <w:r w:rsidR="00A02A7A" w:rsidRPr="00D23E67">
        <w:rPr>
          <w:rFonts w:cs="Arial"/>
          <w:lang w:val="es-ES"/>
        </w:rPr>
        <w:t xml:space="preserve">ara la próxima vigencia fiscal </w:t>
      </w:r>
      <w:r w:rsidRPr="00D23E67">
        <w:rPr>
          <w:rFonts w:cs="Arial"/>
          <w:lang w:val="es-ES"/>
        </w:rPr>
        <w:t xml:space="preserve">2019, </w:t>
      </w:r>
      <w:r w:rsidR="00E042F7" w:rsidRPr="00D23E67">
        <w:rPr>
          <w:rFonts w:cs="Arial"/>
          <w:lang w:val="es-ES"/>
        </w:rPr>
        <w:t xml:space="preserve">se expresa total </w:t>
      </w:r>
      <w:r w:rsidRPr="00D23E67">
        <w:rPr>
          <w:rFonts w:cs="Arial"/>
          <w:lang w:val="es-ES"/>
        </w:rPr>
        <w:t>compromiso de mantener controlados los gastos de funcionamiento</w:t>
      </w:r>
      <w:r w:rsidR="00E042F7" w:rsidRPr="00D23E67">
        <w:rPr>
          <w:rFonts w:cs="Arial"/>
          <w:lang w:val="es-ES"/>
        </w:rPr>
        <w:t>,</w:t>
      </w:r>
      <w:r w:rsidRPr="00D23E67">
        <w:rPr>
          <w:rFonts w:cs="Arial"/>
          <w:lang w:val="es-ES"/>
        </w:rPr>
        <w:t xml:space="preserve"> profundizando varías medidas ya implem</w:t>
      </w:r>
      <w:r w:rsidR="00E042F7" w:rsidRPr="00D23E67">
        <w:rPr>
          <w:rFonts w:cs="Arial"/>
          <w:lang w:val="es-ES"/>
        </w:rPr>
        <w:t>entadas e informadas en el MFMP</w:t>
      </w:r>
      <w:r w:rsidRPr="00D23E67">
        <w:rPr>
          <w:rFonts w:cs="Arial"/>
          <w:lang w:val="es-ES"/>
        </w:rPr>
        <w:t xml:space="preserve"> del año 2018, que permitan cumplir con este objetivo de destinar recursos propios a una mayor inversión social para atender las necesidades crecientes de la población e impulsar el desarrollo del municipio de Pasto.</w:t>
      </w:r>
    </w:p>
    <w:sectPr w:rsidR="005C63A7" w:rsidRPr="00E042F7" w:rsidSect="0045797F">
      <w:pgSz w:w="12240" w:h="15840" w:code="1"/>
      <w:pgMar w:top="1985" w:right="1701" w:bottom="1701" w:left="1701" w:header="283"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04485A" w15:done="0"/>
  <w15:commentEx w15:paraId="1283DD0A" w15:done="0"/>
  <w15:commentEx w15:paraId="722D0B6F" w15:done="0"/>
  <w15:commentEx w15:paraId="35138B1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362C1" w14:textId="77777777" w:rsidR="0015717A" w:rsidRDefault="0015717A" w:rsidP="00852B6E">
      <w:pPr>
        <w:spacing w:after="0" w:line="240" w:lineRule="auto"/>
      </w:pPr>
      <w:r>
        <w:separator/>
      </w:r>
    </w:p>
  </w:endnote>
  <w:endnote w:type="continuationSeparator" w:id="0">
    <w:p w14:paraId="5646DA1E" w14:textId="77777777" w:rsidR="0015717A" w:rsidRDefault="0015717A" w:rsidP="0085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26" w:type="pct"/>
      <w:jc w:val="right"/>
      <w:tblCellMar>
        <w:top w:w="115" w:type="dxa"/>
        <w:left w:w="115" w:type="dxa"/>
        <w:bottom w:w="115" w:type="dxa"/>
        <w:right w:w="115" w:type="dxa"/>
      </w:tblCellMar>
      <w:tblLook w:val="04A0" w:firstRow="1" w:lastRow="0" w:firstColumn="1" w:lastColumn="0" w:noHBand="0" w:noVBand="1"/>
    </w:tblPr>
    <w:tblGrid>
      <w:gridCol w:w="8178"/>
      <w:gridCol w:w="756"/>
    </w:tblGrid>
    <w:tr w:rsidR="008954F2" w14:paraId="6EF79AB6" w14:textId="77777777" w:rsidTr="00723C71">
      <w:trPr>
        <w:jc w:val="right"/>
      </w:trPr>
      <w:tc>
        <w:tcPr>
          <w:tcW w:w="7971" w:type="dxa"/>
          <w:vAlign w:val="center"/>
        </w:tcPr>
        <w:sdt>
          <w:sdtPr>
            <w:rPr>
              <w:i/>
              <w:caps/>
              <w:color w:val="808080" w:themeColor="background1" w:themeShade="80"/>
              <w:sz w:val="20"/>
            </w:rPr>
            <w:alias w:val="Autor"/>
            <w:tag w:val=""/>
            <w:id w:val="1534539408"/>
            <w:dataBinding w:prefixMappings="xmlns:ns0='http://purl.org/dc/elements/1.1/' xmlns:ns1='http://schemas.openxmlformats.org/package/2006/metadata/core-properties' " w:xpath="/ns1:coreProperties[1]/ns0:creator[1]" w:storeItemID="{6C3C8BC8-F283-45AE-878A-BAB7291924A1}"/>
            <w:text/>
          </w:sdtPr>
          <w:sdtContent>
            <w:p w14:paraId="73AA618A" w14:textId="3326297E" w:rsidR="008954F2" w:rsidRDefault="008954F2">
              <w:pPr>
                <w:pStyle w:val="Encabezado"/>
                <w:jc w:val="right"/>
                <w:rPr>
                  <w:caps/>
                  <w:color w:val="000000" w:themeColor="text1"/>
                </w:rPr>
              </w:pPr>
              <w:r>
                <w:rPr>
                  <w:i/>
                  <w:color w:val="808080" w:themeColor="background1" w:themeShade="80"/>
                  <w:sz w:val="20"/>
                  <w:lang w:val="es-CO"/>
                </w:rPr>
                <w:t>Secretaría de Hacienda y Tesorería                                                                                      Oficina de Planeación de Gestión Institucional</w:t>
              </w:r>
            </w:p>
          </w:sdtContent>
        </w:sdt>
      </w:tc>
      <w:tc>
        <w:tcPr>
          <w:tcW w:w="737" w:type="dxa"/>
          <w:shd w:val="clear" w:color="auto" w:fill="365F91" w:themeFill="accent1" w:themeFillShade="BF"/>
          <w:vAlign w:val="center"/>
        </w:tcPr>
        <w:p w14:paraId="6A6CE770" w14:textId="3FE2ADC9" w:rsidR="008954F2" w:rsidRPr="00723C71" w:rsidRDefault="008954F2">
          <w:pPr>
            <w:pStyle w:val="Piedepgina"/>
            <w:jc w:val="center"/>
            <w:rPr>
              <w:b/>
              <w:color w:val="FFFFFF" w:themeColor="background1"/>
            </w:rPr>
          </w:pPr>
          <w:r w:rsidRPr="00723C71">
            <w:rPr>
              <w:b/>
              <w:color w:val="FFFFFF" w:themeColor="background1"/>
            </w:rPr>
            <w:fldChar w:fldCharType="begin"/>
          </w:r>
          <w:r w:rsidRPr="00723C71">
            <w:rPr>
              <w:b/>
              <w:color w:val="FFFFFF" w:themeColor="background1"/>
            </w:rPr>
            <w:instrText>PAGE   \* MERGEFORMAT</w:instrText>
          </w:r>
          <w:r w:rsidRPr="00723C71">
            <w:rPr>
              <w:b/>
              <w:color w:val="FFFFFF" w:themeColor="background1"/>
            </w:rPr>
            <w:fldChar w:fldCharType="separate"/>
          </w:r>
          <w:r w:rsidR="00E74FB1" w:rsidRPr="00E74FB1">
            <w:rPr>
              <w:b/>
              <w:noProof/>
              <w:color w:val="FFFFFF" w:themeColor="background1"/>
              <w:lang w:val="es-ES"/>
            </w:rPr>
            <w:t>106</w:t>
          </w:r>
          <w:r w:rsidRPr="00723C71">
            <w:rPr>
              <w:b/>
              <w:color w:val="FFFFFF" w:themeColor="background1"/>
            </w:rPr>
            <w:fldChar w:fldCharType="end"/>
          </w:r>
        </w:p>
      </w:tc>
    </w:tr>
  </w:tbl>
  <w:p w14:paraId="2BF72EF4" w14:textId="77777777" w:rsidR="008954F2" w:rsidRPr="003E031A" w:rsidRDefault="008954F2" w:rsidP="003E031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B1A44" w14:textId="77777777" w:rsidR="0015717A" w:rsidRDefault="0015717A" w:rsidP="00852B6E">
      <w:pPr>
        <w:spacing w:after="0" w:line="240" w:lineRule="auto"/>
      </w:pPr>
      <w:r>
        <w:separator/>
      </w:r>
    </w:p>
  </w:footnote>
  <w:footnote w:type="continuationSeparator" w:id="0">
    <w:p w14:paraId="71554657" w14:textId="77777777" w:rsidR="0015717A" w:rsidRDefault="0015717A" w:rsidP="00852B6E">
      <w:pPr>
        <w:spacing w:after="0" w:line="240" w:lineRule="auto"/>
      </w:pPr>
      <w:r>
        <w:continuationSeparator/>
      </w:r>
    </w:p>
  </w:footnote>
  <w:footnote w:id="1">
    <w:p w14:paraId="5298DC7A" w14:textId="77777777" w:rsidR="008954F2" w:rsidRPr="00AB1F95" w:rsidRDefault="008954F2" w:rsidP="00354978">
      <w:pPr>
        <w:pStyle w:val="Textonotapie"/>
        <w:rPr>
          <w:lang w:val="es-CO"/>
        </w:rPr>
      </w:pPr>
      <w:r>
        <w:rPr>
          <w:rStyle w:val="Refdenotaalpie"/>
        </w:rPr>
        <w:footnoteRef/>
      </w:r>
      <w:r>
        <w:t xml:space="preserve"> </w:t>
      </w:r>
      <w:r>
        <w:rPr>
          <w:lang w:val="es-CO"/>
        </w:rPr>
        <w:t>SEPAL S. A., 2018</w:t>
      </w:r>
    </w:p>
  </w:footnote>
  <w:footnote w:id="2">
    <w:p w14:paraId="4D4F0CA9" w14:textId="77777777" w:rsidR="008954F2" w:rsidRPr="00AB1F95" w:rsidRDefault="008954F2" w:rsidP="00354978">
      <w:pPr>
        <w:pStyle w:val="Textonotapie"/>
      </w:pPr>
      <w:r>
        <w:rPr>
          <w:rStyle w:val="Refdenotaalpie"/>
        </w:rPr>
        <w:footnoteRef/>
      </w:r>
      <w:r>
        <w:t xml:space="preserve"> Ibídem </w:t>
      </w:r>
    </w:p>
  </w:footnote>
  <w:footnote w:id="3">
    <w:p w14:paraId="6CA58F27" w14:textId="77777777" w:rsidR="008954F2" w:rsidRPr="00AB1F95" w:rsidRDefault="008954F2" w:rsidP="00354978">
      <w:pPr>
        <w:pStyle w:val="Textonotapie"/>
        <w:rPr>
          <w:lang w:val="es-CO"/>
        </w:rPr>
      </w:pPr>
      <w:r>
        <w:rPr>
          <w:rStyle w:val="Refdenotaalpie"/>
        </w:rPr>
        <w:footnoteRef/>
      </w:r>
      <w:r>
        <w:t xml:space="preserve"> </w:t>
      </w:r>
      <w:r w:rsidRPr="00E438D8">
        <w:t xml:space="preserve">Empresa de Obras Sanitarias de Pasto </w:t>
      </w:r>
      <w:r>
        <w:rPr>
          <w:lang w:val="es-CO"/>
        </w:rPr>
        <w:t>EMPOPASTO S.A. E.S.P., 2018</w:t>
      </w:r>
    </w:p>
  </w:footnote>
  <w:footnote w:id="4">
    <w:p w14:paraId="2671AA41" w14:textId="77777777" w:rsidR="008954F2" w:rsidRPr="00AB1F95" w:rsidRDefault="008954F2" w:rsidP="00A65614">
      <w:pPr>
        <w:pStyle w:val="Textonotapie"/>
        <w:jc w:val="both"/>
        <w:rPr>
          <w:lang w:val="es-CO"/>
        </w:rPr>
      </w:pPr>
      <w:r>
        <w:rPr>
          <w:rStyle w:val="Refdenotaalpie"/>
        </w:rPr>
        <w:footnoteRef/>
      </w:r>
      <w:r>
        <w:t xml:space="preserve"> Alcaldía de Pasto. Secretaría de Gestión Ambiental. </w:t>
      </w:r>
      <w:r>
        <w:rPr>
          <w:lang w:val="es-CO"/>
        </w:rPr>
        <w:t xml:space="preserve">2018. </w:t>
      </w:r>
      <w:r w:rsidRPr="006C3E63">
        <w:rPr>
          <w:lang w:val="es-CO"/>
        </w:rPr>
        <w:t xml:space="preserve">De acuerdo a las indicaciones del </w:t>
      </w:r>
      <w:proofErr w:type="spellStart"/>
      <w:r w:rsidRPr="006C3E63">
        <w:rPr>
          <w:lang w:val="es-CO"/>
        </w:rPr>
        <w:t>MinVivienda</w:t>
      </w:r>
      <w:proofErr w:type="spellEnd"/>
      <w:r w:rsidRPr="006C3E63">
        <w:rPr>
          <w:lang w:val="es-CO"/>
        </w:rPr>
        <w:t xml:space="preserve"> la tasa de cobertura de APSB se debe reportar con los usuarios que cuentan con predial, a la fecha </w:t>
      </w:r>
      <w:r>
        <w:rPr>
          <w:lang w:val="es-CO"/>
        </w:rPr>
        <w:t xml:space="preserve">se </w:t>
      </w:r>
      <w:r w:rsidRPr="006C3E63">
        <w:rPr>
          <w:lang w:val="es-CO"/>
        </w:rPr>
        <w:t>está</w:t>
      </w:r>
      <w:r>
        <w:rPr>
          <w:lang w:val="es-CO"/>
        </w:rPr>
        <w:t xml:space="preserve"> </w:t>
      </w:r>
      <w:r w:rsidRPr="006C3E63">
        <w:rPr>
          <w:lang w:val="es-CO"/>
        </w:rPr>
        <w:t>en proceso de recolección de datos, porque la comunidad es reacia a brindar ese tipo de información, la cual debe cruzarse con el registro predial del IGAC.</w:t>
      </w:r>
      <w:r>
        <w:rPr>
          <w:lang w:val="es-CO"/>
        </w:rPr>
        <w:t xml:space="preserve"> </w:t>
      </w:r>
      <w:r w:rsidRPr="006C3E63">
        <w:rPr>
          <w:lang w:val="es-CO"/>
        </w:rPr>
        <w:t>Los indicadores de cobertura que se presentan fueron calculados de acuerdo a la población con servicio y son aproximados. Se incluyó la población beneficiada con las obras en ejecución y programadas para 2018.</w:t>
      </w:r>
    </w:p>
  </w:footnote>
  <w:footnote w:id="5">
    <w:p w14:paraId="719D466B" w14:textId="77777777" w:rsidR="008954F2" w:rsidRPr="00E438D8" w:rsidRDefault="008954F2" w:rsidP="00354978">
      <w:pPr>
        <w:pStyle w:val="Textonotapie"/>
        <w:rPr>
          <w:lang w:val="es-CO"/>
        </w:rPr>
      </w:pPr>
      <w:r>
        <w:rPr>
          <w:rStyle w:val="Refdenotaalpie"/>
        </w:rPr>
        <w:footnoteRef/>
      </w:r>
      <w:r>
        <w:t xml:space="preserve"> Ibídem</w:t>
      </w:r>
    </w:p>
  </w:footnote>
  <w:footnote w:id="6">
    <w:p w14:paraId="39A369A9" w14:textId="77777777" w:rsidR="008954F2" w:rsidRPr="00E438D8" w:rsidRDefault="008954F2" w:rsidP="00354978">
      <w:pPr>
        <w:pStyle w:val="Textonotapie"/>
        <w:rPr>
          <w:lang w:val="es-CO"/>
        </w:rPr>
      </w:pPr>
      <w:r>
        <w:rPr>
          <w:rStyle w:val="Refdenotaalpie"/>
        </w:rPr>
        <w:footnoteRef/>
      </w:r>
      <w:r>
        <w:t xml:space="preserve"> </w:t>
      </w:r>
      <w:r>
        <w:rPr>
          <w:lang w:val="es-CO"/>
        </w:rPr>
        <w:t>Empresa Metropolitana de Aseo EMAS S.A., 2018</w:t>
      </w:r>
    </w:p>
  </w:footnote>
  <w:footnote w:id="7">
    <w:p w14:paraId="4D195CB9" w14:textId="77777777" w:rsidR="008954F2" w:rsidRPr="00E438D8" w:rsidRDefault="008954F2" w:rsidP="00354978">
      <w:pPr>
        <w:pStyle w:val="Textonotapie"/>
        <w:rPr>
          <w:lang w:val="es-CO"/>
        </w:rPr>
      </w:pPr>
      <w:r>
        <w:rPr>
          <w:rStyle w:val="Refdenotaalpie"/>
        </w:rPr>
        <w:footnoteRef/>
      </w:r>
      <w:r>
        <w:t xml:space="preserve"> Ibídem</w:t>
      </w:r>
    </w:p>
  </w:footnote>
  <w:footnote w:id="8">
    <w:p w14:paraId="2FADA201" w14:textId="77777777" w:rsidR="008954F2" w:rsidRPr="00EA4122" w:rsidRDefault="008954F2" w:rsidP="00346EA3">
      <w:pPr>
        <w:pStyle w:val="Textonotapie"/>
        <w:rPr>
          <w:rFonts w:ascii="Century Gothic" w:hAnsi="Century Gothic"/>
          <w:lang w:val="es-ES"/>
        </w:rPr>
      </w:pPr>
      <w:r w:rsidRPr="00EA4122">
        <w:rPr>
          <w:rStyle w:val="Refdenotaalpie"/>
          <w:rFonts w:ascii="Century Gothic" w:hAnsi="Century Gothic"/>
          <w:sz w:val="18"/>
        </w:rPr>
        <w:footnoteRef/>
      </w:r>
      <w:r>
        <w:rPr>
          <w:rFonts w:ascii="Century Gothic" w:hAnsi="Century Gothic"/>
          <w:sz w:val="18"/>
          <w:lang w:val="es-ES"/>
        </w:rPr>
        <w:t xml:space="preserve"> </w:t>
      </w:r>
      <w:r w:rsidRPr="00354978">
        <w:rPr>
          <w:rFonts w:ascii="Century Gothic" w:hAnsi="Century Gothic"/>
          <w:sz w:val="18"/>
          <w:lang w:val="es-ES"/>
        </w:rPr>
        <w:t xml:space="preserve">https://terridata.dnp.gov.co/#/perfiles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C6D54" w14:textId="77777777" w:rsidR="008954F2" w:rsidRPr="00723C71" w:rsidRDefault="008954F2" w:rsidP="00723C71">
    <w:pPr>
      <w:pStyle w:val="Encabezado"/>
      <w:ind w:right="-864"/>
      <w:rPr>
        <w:sz w:val="24"/>
      </w:rPr>
    </w:pPr>
  </w:p>
  <w:p w14:paraId="108B1366" w14:textId="77777777" w:rsidR="008954F2" w:rsidRPr="00723C71" w:rsidRDefault="008954F2" w:rsidP="00723C71">
    <w:pPr>
      <w:pStyle w:val="Encabezado"/>
      <w:rPr>
        <w:i/>
        <w:color w:val="808080" w:themeColor="background1" w:themeShade="80"/>
        <w:sz w:val="20"/>
        <w:lang w:val="es-ES"/>
      </w:rPr>
    </w:pPr>
    <w:r w:rsidRPr="00723C71">
      <w:rPr>
        <w:i/>
        <w:color w:val="808080" w:themeColor="background1" w:themeShade="80"/>
        <w:sz w:val="20"/>
        <w:lang w:val="es-ES"/>
      </w:rPr>
      <w:t xml:space="preserve">Marco Fiscal de Mediano Plazo 2019 </w:t>
    </w:r>
    <w:r>
      <w:rPr>
        <w:i/>
        <w:color w:val="808080" w:themeColor="background1" w:themeShade="80"/>
        <w:sz w:val="20"/>
        <w:lang w:val="es-ES"/>
      </w:rPr>
      <w:tab/>
      <w:t xml:space="preserve">                                                               Alcaldía de Pasto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77E"/>
    <w:multiLevelType w:val="hybridMultilevel"/>
    <w:tmpl w:val="FA5AE1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2F61FE"/>
    <w:multiLevelType w:val="hybridMultilevel"/>
    <w:tmpl w:val="44A00F32"/>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043B769E"/>
    <w:multiLevelType w:val="hybridMultilevel"/>
    <w:tmpl w:val="9DA0AB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126B6F"/>
    <w:multiLevelType w:val="hybridMultilevel"/>
    <w:tmpl w:val="E8A21CD8"/>
    <w:lvl w:ilvl="0" w:tplc="324C1D64">
      <w:start w:val="3"/>
      <w:numFmt w:val="bullet"/>
      <w:lvlText w:val="-"/>
      <w:lvlJc w:val="left"/>
      <w:pPr>
        <w:ind w:left="720" w:hanging="360"/>
      </w:pPr>
      <w:rPr>
        <w:rFonts w:ascii="Century Gothic" w:eastAsia="Calibri"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B413EA"/>
    <w:multiLevelType w:val="hybridMultilevel"/>
    <w:tmpl w:val="4C167E3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FD08D9"/>
    <w:multiLevelType w:val="hybridMultilevel"/>
    <w:tmpl w:val="59707FE6"/>
    <w:lvl w:ilvl="0" w:tplc="0C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0C49044D"/>
    <w:multiLevelType w:val="hybridMultilevel"/>
    <w:tmpl w:val="6864262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CE5612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703A57"/>
    <w:multiLevelType w:val="hybridMultilevel"/>
    <w:tmpl w:val="A95A9102"/>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13C060AB"/>
    <w:multiLevelType w:val="hybridMultilevel"/>
    <w:tmpl w:val="BBC888B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16847907"/>
    <w:multiLevelType w:val="hybridMultilevel"/>
    <w:tmpl w:val="8438CFC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7026CE0"/>
    <w:multiLevelType w:val="multilevel"/>
    <w:tmpl w:val="B134878C"/>
    <w:lvl w:ilvl="0">
      <w:start w:val="1"/>
      <w:numFmt w:val="decimal"/>
      <w:lvlText w:val="%1."/>
      <w:lvlJc w:val="left"/>
      <w:pPr>
        <w:ind w:left="360" w:hanging="360"/>
      </w:pPr>
      <w:rPr>
        <w:rFonts w:ascii="Century Gothic" w:hAnsi="Century Gothic" w:hint="default"/>
        <w:b/>
        <w:sz w:val="22"/>
      </w:rPr>
    </w:lvl>
    <w:lvl w:ilvl="1">
      <w:start w:val="1"/>
      <w:numFmt w:val="upperLetter"/>
      <w:lvlText w:val="%2."/>
      <w:lvlJc w:val="left"/>
      <w:pPr>
        <w:ind w:left="720" w:firstLine="0"/>
      </w:pPr>
      <w:rPr>
        <w:color w:val="auto"/>
      </w:rPr>
    </w:lvl>
    <w:lvl w:ilvl="2">
      <w:start w:val="1"/>
      <w:numFmt w:val="decimal"/>
      <w:lvlText w:val="%3."/>
      <w:lvlJc w:val="left"/>
      <w:pPr>
        <w:ind w:left="1440" w:firstLine="0"/>
      </w:pPr>
      <w:rPr>
        <w:b w:val="0"/>
        <w:color w:val="auto"/>
      </w:rPr>
    </w:lvl>
    <w:lvl w:ilvl="3">
      <w:start w:val="1"/>
      <w:numFmt w:val="lowerLetter"/>
      <w:lvlText w:val="%4)"/>
      <w:lvlJc w:val="left"/>
      <w:pPr>
        <w:ind w:left="2160" w:firstLine="0"/>
      </w:pPr>
      <w:rPr>
        <w:color w:val="auto"/>
      </w:rPr>
    </w:lvl>
    <w:lvl w:ilvl="4">
      <w:start w:val="1"/>
      <w:numFmt w:val="decimal"/>
      <w:lvlText w:val="(%5)"/>
      <w:lvlJc w:val="left"/>
      <w:pPr>
        <w:ind w:left="2880" w:firstLine="0"/>
      </w:pPr>
    </w:lvl>
    <w:lvl w:ilvl="5">
      <w:start w:val="1"/>
      <w:numFmt w:val="lowerLetter"/>
      <w:lvlText w:val="(%6)"/>
      <w:lvlJc w:val="left"/>
      <w:pPr>
        <w:ind w:left="3828" w:firstLine="0"/>
      </w:pPr>
      <w:rPr>
        <w:lang w:val="es-ES"/>
      </w:r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nsid w:val="191603F6"/>
    <w:multiLevelType w:val="hybridMultilevel"/>
    <w:tmpl w:val="32E629AA"/>
    <w:lvl w:ilvl="0" w:tplc="BE0EAE6C">
      <w:start w:val="1"/>
      <w:numFmt w:val="bullet"/>
      <w:lvlText w:val="•"/>
      <w:lvlJc w:val="left"/>
      <w:pPr>
        <w:tabs>
          <w:tab w:val="num" w:pos="720"/>
        </w:tabs>
        <w:ind w:left="720" w:hanging="360"/>
      </w:pPr>
      <w:rPr>
        <w:rFonts w:ascii="Arial" w:hAnsi="Arial" w:cs="Times New Roman" w:hint="default"/>
      </w:rPr>
    </w:lvl>
    <w:lvl w:ilvl="1" w:tplc="FF9C8972">
      <w:start w:val="1"/>
      <w:numFmt w:val="bullet"/>
      <w:lvlText w:val="•"/>
      <w:lvlJc w:val="left"/>
      <w:pPr>
        <w:tabs>
          <w:tab w:val="num" w:pos="1440"/>
        </w:tabs>
        <w:ind w:left="1440" w:hanging="360"/>
      </w:pPr>
      <w:rPr>
        <w:rFonts w:ascii="Arial" w:hAnsi="Arial" w:cs="Times New Roman" w:hint="default"/>
      </w:rPr>
    </w:lvl>
    <w:lvl w:ilvl="2" w:tplc="73E82EDC">
      <w:start w:val="1"/>
      <w:numFmt w:val="bullet"/>
      <w:lvlText w:val="•"/>
      <w:lvlJc w:val="left"/>
      <w:pPr>
        <w:tabs>
          <w:tab w:val="num" w:pos="2160"/>
        </w:tabs>
        <w:ind w:left="2160" w:hanging="360"/>
      </w:pPr>
      <w:rPr>
        <w:rFonts w:ascii="Arial" w:hAnsi="Arial" w:cs="Times New Roman" w:hint="default"/>
      </w:rPr>
    </w:lvl>
    <w:lvl w:ilvl="3" w:tplc="FA16D04C">
      <w:start w:val="1"/>
      <w:numFmt w:val="bullet"/>
      <w:lvlText w:val="•"/>
      <w:lvlJc w:val="left"/>
      <w:pPr>
        <w:tabs>
          <w:tab w:val="num" w:pos="2880"/>
        </w:tabs>
        <w:ind w:left="2880" w:hanging="360"/>
      </w:pPr>
      <w:rPr>
        <w:rFonts w:ascii="Arial" w:hAnsi="Arial" w:cs="Times New Roman" w:hint="default"/>
      </w:rPr>
    </w:lvl>
    <w:lvl w:ilvl="4" w:tplc="A51006D8">
      <w:start w:val="1"/>
      <w:numFmt w:val="bullet"/>
      <w:lvlText w:val="•"/>
      <w:lvlJc w:val="left"/>
      <w:pPr>
        <w:tabs>
          <w:tab w:val="num" w:pos="3600"/>
        </w:tabs>
        <w:ind w:left="3600" w:hanging="360"/>
      </w:pPr>
      <w:rPr>
        <w:rFonts w:ascii="Arial" w:hAnsi="Arial" w:cs="Times New Roman" w:hint="default"/>
      </w:rPr>
    </w:lvl>
    <w:lvl w:ilvl="5" w:tplc="061258A6">
      <w:start w:val="1"/>
      <w:numFmt w:val="bullet"/>
      <w:lvlText w:val="•"/>
      <w:lvlJc w:val="left"/>
      <w:pPr>
        <w:tabs>
          <w:tab w:val="num" w:pos="4320"/>
        </w:tabs>
        <w:ind w:left="4320" w:hanging="360"/>
      </w:pPr>
      <w:rPr>
        <w:rFonts w:ascii="Arial" w:hAnsi="Arial" w:cs="Times New Roman" w:hint="default"/>
      </w:rPr>
    </w:lvl>
    <w:lvl w:ilvl="6" w:tplc="5D4CB1A0">
      <w:start w:val="1"/>
      <w:numFmt w:val="bullet"/>
      <w:lvlText w:val="•"/>
      <w:lvlJc w:val="left"/>
      <w:pPr>
        <w:tabs>
          <w:tab w:val="num" w:pos="5040"/>
        </w:tabs>
        <w:ind w:left="5040" w:hanging="360"/>
      </w:pPr>
      <w:rPr>
        <w:rFonts w:ascii="Arial" w:hAnsi="Arial" w:cs="Times New Roman" w:hint="default"/>
      </w:rPr>
    </w:lvl>
    <w:lvl w:ilvl="7" w:tplc="CFD478FC">
      <w:start w:val="1"/>
      <w:numFmt w:val="bullet"/>
      <w:lvlText w:val="•"/>
      <w:lvlJc w:val="left"/>
      <w:pPr>
        <w:tabs>
          <w:tab w:val="num" w:pos="5760"/>
        </w:tabs>
        <w:ind w:left="5760" w:hanging="360"/>
      </w:pPr>
      <w:rPr>
        <w:rFonts w:ascii="Arial" w:hAnsi="Arial" w:cs="Times New Roman" w:hint="default"/>
      </w:rPr>
    </w:lvl>
    <w:lvl w:ilvl="8" w:tplc="E66C7906">
      <w:start w:val="1"/>
      <w:numFmt w:val="bullet"/>
      <w:lvlText w:val="•"/>
      <w:lvlJc w:val="left"/>
      <w:pPr>
        <w:tabs>
          <w:tab w:val="num" w:pos="6480"/>
        </w:tabs>
        <w:ind w:left="6480" w:hanging="360"/>
      </w:pPr>
      <w:rPr>
        <w:rFonts w:ascii="Arial" w:hAnsi="Arial" w:cs="Times New Roman" w:hint="default"/>
      </w:rPr>
    </w:lvl>
  </w:abstractNum>
  <w:abstractNum w:abstractNumId="13">
    <w:nsid w:val="19632C9F"/>
    <w:multiLevelType w:val="hybridMultilevel"/>
    <w:tmpl w:val="09C66B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427675"/>
    <w:multiLevelType w:val="hybridMultilevel"/>
    <w:tmpl w:val="7478AB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CC26C17"/>
    <w:multiLevelType w:val="hybridMultilevel"/>
    <w:tmpl w:val="E15AE51A"/>
    <w:lvl w:ilvl="0" w:tplc="5D60A6FC">
      <w:start w:val="12"/>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0790734"/>
    <w:multiLevelType w:val="hybridMultilevel"/>
    <w:tmpl w:val="2F02E92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0965B08"/>
    <w:multiLevelType w:val="hybridMultilevel"/>
    <w:tmpl w:val="F86C134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32E58E7"/>
    <w:multiLevelType w:val="hybridMultilevel"/>
    <w:tmpl w:val="C972B6F2"/>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23ED7C76"/>
    <w:multiLevelType w:val="hybridMultilevel"/>
    <w:tmpl w:val="0766396A"/>
    <w:lvl w:ilvl="0" w:tplc="5D60A6FC">
      <w:start w:val="2"/>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8B85CA7"/>
    <w:multiLevelType w:val="hybridMultilevel"/>
    <w:tmpl w:val="84C4D1F6"/>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29F316B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BE40656"/>
    <w:multiLevelType w:val="hybridMultilevel"/>
    <w:tmpl w:val="F70AD368"/>
    <w:lvl w:ilvl="0" w:tplc="5D60A6FC">
      <w:start w:val="2"/>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D141E47"/>
    <w:multiLevelType w:val="hybridMultilevel"/>
    <w:tmpl w:val="6542177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nsid w:val="2F6A33C6"/>
    <w:multiLevelType w:val="hybridMultilevel"/>
    <w:tmpl w:val="F9D04CD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CFF537C"/>
    <w:multiLevelType w:val="hybridMultilevel"/>
    <w:tmpl w:val="192613E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EA15E8D"/>
    <w:multiLevelType w:val="hybridMultilevel"/>
    <w:tmpl w:val="04E66A60"/>
    <w:lvl w:ilvl="0" w:tplc="5D60A6FC">
      <w:start w:val="2"/>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1CF7486"/>
    <w:multiLevelType w:val="hybridMultilevel"/>
    <w:tmpl w:val="8890A646"/>
    <w:lvl w:ilvl="0" w:tplc="775ED03E">
      <w:start w:val="2"/>
      <w:numFmt w:val="decimal"/>
      <w:lvlText w:val="%1"/>
      <w:lvlJc w:val="left"/>
      <w:pPr>
        <w:ind w:left="769" w:hanging="667"/>
      </w:pPr>
    </w:lvl>
    <w:lvl w:ilvl="1" w:tplc="5650D67E">
      <w:numFmt w:val="none"/>
      <w:lvlText w:val=""/>
      <w:lvlJc w:val="left"/>
      <w:pPr>
        <w:tabs>
          <w:tab w:val="num" w:pos="360"/>
        </w:tabs>
        <w:ind w:left="0" w:firstLine="0"/>
      </w:pPr>
    </w:lvl>
    <w:lvl w:ilvl="2" w:tplc="3BEA0EF4">
      <w:numFmt w:val="bullet"/>
      <w:lvlText w:val=""/>
      <w:lvlJc w:val="left"/>
      <w:pPr>
        <w:ind w:left="822" w:hanging="360"/>
      </w:pPr>
      <w:rPr>
        <w:rFonts w:ascii="Symbol" w:eastAsia="Symbol" w:hAnsi="Symbol" w:cs="Symbol" w:hint="default"/>
        <w:w w:val="100"/>
        <w:sz w:val="24"/>
        <w:szCs w:val="24"/>
      </w:rPr>
    </w:lvl>
    <w:lvl w:ilvl="3" w:tplc="2A9CF30A">
      <w:numFmt w:val="bullet"/>
      <w:lvlText w:val="•"/>
      <w:lvlJc w:val="left"/>
      <w:pPr>
        <w:ind w:left="2651" w:hanging="360"/>
      </w:pPr>
    </w:lvl>
    <w:lvl w:ilvl="4" w:tplc="55146928">
      <w:numFmt w:val="bullet"/>
      <w:lvlText w:val="•"/>
      <w:lvlJc w:val="left"/>
      <w:pPr>
        <w:ind w:left="3567" w:hanging="360"/>
      </w:pPr>
    </w:lvl>
    <w:lvl w:ilvl="5" w:tplc="ABBE3904">
      <w:numFmt w:val="bullet"/>
      <w:lvlText w:val="•"/>
      <w:lvlJc w:val="left"/>
      <w:pPr>
        <w:ind w:left="4483" w:hanging="360"/>
      </w:pPr>
    </w:lvl>
    <w:lvl w:ilvl="6" w:tplc="B44EA814">
      <w:numFmt w:val="bullet"/>
      <w:lvlText w:val="•"/>
      <w:lvlJc w:val="left"/>
      <w:pPr>
        <w:ind w:left="5399" w:hanging="360"/>
      </w:pPr>
    </w:lvl>
    <w:lvl w:ilvl="7" w:tplc="B7F26DE0">
      <w:numFmt w:val="bullet"/>
      <w:lvlText w:val="•"/>
      <w:lvlJc w:val="left"/>
      <w:pPr>
        <w:ind w:left="6314" w:hanging="360"/>
      </w:pPr>
    </w:lvl>
    <w:lvl w:ilvl="8" w:tplc="B8E470A6">
      <w:numFmt w:val="bullet"/>
      <w:lvlText w:val="•"/>
      <w:lvlJc w:val="left"/>
      <w:pPr>
        <w:ind w:left="7230" w:hanging="360"/>
      </w:pPr>
    </w:lvl>
  </w:abstractNum>
  <w:abstractNum w:abstractNumId="28">
    <w:nsid w:val="4452527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5C270D1"/>
    <w:multiLevelType w:val="hybridMultilevel"/>
    <w:tmpl w:val="79681B7E"/>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0">
    <w:nsid w:val="45F45EB8"/>
    <w:multiLevelType w:val="hybridMultilevel"/>
    <w:tmpl w:val="0FFCA614"/>
    <w:lvl w:ilvl="0" w:tplc="0C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7320964"/>
    <w:multiLevelType w:val="hybridMultilevel"/>
    <w:tmpl w:val="C908DD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7AA11C6"/>
    <w:multiLevelType w:val="hybridMultilevel"/>
    <w:tmpl w:val="24F66D3E"/>
    <w:lvl w:ilvl="0" w:tplc="0C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3">
    <w:nsid w:val="4A9F7928"/>
    <w:multiLevelType w:val="hybridMultilevel"/>
    <w:tmpl w:val="A67C7E58"/>
    <w:lvl w:ilvl="0" w:tplc="0C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4">
    <w:nsid w:val="4CCA25D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E3A53B5"/>
    <w:multiLevelType w:val="hybridMultilevel"/>
    <w:tmpl w:val="4DDE9DF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55D634EE"/>
    <w:multiLevelType w:val="hybridMultilevel"/>
    <w:tmpl w:val="6B948E2A"/>
    <w:lvl w:ilvl="0" w:tplc="5D60A6FC">
      <w:start w:val="2"/>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E2277F8"/>
    <w:multiLevelType w:val="hybridMultilevel"/>
    <w:tmpl w:val="A0928BBA"/>
    <w:lvl w:ilvl="0" w:tplc="A6D85874">
      <w:start w:val="1"/>
      <w:numFmt w:val="lowerLetter"/>
      <w:lvlText w:val="%1."/>
      <w:lvlJc w:val="left"/>
      <w:pPr>
        <w:ind w:left="1800" w:hanging="360"/>
      </w:pPr>
      <w:rPr>
        <w:rFonts w:hint="default"/>
      </w:rPr>
    </w:lvl>
    <w:lvl w:ilvl="1" w:tplc="0C0A0019">
      <w:start w:val="1"/>
      <w:numFmt w:val="lowerLetter"/>
      <w:lvlText w:val="%2."/>
      <w:lvlJc w:val="left"/>
      <w:pPr>
        <w:ind w:left="2520" w:hanging="360"/>
      </w:pPr>
    </w:lvl>
    <w:lvl w:ilvl="2" w:tplc="0C0A001B">
      <w:start w:val="1"/>
      <w:numFmt w:val="lowerRoman"/>
      <w:lvlText w:val="%3."/>
      <w:lvlJc w:val="right"/>
      <w:pPr>
        <w:ind w:left="3240" w:hanging="180"/>
      </w:pPr>
    </w:lvl>
    <w:lvl w:ilvl="3" w:tplc="0C0A000F">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8">
    <w:nsid w:val="5E93761E"/>
    <w:multiLevelType w:val="hybridMultilevel"/>
    <w:tmpl w:val="69C882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F755C1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77540C"/>
    <w:multiLevelType w:val="hybridMultilevel"/>
    <w:tmpl w:val="8864CB0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4625AD1"/>
    <w:multiLevelType w:val="hybridMultilevel"/>
    <w:tmpl w:val="C308A0DA"/>
    <w:lvl w:ilvl="0" w:tplc="327E5A48">
      <w:start w:val="2"/>
      <w:numFmt w:val="bullet"/>
      <w:lvlText w:val="-"/>
      <w:lvlJc w:val="left"/>
      <w:pPr>
        <w:ind w:left="720" w:hanging="360"/>
      </w:pPr>
      <w:rPr>
        <w:rFonts w:ascii="Century Gothic" w:eastAsia="Century Gothic" w:hAnsi="Century Gothic" w:cs="Century Gothic"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5890ADF"/>
    <w:multiLevelType w:val="multilevel"/>
    <w:tmpl w:val="6C2A15F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3">
    <w:nsid w:val="6CB35E29"/>
    <w:multiLevelType w:val="multilevel"/>
    <w:tmpl w:val="6358A606"/>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suff w:val="space"/>
      <w:lvlText w:val="%1.%2.%3"/>
      <w:lvlJc w:val="left"/>
      <w:pPr>
        <w:ind w:left="0" w:firstLine="0"/>
      </w:pPr>
      <w:rPr>
        <w:rFonts w:ascii="Century Gothic" w:hAnsi="Century Gothic" w:hint="default"/>
        <w:b/>
        <w:i w:val="0"/>
        <w:color w:val="000000" w:themeColor="text1"/>
        <w:sz w:val="22"/>
      </w:rPr>
    </w:lvl>
    <w:lvl w:ilvl="3">
      <w:start w:val="1"/>
      <w:numFmt w:val="decimal"/>
      <w:pStyle w:val="Ttulo4"/>
      <w:suff w:val="space"/>
      <w:lvlText w:val="%1.%2.%3.%4"/>
      <w:lvlJc w:val="left"/>
      <w:pPr>
        <w:ind w:left="5671" w:firstLine="0"/>
      </w:pPr>
      <w:rPr>
        <w:rFonts w:hint="default"/>
        <w:color w:val="000000" w:themeColor="text1"/>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4">
    <w:nsid w:val="7133018C"/>
    <w:multiLevelType w:val="hybridMultilevel"/>
    <w:tmpl w:val="209C74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1D7EA0"/>
    <w:multiLevelType w:val="hybridMultilevel"/>
    <w:tmpl w:val="24566712"/>
    <w:lvl w:ilvl="0" w:tplc="0C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6">
    <w:nsid w:val="792C58E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AAA2C5B"/>
    <w:multiLevelType w:val="hybridMultilevel"/>
    <w:tmpl w:val="C8BE97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D67065"/>
    <w:multiLevelType w:val="hybridMultilevel"/>
    <w:tmpl w:val="C5085926"/>
    <w:lvl w:ilvl="0" w:tplc="144CE86A">
      <w:numFmt w:val="bullet"/>
      <w:lvlText w:val="-"/>
      <w:lvlJc w:val="left"/>
      <w:pPr>
        <w:ind w:left="720" w:hanging="360"/>
      </w:pPr>
      <w:rPr>
        <w:rFonts w:ascii="Century Gothic" w:eastAsiaTheme="minorEastAsia"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D905519"/>
    <w:multiLevelType w:val="hybridMultilevel"/>
    <w:tmpl w:val="04AEF6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num>
  <w:num w:numId="2">
    <w:abstractNumId w:val="27"/>
    <w:lvlOverride w:ilvl="0">
      <w:startOverride w:val="2"/>
    </w:lvlOverride>
    <w:lvlOverride w:ilvl="1"/>
    <w:lvlOverride w:ilvl="2"/>
    <w:lvlOverride w:ilvl="3"/>
    <w:lvlOverride w:ilvl="4"/>
    <w:lvlOverride w:ilvl="5"/>
    <w:lvlOverride w:ilvl="6"/>
    <w:lvlOverride w:ilvl="7"/>
    <w:lvlOverride w:ilvl="8"/>
  </w:num>
  <w:num w:numId="3">
    <w:abstractNumId w:val="49"/>
  </w:num>
  <w:num w:numId="4">
    <w:abstractNumId w:val="40"/>
  </w:num>
  <w:num w:numId="5">
    <w:abstractNumId w:val="0"/>
  </w:num>
  <w:num w:numId="6">
    <w:abstractNumId w:val="3"/>
  </w:num>
  <w:num w:numId="7">
    <w:abstractNumId w:val="24"/>
  </w:num>
  <w:num w:numId="8">
    <w:abstractNumId w:val="26"/>
  </w:num>
  <w:num w:numId="9">
    <w:abstractNumId w:val="19"/>
  </w:num>
  <w:num w:numId="10">
    <w:abstractNumId w:val="22"/>
  </w:num>
  <w:num w:numId="11">
    <w:abstractNumId w:val="36"/>
  </w:num>
  <w:num w:numId="12">
    <w:abstractNumId w:val="15"/>
  </w:num>
  <w:num w:numId="13">
    <w:abstractNumId w:val="16"/>
  </w:num>
  <w:num w:numId="14">
    <w:abstractNumId w:val="10"/>
  </w:num>
  <w:num w:numId="15">
    <w:abstractNumId w:val="37"/>
  </w:num>
  <w:num w:numId="16">
    <w:abstractNumId w:val="41"/>
  </w:num>
  <w:num w:numId="17">
    <w:abstractNumId w:val="47"/>
  </w:num>
  <w:num w:numId="18">
    <w:abstractNumId w:val="38"/>
  </w:num>
  <w:num w:numId="19">
    <w:abstractNumId w:val="29"/>
  </w:num>
  <w:num w:numId="20">
    <w:abstractNumId w:val="42"/>
  </w:num>
  <w:num w:numId="21">
    <w:abstractNumId w:val="4"/>
  </w:num>
  <w:num w:numId="22">
    <w:abstractNumId w:val="17"/>
  </w:num>
  <w:num w:numId="23">
    <w:abstractNumId w:val="44"/>
  </w:num>
  <w:num w:numId="24">
    <w:abstractNumId w:val="6"/>
  </w:num>
  <w:num w:numId="25">
    <w:abstractNumId w:val="30"/>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3"/>
  </w:num>
  <w:num w:numId="29">
    <w:abstractNumId w:val="43"/>
  </w:num>
  <w:num w:numId="30">
    <w:abstractNumId w:val="18"/>
  </w:num>
  <w:num w:numId="31">
    <w:abstractNumId w:val="8"/>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0"/>
  </w:num>
  <w:num w:numId="41">
    <w:abstractNumId w:val="1"/>
  </w:num>
  <w:num w:numId="42">
    <w:abstractNumId w:val="31"/>
  </w:num>
  <w:num w:numId="43">
    <w:abstractNumId w:val="2"/>
  </w:num>
  <w:num w:numId="44">
    <w:abstractNumId w:val="25"/>
  </w:num>
  <w:num w:numId="45">
    <w:abstractNumId w:val="12"/>
  </w:num>
  <w:num w:numId="46">
    <w:abstractNumId w:val="48"/>
  </w:num>
  <w:num w:numId="47">
    <w:abstractNumId w:val="32"/>
  </w:num>
  <w:num w:numId="48">
    <w:abstractNumId w:val="33"/>
  </w:num>
  <w:num w:numId="49">
    <w:abstractNumId w:val="45"/>
  </w:num>
  <w:num w:numId="50">
    <w:abstractNumId w:val="5"/>
  </w:num>
  <w:numIdMacAtCleanup w:val="1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ela Peña">
    <w15:presenceInfo w15:providerId="Windows Live" w15:userId="d38c9c5eed3518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1E5"/>
    <w:rsid w:val="0000039C"/>
    <w:rsid w:val="00000CB2"/>
    <w:rsid w:val="0000417F"/>
    <w:rsid w:val="000042CF"/>
    <w:rsid w:val="00007E4C"/>
    <w:rsid w:val="0001178D"/>
    <w:rsid w:val="00011B8B"/>
    <w:rsid w:val="00012DDB"/>
    <w:rsid w:val="00021072"/>
    <w:rsid w:val="00022198"/>
    <w:rsid w:val="000256CC"/>
    <w:rsid w:val="0003294B"/>
    <w:rsid w:val="00033945"/>
    <w:rsid w:val="00035B43"/>
    <w:rsid w:val="00037AA6"/>
    <w:rsid w:val="00046092"/>
    <w:rsid w:val="000473A0"/>
    <w:rsid w:val="0005129F"/>
    <w:rsid w:val="00053351"/>
    <w:rsid w:val="000564C8"/>
    <w:rsid w:val="00057D01"/>
    <w:rsid w:val="00057DC5"/>
    <w:rsid w:val="00062349"/>
    <w:rsid w:val="00063C02"/>
    <w:rsid w:val="00071CFF"/>
    <w:rsid w:val="000825CE"/>
    <w:rsid w:val="00082A17"/>
    <w:rsid w:val="00083067"/>
    <w:rsid w:val="00083BE4"/>
    <w:rsid w:val="000847E8"/>
    <w:rsid w:val="00085216"/>
    <w:rsid w:val="000859D5"/>
    <w:rsid w:val="00086744"/>
    <w:rsid w:val="00090068"/>
    <w:rsid w:val="00095918"/>
    <w:rsid w:val="000A47C3"/>
    <w:rsid w:val="000A4AF9"/>
    <w:rsid w:val="000B0001"/>
    <w:rsid w:val="000B7795"/>
    <w:rsid w:val="000C2358"/>
    <w:rsid w:val="000C5886"/>
    <w:rsid w:val="000C7B27"/>
    <w:rsid w:val="000D2FE2"/>
    <w:rsid w:val="000D604B"/>
    <w:rsid w:val="000E0BC6"/>
    <w:rsid w:val="000E2932"/>
    <w:rsid w:val="000E4ED4"/>
    <w:rsid w:val="000E64D3"/>
    <w:rsid w:val="000F152B"/>
    <w:rsid w:val="000F3380"/>
    <w:rsid w:val="000F3479"/>
    <w:rsid w:val="000F42A5"/>
    <w:rsid w:val="000F5DF6"/>
    <w:rsid w:val="000F6011"/>
    <w:rsid w:val="000F7273"/>
    <w:rsid w:val="001007B2"/>
    <w:rsid w:val="001021B3"/>
    <w:rsid w:val="00102B62"/>
    <w:rsid w:val="001030FC"/>
    <w:rsid w:val="00107C1B"/>
    <w:rsid w:val="001143C3"/>
    <w:rsid w:val="001174F6"/>
    <w:rsid w:val="00123DE3"/>
    <w:rsid w:val="00124249"/>
    <w:rsid w:val="0013149A"/>
    <w:rsid w:val="00134A51"/>
    <w:rsid w:val="00134C61"/>
    <w:rsid w:val="00141A5A"/>
    <w:rsid w:val="00142385"/>
    <w:rsid w:val="0014662F"/>
    <w:rsid w:val="00147454"/>
    <w:rsid w:val="00152D1E"/>
    <w:rsid w:val="00154101"/>
    <w:rsid w:val="00156EBE"/>
    <w:rsid w:val="0015717A"/>
    <w:rsid w:val="001603BE"/>
    <w:rsid w:val="00160476"/>
    <w:rsid w:val="0016186A"/>
    <w:rsid w:val="00163B40"/>
    <w:rsid w:val="00163BB4"/>
    <w:rsid w:val="0017055A"/>
    <w:rsid w:val="00172D16"/>
    <w:rsid w:val="00176DB3"/>
    <w:rsid w:val="001778DA"/>
    <w:rsid w:val="001800FE"/>
    <w:rsid w:val="00181ED0"/>
    <w:rsid w:val="00182780"/>
    <w:rsid w:val="00184C28"/>
    <w:rsid w:val="001854C1"/>
    <w:rsid w:val="0018656C"/>
    <w:rsid w:val="0018707B"/>
    <w:rsid w:val="001876D7"/>
    <w:rsid w:val="00195B41"/>
    <w:rsid w:val="00195B59"/>
    <w:rsid w:val="001978E4"/>
    <w:rsid w:val="001A1265"/>
    <w:rsid w:val="001A3514"/>
    <w:rsid w:val="001A3BD2"/>
    <w:rsid w:val="001B58B4"/>
    <w:rsid w:val="001C4151"/>
    <w:rsid w:val="001C5C47"/>
    <w:rsid w:val="001D4AD4"/>
    <w:rsid w:val="001D50F7"/>
    <w:rsid w:val="001D68C9"/>
    <w:rsid w:val="001E0CE4"/>
    <w:rsid w:val="001E14F9"/>
    <w:rsid w:val="001E2110"/>
    <w:rsid w:val="001E4D04"/>
    <w:rsid w:val="001F26FF"/>
    <w:rsid w:val="001F43EB"/>
    <w:rsid w:val="001F7AAF"/>
    <w:rsid w:val="0020393F"/>
    <w:rsid w:val="00203992"/>
    <w:rsid w:val="00205877"/>
    <w:rsid w:val="002063D1"/>
    <w:rsid w:val="00213D43"/>
    <w:rsid w:val="0021522A"/>
    <w:rsid w:val="002166C8"/>
    <w:rsid w:val="002170E7"/>
    <w:rsid w:val="00220CAB"/>
    <w:rsid w:val="00222616"/>
    <w:rsid w:val="00222D24"/>
    <w:rsid w:val="00223487"/>
    <w:rsid w:val="00231C1F"/>
    <w:rsid w:val="0023287D"/>
    <w:rsid w:val="0023391B"/>
    <w:rsid w:val="002340A5"/>
    <w:rsid w:val="00237568"/>
    <w:rsid w:val="00240058"/>
    <w:rsid w:val="002401C3"/>
    <w:rsid w:val="002408EA"/>
    <w:rsid w:val="0024166B"/>
    <w:rsid w:val="00243557"/>
    <w:rsid w:val="002435AC"/>
    <w:rsid w:val="00246EEC"/>
    <w:rsid w:val="00251F55"/>
    <w:rsid w:val="002541B4"/>
    <w:rsid w:val="00255631"/>
    <w:rsid w:val="00255D27"/>
    <w:rsid w:val="00256190"/>
    <w:rsid w:val="002575CA"/>
    <w:rsid w:val="002605A5"/>
    <w:rsid w:val="00262735"/>
    <w:rsid w:val="0026344A"/>
    <w:rsid w:val="0026398B"/>
    <w:rsid w:val="00264A69"/>
    <w:rsid w:val="00271309"/>
    <w:rsid w:val="00272F82"/>
    <w:rsid w:val="00276C18"/>
    <w:rsid w:val="0027711B"/>
    <w:rsid w:val="0027750C"/>
    <w:rsid w:val="002806C0"/>
    <w:rsid w:val="00280ACB"/>
    <w:rsid w:val="00287B33"/>
    <w:rsid w:val="002918C1"/>
    <w:rsid w:val="00293098"/>
    <w:rsid w:val="00293BF5"/>
    <w:rsid w:val="00295317"/>
    <w:rsid w:val="00295707"/>
    <w:rsid w:val="002A01C6"/>
    <w:rsid w:val="002A1482"/>
    <w:rsid w:val="002A18A3"/>
    <w:rsid w:val="002A2826"/>
    <w:rsid w:val="002A28F3"/>
    <w:rsid w:val="002A2EEE"/>
    <w:rsid w:val="002A6B52"/>
    <w:rsid w:val="002B000B"/>
    <w:rsid w:val="002B18BE"/>
    <w:rsid w:val="002B261B"/>
    <w:rsid w:val="002B6BA6"/>
    <w:rsid w:val="002C3451"/>
    <w:rsid w:val="002C54A7"/>
    <w:rsid w:val="002D2CB9"/>
    <w:rsid w:val="002D3259"/>
    <w:rsid w:val="002D372A"/>
    <w:rsid w:val="002D48D5"/>
    <w:rsid w:val="002E0C08"/>
    <w:rsid w:val="002E3549"/>
    <w:rsid w:val="002E4C0F"/>
    <w:rsid w:val="002E5A87"/>
    <w:rsid w:val="002E5F94"/>
    <w:rsid w:val="002E74C9"/>
    <w:rsid w:val="002E7971"/>
    <w:rsid w:val="002F6022"/>
    <w:rsid w:val="002F7986"/>
    <w:rsid w:val="00304F40"/>
    <w:rsid w:val="00311E14"/>
    <w:rsid w:val="00314591"/>
    <w:rsid w:val="003151C5"/>
    <w:rsid w:val="00322097"/>
    <w:rsid w:val="00322B55"/>
    <w:rsid w:val="003260EB"/>
    <w:rsid w:val="00330184"/>
    <w:rsid w:val="00330847"/>
    <w:rsid w:val="00331678"/>
    <w:rsid w:val="003326D5"/>
    <w:rsid w:val="003364C5"/>
    <w:rsid w:val="00336769"/>
    <w:rsid w:val="00336DEE"/>
    <w:rsid w:val="00337B15"/>
    <w:rsid w:val="003409C2"/>
    <w:rsid w:val="00341016"/>
    <w:rsid w:val="00344262"/>
    <w:rsid w:val="003468A7"/>
    <w:rsid w:val="00346E3F"/>
    <w:rsid w:val="00346EA3"/>
    <w:rsid w:val="00350B40"/>
    <w:rsid w:val="00353666"/>
    <w:rsid w:val="00354978"/>
    <w:rsid w:val="00355336"/>
    <w:rsid w:val="003608DC"/>
    <w:rsid w:val="00360B65"/>
    <w:rsid w:val="003619AF"/>
    <w:rsid w:val="00361B80"/>
    <w:rsid w:val="00362684"/>
    <w:rsid w:val="0036347D"/>
    <w:rsid w:val="00365686"/>
    <w:rsid w:val="00365EF1"/>
    <w:rsid w:val="00367767"/>
    <w:rsid w:val="003713FE"/>
    <w:rsid w:val="0037382F"/>
    <w:rsid w:val="003763EF"/>
    <w:rsid w:val="00376685"/>
    <w:rsid w:val="00384866"/>
    <w:rsid w:val="00384D09"/>
    <w:rsid w:val="00394A25"/>
    <w:rsid w:val="00394D76"/>
    <w:rsid w:val="0039763E"/>
    <w:rsid w:val="003A26F6"/>
    <w:rsid w:val="003A2979"/>
    <w:rsid w:val="003A301F"/>
    <w:rsid w:val="003A4021"/>
    <w:rsid w:val="003B1F45"/>
    <w:rsid w:val="003B3141"/>
    <w:rsid w:val="003B3D3C"/>
    <w:rsid w:val="003B481B"/>
    <w:rsid w:val="003B52CB"/>
    <w:rsid w:val="003B578E"/>
    <w:rsid w:val="003B6432"/>
    <w:rsid w:val="003B69A2"/>
    <w:rsid w:val="003B6A1C"/>
    <w:rsid w:val="003B72B3"/>
    <w:rsid w:val="003B770E"/>
    <w:rsid w:val="003C01E5"/>
    <w:rsid w:val="003C0FD7"/>
    <w:rsid w:val="003C1733"/>
    <w:rsid w:val="003C1AD2"/>
    <w:rsid w:val="003C4A55"/>
    <w:rsid w:val="003D1259"/>
    <w:rsid w:val="003D23C8"/>
    <w:rsid w:val="003D3B7F"/>
    <w:rsid w:val="003D3EFA"/>
    <w:rsid w:val="003D4D01"/>
    <w:rsid w:val="003D6D8F"/>
    <w:rsid w:val="003D7CA0"/>
    <w:rsid w:val="003E031A"/>
    <w:rsid w:val="003E0D35"/>
    <w:rsid w:val="003E154F"/>
    <w:rsid w:val="003E1962"/>
    <w:rsid w:val="003E3226"/>
    <w:rsid w:val="003E42C7"/>
    <w:rsid w:val="003F128E"/>
    <w:rsid w:val="003F1CB6"/>
    <w:rsid w:val="003F3CCD"/>
    <w:rsid w:val="003F4F32"/>
    <w:rsid w:val="003F5945"/>
    <w:rsid w:val="003F5FF5"/>
    <w:rsid w:val="003F6062"/>
    <w:rsid w:val="003F672D"/>
    <w:rsid w:val="003F6DF4"/>
    <w:rsid w:val="003F70CB"/>
    <w:rsid w:val="003F73B9"/>
    <w:rsid w:val="00400D70"/>
    <w:rsid w:val="00402556"/>
    <w:rsid w:val="004079AD"/>
    <w:rsid w:val="00411AB1"/>
    <w:rsid w:val="0041201B"/>
    <w:rsid w:val="00412B65"/>
    <w:rsid w:val="00423CCC"/>
    <w:rsid w:val="004251F5"/>
    <w:rsid w:val="004311F0"/>
    <w:rsid w:val="0043452E"/>
    <w:rsid w:val="00435278"/>
    <w:rsid w:val="004374DB"/>
    <w:rsid w:val="00437F1D"/>
    <w:rsid w:val="00441A01"/>
    <w:rsid w:val="00444B5E"/>
    <w:rsid w:val="00454B5A"/>
    <w:rsid w:val="004553F1"/>
    <w:rsid w:val="00456B83"/>
    <w:rsid w:val="004574CA"/>
    <w:rsid w:val="0045797F"/>
    <w:rsid w:val="004579FD"/>
    <w:rsid w:val="00461E2F"/>
    <w:rsid w:val="00463DCE"/>
    <w:rsid w:val="00467CAC"/>
    <w:rsid w:val="00471338"/>
    <w:rsid w:val="004722AA"/>
    <w:rsid w:val="004723C1"/>
    <w:rsid w:val="00473499"/>
    <w:rsid w:val="004743DA"/>
    <w:rsid w:val="00474C36"/>
    <w:rsid w:val="00477260"/>
    <w:rsid w:val="0047769B"/>
    <w:rsid w:val="00480F21"/>
    <w:rsid w:val="00483124"/>
    <w:rsid w:val="00485156"/>
    <w:rsid w:val="0048690C"/>
    <w:rsid w:val="00486F2C"/>
    <w:rsid w:val="00491112"/>
    <w:rsid w:val="00491DA9"/>
    <w:rsid w:val="00495038"/>
    <w:rsid w:val="004952F2"/>
    <w:rsid w:val="0049544A"/>
    <w:rsid w:val="00496B58"/>
    <w:rsid w:val="00496C8C"/>
    <w:rsid w:val="004A0D2B"/>
    <w:rsid w:val="004A2E30"/>
    <w:rsid w:val="004A674F"/>
    <w:rsid w:val="004B30BF"/>
    <w:rsid w:val="004B312B"/>
    <w:rsid w:val="004B70D0"/>
    <w:rsid w:val="004B74F5"/>
    <w:rsid w:val="004C1FCB"/>
    <w:rsid w:val="004C3C5C"/>
    <w:rsid w:val="004D3A7D"/>
    <w:rsid w:val="004D4454"/>
    <w:rsid w:val="004D4A8A"/>
    <w:rsid w:val="004D78EF"/>
    <w:rsid w:val="004E08E4"/>
    <w:rsid w:val="004E1EA6"/>
    <w:rsid w:val="004E47FF"/>
    <w:rsid w:val="004E7BCD"/>
    <w:rsid w:val="004E7C15"/>
    <w:rsid w:val="004F06A6"/>
    <w:rsid w:val="004F2E17"/>
    <w:rsid w:val="004F3278"/>
    <w:rsid w:val="004F37BD"/>
    <w:rsid w:val="004F5BDD"/>
    <w:rsid w:val="00501551"/>
    <w:rsid w:val="00506F26"/>
    <w:rsid w:val="00507A74"/>
    <w:rsid w:val="00510E2C"/>
    <w:rsid w:val="005113F0"/>
    <w:rsid w:val="005128E1"/>
    <w:rsid w:val="00516436"/>
    <w:rsid w:val="00521BC9"/>
    <w:rsid w:val="00530B30"/>
    <w:rsid w:val="00532546"/>
    <w:rsid w:val="00534858"/>
    <w:rsid w:val="00535B4E"/>
    <w:rsid w:val="00536239"/>
    <w:rsid w:val="00537AF7"/>
    <w:rsid w:val="00541322"/>
    <w:rsid w:val="00541423"/>
    <w:rsid w:val="00541BC1"/>
    <w:rsid w:val="00544433"/>
    <w:rsid w:val="00545AB9"/>
    <w:rsid w:val="00546CFC"/>
    <w:rsid w:val="005474CE"/>
    <w:rsid w:val="00547683"/>
    <w:rsid w:val="00552486"/>
    <w:rsid w:val="00553246"/>
    <w:rsid w:val="00553B52"/>
    <w:rsid w:val="00554C44"/>
    <w:rsid w:val="005607F9"/>
    <w:rsid w:val="00560D13"/>
    <w:rsid w:val="00562BDC"/>
    <w:rsid w:val="0056368A"/>
    <w:rsid w:val="00566D98"/>
    <w:rsid w:val="00566F77"/>
    <w:rsid w:val="00575794"/>
    <w:rsid w:val="0057757D"/>
    <w:rsid w:val="0057763D"/>
    <w:rsid w:val="005835E7"/>
    <w:rsid w:val="00583696"/>
    <w:rsid w:val="00583790"/>
    <w:rsid w:val="005843E9"/>
    <w:rsid w:val="00586226"/>
    <w:rsid w:val="00590476"/>
    <w:rsid w:val="005960D3"/>
    <w:rsid w:val="0059668B"/>
    <w:rsid w:val="00596A0C"/>
    <w:rsid w:val="00596E26"/>
    <w:rsid w:val="00597F21"/>
    <w:rsid w:val="005A07E6"/>
    <w:rsid w:val="005A6565"/>
    <w:rsid w:val="005B0199"/>
    <w:rsid w:val="005B41DD"/>
    <w:rsid w:val="005B4C8C"/>
    <w:rsid w:val="005B51C2"/>
    <w:rsid w:val="005B5438"/>
    <w:rsid w:val="005C1112"/>
    <w:rsid w:val="005C2AC9"/>
    <w:rsid w:val="005C2AF3"/>
    <w:rsid w:val="005C4882"/>
    <w:rsid w:val="005C63A7"/>
    <w:rsid w:val="005C7E67"/>
    <w:rsid w:val="005D4FAA"/>
    <w:rsid w:val="005D56FA"/>
    <w:rsid w:val="005D61AE"/>
    <w:rsid w:val="005D6B24"/>
    <w:rsid w:val="005E0692"/>
    <w:rsid w:val="005E564F"/>
    <w:rsid w:val="005F1FE9"/>
    <w:rsid w:val="005F22B9"/>
    <w:rsid w:val="005F2558"/>
    <w:rsid w:val="005F2EF5"/>
    <w:rsid w:val="005F5A69"/>
    <w:rsid w:val="00601383"/>
    <w:rsid w:val="006050BF"/>
    <w:rsid w:val="006109EF"/>
    <w:rsid w:val="0061114E"/>
    <w:rsid w:val="0061368E"/>
    <w:rsid w:val="00615661"/>
    <w:rsid w:val="00620330"/>
    <w:rsid w:val="0063288F"/>
    <w:rsid w:val="00634F89"/>
    <w:rsid w:val="0064317D"/>
    <w:rsid w:val="00646AF3"/>
    <w:rsid w:val="00646B6D"/>
    <w:rsid w:val="006515AA"/>
    <w:rsid w:val="006554EE"/>
    <w:rsid w:val="00657C6D"/>
    <w:rsid w:val="00661181"/>
    <w:rsid w:val="00661706"/>
    <w:rsid w:val="006624CC"/>
    <w:rsid w:val="006649CB"/>
    <w:rsid w:val="006675A2"/>
    <w:rsid w:val="00667CEE"/>
    <w:rsid w:val="00671D53"/>
    <w:rsid w:val="00673958"/>
    <w:rsid w:val="00675B10"/>
    <w:rsid w:val="00675D0D"/>
    <w:rsid w:val="00676AFD"/>
    <w:rsid w:val="00677466"/>
    <w:rsid w:val="00680417"/>
    <w:rsid w:val="0068277C"/>
    <w:rsid w:val="0068297A"/>
    <w:rsid w:val="00684104"/>
    <w:rsid w:val="00690F34"/>
    <w:rsid w:val="006A0CCC"/>
    <w:rsid w:val="006A0D59"/>
    <w:rsid w:val="006A5E65"/>
    <w:rsid w:val="006B0446"/>
    <w:rsid w:val="006B05EB"/>
    <w:rsid w:val="006B0DEA"/>
    <w:rsid w:val="006B2E10"/>
    <w:rsid w:val="006B59E5"/>
    <w:rsid w:val="006B5A37"/>
    <w:rsid w:val="006B5CF2"/>
    <w:rsid w:val="006C0B4D"/>
    <w:rsid w:val="006C0E07"/>
    <w:rsid w:val="006C1906"/>
    <w:rsid w:val="006C1CD3"/>
    <w:rsid w:val="006C2420"/>
    <w:rsid w:val="006C27AA"/>
    <w:rsid w:val="006C400F"/>
    <w:rsid w:val="006E0A74"/>
    <w:rsid w:val="006E4C11"/>
    <w:rsid w:val="006F250B"/>
    <w:rsid w:val="006F38EE"/>
    <w:rsid w:val="006F53F6"/>
    <w:rsid w:val="00704887"/>
    <w:rsid w:val="00707202"/>
    <w:rsid w:val="00710060"/>
    <w:rsid w:val="0071426C"/>
    <w:rsid w:val="0071587C"/>
    <w:rsid w:val="00716012"/>
    <w:rsid w:val="007169D7"/>
    <w:rsid w:val="00716FC3"/>
    <w:rsid w:val="00721BEA"/>
    <w:rsid w:val="00723C71"/>
    <w:rsid w:val="00730779"/>
    <w:rsid w:val="00731419"/>
    <w:rsid w:val="00732338"/>
    <w:rsid w:val="00732447"/>
    <w:rsid w:val="00735A58"/>
    <w:rsid w:val="00735C1B"/>
    <w:rsid w:val="00736394"/>
    <w:rsid w:val="007408A1"/>
    <w:rsid w:val="0074408E"/>
    <w:rsid w:val="00752047"/>
    <w:rsid w:val="00757B5E"/>
    <w:rsid w:val="00757BB1"/>
    <w:rsid w:val="00757C49"/>
    <w:rsid w:val="0076132C"/>
    <w:rsid w:val="00761BF8"/>
    <w:rsid w:val="00762E4A"/>
    <w:rsid w:val="00764DC0"/>
    <w:rsid w:val="00765ADC"/>
    <w:rsid w:val="007672CF"/>
    <w:rsid w:val="0077067B"/>
    <w:rsid w:val="00772E1B"/>
    <w:rsid w:val="00774F37"/>
    <w:rsid w:val="00775748"/>
    <w:rsid w:val="00775A67"/>
    <w:rsid w:val="00775DED"/>
    <w:rsid w:val="00776DCA"/>
    <w:rsid w:val="00786E1D"/>
    <w:rsid w:val="0079134B"/>
    <w:rsid w:val="0079336B"/>
    <w:rsid w:val="007954B9"/>
    <w:rsid w:val="00796945"/>
    <w:rsid w:val="007A0261"/>
    <w:rsid w:val="007A0E71"/>
    <w:rsid w:val="007A1EF0"/>
    <w:rsid w:val="007A7512"/>
    <w:rsid w:val="007B11C8"/>
    <w:rsid w:val="007B36FB"/>
    <w:rsid w:val="007B3CE4"/>
    <w:rsid w:val="007B4906"/>
    <w:rsid w:val="007C37BE"/>
    <w:rsid w:val="007C7D11"/>
    <w:rsid w:val="007C7E2A"/>
    <w:rsid w:val="007D06F3"/>
    <w:rsid w:val="007E2B8B"/>
    <w:rsid w:val="007F20B0"/>
    <w:rsid w:val="007F25CC"/>
    <w:rsid w:val="007F3C85"/>
    <w:rsid w:val="007F3E31"/>
    <w:rsid w:val="007F77F8"/>
    <w:rsid w:val="008028D4"/>
    <w:rsid w:val="00802CDB"/>
    <w:rsid w:val="00810E22"/>
    <w:rsid w:val="008113ED"/>
    <w:rsid w:val="00817BC8"/>
    <w:rsid w:val="008210C8"/>
    <w:rsid w:val="00823E66"/>
    <w:rsid w:val="00825839"/>
    <w:rsid w:val="00826476"/>
    <w:rsid w:val="008303FD"/>
    <w:rsid w:val="00834C56"/>
    <w:rsid w:val="00835208"/>
    <w:rsid w:val="00836805"/>
    <w:rsid w:val="00836EA1"/>
    <w:rsid w:val="0084233B"/>
    <w:rsid w:val="008436C7"/>
    <w:rsid w:val="00846C03"/>
    <w:rsid w:val="0084754D"/>
    <w:rsid w:val="00851090"/>
    <w:rsid w:val="0085232E"/>
    <w:rsid w:val="00852B6E"/>
    <w:rsid w:val="008558ED"/>
    <w:rsid w:val="00855DCD"/>
    <w:rsid w:val="00864157"/>
    <w:rsid w:val="00870C41"/>
    <w:rsid w:val="00871201"/>
    <w:rsid w:val="00872A25"/>
    <w:rsid w:val="00872D48"/>
    <w:rsid w:val="00877677"/>
    <w:rsid w:val="00877C43"/>
    <w:rsid w:val="00880E74"/>
    <w:rsid w:val="008811D7"/>
    <w:rsid w:val="008818FA"/>
    <w:rsid w:val="008830F1"/>
    <w:rsid w:val="00884319"/>
    <w:rsid w:val="00885292"/>
    <w:rsid w:val="00887EF9"/>
    <w:rsid w:val="00892389"/>
    <w:rsid w:val="0089238E"/>
    <w:rsid w:val="00893D41"/>
    <w:rsid w:val="008954F2"/>
    <w:rsid w:val="00896530"/>
    <w:rsid w:val="008A15B6"/>
    <w:rsid w:val="008A1ECB"/>
    <w:rsid w:val="008A72A2"/>
    <w:rsid w:val="008A759A"/>
    <w:rsid w:val="008B113A"/>
    <w:rsid w:val="008B1FB9"/>
    <w:rsid w:val="008B2F07"/>
    <w:rsid w:val="008B3C84"/>
    <w:rsid w:val="008B4D94"/>
    <w:rsid w:val="008C08CB"/>
    <w:rsid w:val="008C133E"/>
    <w:rsid w:val="008C207D"/>
    <w:rsid w:val="008C2E35"/>
    <w:rsid w:val="008C30EC"/>
    <w:rsid w:val="008C4501"/>
    <w:rsid w:val="008C75CC"/>
    <w:rsid w:val="008C7EED"/>
    <w:rsid w:val="008D0C7C"/>
    <w:rsid w:val="008D1CE3"/>
    <w:rsid w:val="008D29DA"/>
    <w:rsid w:val="008D670B"/>
    <w:rsid w:val="008D6F1C"/>
    <w:rsid w:val="008D7852"/>
    <w:rsid w:val="008E0DF3"/>
    <w:rsid w:val="008E0E6B"/>
    <w:rsid w:val="008E2D73"/>
    <w:rsid w:val="008E4045"/>
    <w:rsid w:val="008E5976"/>
    <w:rsid w:val="008E5B51"/>
    <w:rsid w:val="008F1B6A"/>
    <w:rsid w:val="008F1E8E"/>
    <w:rsid w:val="008F2CCD"/>
    <w:rsid w:val="008F2D7D"/>
    <w:rsid w:val="008F5A70"/>
    <w:rsid w:val="009008DB"/>
    <w:rsid w:val="009010DD"/>
    <w:rsid w:val="00904221"/>
    <w:rsid w:val="00905462"/>
    <w:rsid w:val="00912392"/>
    <w:rsid w:val="00913BB1"/>
    <w:rsid w:val="0091793D"/>
    <w:rsid w:val="009201E5"/>
    <w:rsid w:val="009210B3"/>
    <w:rsid w:val="00921766"/>
    <w:rsid w:val="0093120D"/>
    <w:rsid w:val="009334D8"/>
    <w:rsid w:val="00934BA3"/>
    <w:rsid w:val="00936FE3"/>
    <w:rsid w:val="0094088A"/>
    <w:rsid w:val="00940F88"/>
    <w:rsid w:val="0094168B"/>
    <w:rsid w:val="00942426"/>
    <w:rsid w:val="009438FE"/>
    <w:rsid w:val="009456BF"/>
    <w:rsid w:val="009503D3"/>
    <w:rsid w:val="00950ACD"/>
    <w:rsid w:val="00952745"/>
    <w:rsid w:val="00955850"/>
    <w:rsid w:val="00957A51"/>
    <w:rsid w:val="00957D4E"/>
    <w:rsid w:val="00961246"/>
    <w:rsid w:val="0096128E"/>
    <w:rsid w:val="009728D8"/>
    <w:rsid w:val="00972B50"/>
    <w:rsid w:val="009743B0"/>
    <w:rsid w:val="009814E6"/>
    <w:rsid w:val="00981682"/>
    <w:rsid w:val="00982068"/>
    <w:rsid w:val="00983026"/>
    <w:rsid w:val="0098372B"/>
    <w:rsid w:val="009931F5"/>
    <w:rsid w:val="009958A7"/>
    <w:rsid w:val="00995942"/>
    <w:rsid w:val="00996BC7"/>
    <w:rsid w:val="0099746C"/>
    <w:rsid w:val="009A2127"/>
    <w:rsid w:val="009A26F0"/>
    <w:rsid w:val="009A6258"/>
    <w:rsid w:val="009B0045"/>
    <w:rsid w:val="009B0A3C"/>
    <w:rsid w:val="009B1C7F"/>
    <w:rsid w:val="009B3F29"/>
    <w:rsid w:val="009C16A5"/>
    <w:rsid w:val="009C2EFD"/>
    <w:rsid w:val="009D01BE"/>
    <w:rsid w:val="009D188F"/>
    <w:rsid w:val="009D2B6B"/>
    <w:rsid w:val="009D56F8"/>
    <w:rsid w:val="009E0099"/>
    <w:rsid w:val="009E3AB7"/>
    <w:rsid w:val="009E5250"/>
    <w:rsid w:val="009E57EE"/>
    <w:rsid w:val="009E7E89"/>
    <w:rsid w:val="009F2F46"/>
    <w:rsid w:val="009F4248"/>
    <w:rsid w:val="009F56B5"/>
    <w:rsid w:val="009F598A"/>
    <w:rsid w:val="00A02A7A"/>
    <w:rsid w:val="00A074F2"/>
    <w:rsid w:val="00A075C2"/>
    <w:rsid w:val="00A07E3E"/>
    <w:rsid w:val="00A110FA"/>
    <w:rsid w:val="00A15ABC"/>
    <w:rsid w:val="00A1717F"/>
    <w:rsid w:val="00A17D7A"/>
    <w:rsid w:val="00A17E09"/>
    <w:rsid w:val="00A17E3F"/>
    <w:rsid w:val="00A21F23"/>
    <w:rsid w:val="00A241EF"/>
    <w:rsid w:val="00A3143C"/>
    <w:rsid w:val="00A36864"/>
    <w:rsid w:val="00A439A1"/>
    <w:rsid w:val="00A44CB3"/>
    <w:rsid w:val="00A50018"/>
    <w:rsid w:val="00A53AA4"/>
    <w:rsid w:val="00A57771"/>
    <w:rsid w:val="00A607DC"/>
    <w:rsid w:val="00A63FB0"/>
    <w:rsid w:val="00A64E18"/>
    <w:rsid w:val="00A65614"/>
    <w:rsid w:val="00A72945"/>
    <w:rsid w:val="00A76730"/>
    <w:rsid w:val="00A81EC8"/>
    <w:rsid w:val="00A821CB"/>
    <w:rsid w:val="00A8358C"/>
    <w:rsid w:val="00A8373D"/>
    <w:rsid w:val="00A83A24"/>
    <w:rsid w:val="00A84D0E"/>
    <w:rsid w:val="00A87A4F"/>
    <w:rsid w:val="00A91802"/>
    <w:rsid w:val="00A93C6C"/>
    <w:rsid w:val="00A94F62"/>
    <w:rsid w:val="00A97640"/>
    <w:rsid w:val="00AA1B69"/>
    <w:rsid w:val="00AA2AFA"/>
    <w:rsid w:val="00AA639F"/>
    <w:rsid w:val="00AB385A"/>
    <w:rsid w:val="00AB48FE"/>
    <w:rsid w:val="00AB5A78"/>
    <w:rsid w:val="00AB69F5"/>
    <w:rsid w:val="00AC11F7"/>
    <w:rsid w:val="00AC13C9"/>
    <w:rsid w:val="00AC32FC"/>
    <w:rsid w:val="00AC3CE7"/>
    <w:rsid w:val="00AC58CA"/>
    <w:rsid w:val="00AD0284"/>
    <w:rsid w:val="00AD2C56"/>
    <w:rsid w:val="00AD3258"/>
    <w:rsid w:val="00AD3E93"/>
    <w:rsid w:val="00AD412A"/>
    <w:rsid w:val="00AD46DD"/>
    <w:rsid w:val="00AD7156"/>
    <w:rsid w:val="00AE081B"/>
    <w:rsid w:val="00AE1197"/>
    <w:rsid w:val="00AE167C"/>
    <w:rsid w:val="00AE31E7"/>
    <w:rsid w:val="00AE5E54"/>
    <w:rsid w:val="00AE6073"/>
    <w:rsid w:val="00AE7279"/>
    <w:rsid w:val="00AF27E4"/>
    <w:rsid w:val="00AF28D3"/>
    <w:rsid w:val="00AF2D5C"/>
    <w:rsid w:val="00AF47C8"/>
    <w:rsid w:val="00B011D8"/>
    <w:rsid w:val="00B06891"/>
    <w:rsid w:val="00B1134B"/>
    <w:rsid w:val="00B124C8"/>
    <w:rsid w:val="00B152DD"/>
    <w:rsid w:val="00B15F8A"/>
    <w:rsid w:val="00B169CB"/>
    <w:rsid w:val="00B16B62"/>
    <w:rsid w:val="00B2129A"/>
    <w:rsid w:val="00B24451"/>
    <w:rsid w:val="00B245CA"/>
    <w:rsid w:val="00B2594D"/>
    <w:rsid w:val="00B25BD7"/>
    <w:rsid w:val="00B261F6"/>
    <w:rsid w:val="00B352D5"/>
    <w:rsid w:val="00B35CCE"/>
    <w:rsid w:val="00B371D2"/>
    <w:rsid w:val="00B404CF"/>
    <w:rsid w:val="00B40DF4"/>
    <w:rsid w:val="00B40FB4"/>
    <w:rsid w:val="00B5595A"/>
    <w:rsid w:val="00B56899"/>
    <w:rsid w:val="00B606E8"/>
    <w:rsid w:val="00B62087"/>
    <w:rsid w:val="00B630FC"/>
    <w:rsid w:val="00B64BC3"/>
    <w:rsid w:val="00B70EFB"/>
    <w:rsid w:val="00B7406B"/>
    <w:rsid w:val="00B750BC"/>
    <w:rsid w:val="00B750F1"/>
    <w:rsid w:val="00B76219"/>
    <w:rsid w:val="00B77874"/>
    <w:rsid w:val="00B93AEC"/>
    <w:rsid w:val="00B9507F"/>
    <w:rsid w:val="00B95362"/>
    <w:rsid w:val="00B95743"/>
    <w:rsid w:val="00BA01F5"/>
    <w:rsid w:val="00BA2149"/>
    <w:rsid w:val="00BA2EF6"/>
    <w:rsid w:val="00BA6F83"/>
    <w:rsid w:val="00BB1221"/>
    <w:rsid w:val="00BC040B"/>
    <w:rsid w:val="00BC4CED"/>
    <w:rsid w:val="00BC5A58"/>
    <w:rsid w:val="00BC5F50"/>
    <w:rsid w:val="00BC682E"/>
    <w:rsid w:val="00BC6D66"/>
    <w:rsid w:val="00BC762F"/>
    <w:rsid w:val="00BD1243"/>
    <w:rsid w:val="00BD320F"/>
    <w:rsid w:val="00BD606D"/>
    <w:rsid w:val="00BD6743"/>
    <w:rsid w:val="00BD724E"/>
    <w:rsid w:val="00BD7F1F"/>
    <w:rsid w:val="00BE358C"/>
    <w:rsid w:val="00BE60AE"/>
    <w:rsid w:val="00BE6B3F"/>
    <w:rsid w:val="00BF6594"/>
    <w:rsid w:val="00C01729"/>
    <w:rsid w:val="00C159AA"/>
    <w:rsid w:val="00C2735F"/>
    <w:rsid w:val="00C32D24"/>
    <w:rsid w:val="00C33E0B"/>
    <w:rsid w:val="00C34DD9"/>
    <w:rsid w:val="00C3599C"/>
    <w:rsid w:val="00C41966"/>
    <w:rsid w:val="00C442D2"/>
    <w:rsid w:val="00C44BEC"/>
    <w:rsid w:val="00C45AAC"/>
    <w:rsid w:val="00C473BC"/>
    <w:rsid w:val="00C54EB0"/>
    <w:rsid w:val="00C56DE6"/>
    <w:rsid w:val="00C57ADC"/>
    <w:rsid w:val="00C6277E"/>
    <w:rsid w:val="00C63357"/>
    <w:rsid w:val="00C6596F"/>
    <w:rsid w:val="00C71A64"/>
    <w:rsid w:val="00C71F26"/>
    <w:rsid w:val="00C729B8"/>
    <w:rsid w:val="00C75686"/>
    <w:rsid w:val="00C76A04"/>
    <w:rsid w:val="00C80688"/>
    <w:rsid w:val="00C84032"/>
    <w:rsid w:val="00C85813"/>
    <w:rsid w:val="00C859BC"/>
    <w:rsid w:val="00C8765D"/>
    <w:rsid w:val="00C9081B"/>
    <w:rsid w:val="00C920A8"/>
    <w:rsid w:val="00C9378E"/>
    <w:rsid w:val="00C944A7"/>
    <w:rsid w:val="00C94944"/>
    <w:rsid w:val="00C97006"/>
    <w:rsid w:val="00CA3E66"/>
    <w:rsid w:val="00CA45DF"/>
    <w:rsid w:val="00CA4B8C"/>
    <w:rsid w:val="00CA4C16"/>
    <w:rsid w:val="00CA568E"/>
    <w:rsid w:val="00CA56B0"/>
    <w:rsid w:val="00CA5DE9"/>
    <w:rsid w:val="00CA63B8"/>
    <w:rsid w:val="00CA718E"/>
    <w:rsid w:val="00CB728C"/>
    <w:rsid w:val="00CB7639"/>
    <w:rsid w:val="00CB7D73"/>
    <w:rsid w:val="00CC0DC8"/>
    <w:rsid w:val="00CC360E"/>
    <w:rsid w:val="00CC4430"/>
    <w:rsid w:val="00CC57D7"/>
    <w:rsid w:val="00CD0559"/>
    <w:rsid w:val="00CD310C"/>
    <w:rsid w:val="00CD3CA0"/>
    <w:rsid w:val="00CD4415"/>
    <w:rsid w:val="00CD4CC2"/>
    <w:rsid w:val="00CD7E12"/>
    <w:rsid w:val="00CE1008"/>
    <w:rsid w:val="00CE1650"/>
    <w:rsid w:val="00CE18D8"/>
    <w:rsid w:val="00CE3210"/>
    <w:rsid w:val="00CE6DD2"/>
    <w:rsid w:val="00CE6F25"/>
    <w:rsid w:val="00CF1058"/>
    <w:rsid w:val="00CF15D3"/>
    <w:rsid w:val="00CF237E"/>
    <w:rsid w:val="00CF2F3E"/>
    <w:rsid w:val="00CF4715"/>
    <w:rsid w:val="00CF6FFD"/>
    <w:rsid w:val="00D01197"/>
    <w:rsid w:val="00D0723C"/>
    <w:rsid w:val="00D1225C"/>
    <w:rsid w:val="00D150AF"/>
    <w:rsid w:val="00D17CF8"/>
    <w:rsid w:val="00D22C93"/>
    <w:rsid w:val="00D23C40"/>
    <w:rsid w:val="00D23E67"/>
    <w:rsid w:val="00D25032"/>
    <w:rsid w:val="00D2637D"/>
    <w:rsid w:val="00D33965"/>
    <w:rsid w:val="00D35825"/>
    <w:rsid w:val="00D36ED3"/>
    <w:rsid w:val="00D415FD"/>
    <w:rsid w:val="00D43314"/>
    <w:rsid w:val="00D44D7A"/>
    <w:rsid w:val="00D45D11"/>
    <w:rsid w:val="00D504DE"/>
    <w:rsid w:val="00D50B2C"/>
    <w:rsid w:val="00D5157C"/>
    <w:rsid w:val="00D515A6"/>
    <w:rsid w:val="00D52D0E"/>
    <w:rsid w:val="00D530A5"/>
    <w:rsid w:val="00D53639"/>
    <w:rsid w:val="00D53E57"/>
    <w:rsid w:val="00D54630"/>
    <w:rsid w:val="00D5520F"/>
    <w:rsid w:val="00D55494"/>
    <w:rsid w:val="00D57237"/>
    <w:rsid w:val="00D57AF1"/>
    <w:rsid w:val="00D61A8D"/>
    <w:rsid w:val="00D62DA8"/>
    <w:rsid w:val="00D73B13"/>
    <w:rsid w:val="00D73F57"/>
    <w:rsid w:val="00D774D3"/>
    <w:rsid w:val="00D80DD8"/>
    <w:rsid w:val="00D8119F"/>
    <w:rsid w:val="00D822F0"/>
    <w:rsid w:val="00D84779"/>
    <w:rsid w:val="00D85348"/>
    <w:rsid w:val="00D87C37"/>
    <w:rsid w:val="00D87F3A"/>
    <w:rsid w:val="00D92249"/>
    <w:rsid w:val="00D94E44"/>
    <w:rsid w:val="00D94F70"/>
    <w:rsid w:val="00D974AF"/>
    <w:rsid w:val="00DA16BC"/>
    <w:rsid w:val="00DA2ADE"/>
    <w:rsid w:val="00DA2F08"/>
    <w:rsid w:val="00DA3762"/>
    <w:rsid w:val="00DA3926"/>
    <w:rsid w:val="00DA4EC6"/>
    <w:rsid w:val="00DB5FB2"/>
    <w:rsid w:val="00DB6851"/>
    <w:rsid w:val="00DB6921"/>
    <w:rsid w:val="00DB7B57"/>
    <w:rsid w:val="00DC15FE"/>
    <w:rsid w:val="00DC1FE3"/>
    <w:rsid w:val="00DC2E0D"/>
    <w:rsid w:val="00DC3967"/>
    <w:rsid w:val="00DC4101"/>
    <w:rsid w:val="00DC76A6"/>
    <w:rsid w:val="00DD0A89"/>
    <w:rsid w:val="00DD2781"/>
    <w:rsid w:val="00DD3733"/>
    <w:rsid w:val="00DE081E"/>
    <w:rsid w:val="00DE1BD0"/>
    <w:rsid w:val="00DF02D9"/>
    <w:rsid w:val="00DF0922"/>
    <w:rsid w:val="00DF5A47"/>
    <w:rsid w:val="00E002C8"/>
    <w:rsid w:val="00E042F7"/>
    <w:rsid w:val="00E059C0"/>
    <w:rsid w:val="00E10140"/>
    <w:rsid w:val="00E10549"/>
    <w:rsid w:val="00E12198"/>
    <w:rsid w:val="00E1630F"/>
    <w:rsid w:val="00E20DBE"/>
    <w:rsid w:val="00E21014"/>
    <w:rsid w:val="00E2386A"/>
    <w:rsid w:val="00E25093"/>
    <w:rsid w:val="00E26BB8"/>
    <w:rsid w:val="00E32B5D"/>
    <w:rsid w:val="00E36B8D"/>
    <w:rsid w:val="00E44B3B"/>
    <w:rsid w:val="00E45E32"/>
    <w:rsid w:val="00E46404"/>
    <w:rsid w:val="00E468CA"/>
    <w:rsid w:val="00E46F3A"/>
    <w:rsid w:val="00E47AD0"/>
    <w:rsid w:val="00E51364"/>
    <w:rsid w:val="00E54955"/>
    <w:rsid w:val="00E57D04"/>
    <w:rsid w:val="00E60B30"/>
    <w:rsid w:val="00E61153"/>
    <w:rsid w:val="00E62D68"/>
    <w:rsid w:val="00E6494E"/>
    <w:rsid w:val="00E662C5"/>
    <w:rsid w:val="00E70C99"/>
    <w:rsid w:val="00E732F5"/>
    <w:rsid w:val="00E7427F"/>
    <w:rsid w:val="00E74966"/>
    <w:rsid w:val="00E74FB1"/>
    <w:rsid w:val="00E75254"/>
    <w:rsid w:val="00E76284"/>
    <w:rsid w:val="00E769EA"/>
    <w:rsid w:val="00E81DB2"/>
    <w:rsid w:val="00E821B8"/>
    <w:rsid w:val="00E83765"/>
    <w:rsid w:val="00E83F42"/>
    <w:rsid w:val="00E85A73"/>
    <w:rsid w:val="00E86A11"/>
    <w:rsid w:val="00E91781"/>
    <w:rsid w:val="00E94542"/>
    <w:rsid w:val="00E94A12"/>
    <w:rsid w:val="00EA061F"/>
    <w:rsid w:val="00EA22A6"/>
    <w:rsid w:val="00EA278E"/>
    <w:rsid w:val="00EA37EB"/>
    <w:rsid w:val="00EA4122"/>
    <w:rsid w:val="00EA43E7"/>
    <w:rsid w:val="00EA5026"/>
    <w:rsid w:val="00EA51BA"/>
    <w:rsid w:val="00EA78DC"/>
    <w:rsid w:val="00EA7C18"/>
    <w:rsid w:val="00EA7EF2"/>
    <w:rsid w:val="00EB0DB1"/>
    <w:rsid w:val="00EB1327"/>
    <w:rsid w:val="00EB50ED"/>
    <w:rsid w:val="00EB555E"/>
    <w:rsid w:val="00EC0165"/>
    <w:rsid w:val="00EC02DD"/>
    <w:rsid w:val="00EC59DC"/>
    <w:rsid w:val="00EC76D2"/>
    <w:rsid w:val="00EC7A13"/>
    <w:rsid w:val="00ED1968"/>
    <w:rsid w:val="00ED19C0"/>
    <w:rsid w:val="00ED2F09"/>
    <w:rsid w:val="00ED300D"/>
    <w:rsid w:val="00ED32B7"/>
    <w:rsid w:val="00ED54EE"/>
    <w:rsid w:val="00ED5917"/>
    <w:rsid w:val="00ED75F5"/>
    <w:rsid w:val="00EE000B"/>
    <w:rsid w:val="00EE2F29"/>
    <w:rsid w:val="00EE5A89"/>
    <w:rsid w:val="00EE5DB4"/>
    <w:rsid w:val="00EE6284"/>
    <w:rsid w:val="00EE7FDD"/>
    <w:rsid w:val="00EF0CE3"/>
    <w:rsid w:val="00EF4196"/>
    <w:rsid w:val="00EF5F8D"/>
    <w:rsid w:val="00EF6FAB"/>
    <w:rsid w:val="00EF6FEF"/>
    <w:rsid w:val="00F007E8"/>
    <w:rsid w:val="00F01226"/>
    <w:rsid w:val="00F01E79"/>
    <w:rsid w:val="00F0384E"/>
    <w:rsid w:val="00F04478"/>
    <w:rsid w:val="00F10F78"/>
    <w:rsid w:val="00F13BE7"/>
    <w:rsid w:val="00F1518B"/>
    <w:rsid w:val="00F15D20"/>
    <w:rsid w:val="00F166D1"/>
    <w:rsid w:val="00F17097"/>
    <w:rsid w:val="00F17C1D"/>
    <w:rsid w:val="00F228C5"/>
    <w:rsid w:val="00F2324B"/>
    <w:rsid w:val="00F23331"/>
    <w:rsid w:val="00F26AC1"/>
    <w:rsid w:val="00F340DD"/>
    <w:rsid w:val="00F3733F"/>
    <w:rsid w:val="00F41D9C"/>
    <w:rsid w:val="00F44273"/>
    <w:rsid w:val="00F466DF"/>
    <w:rsid w:val="00F4756E"/>
    <w:rsid w:val="00F50BE5"/>
    <w:rsid w:val="00F523F8"/>
    <w:rsid w:val="00F54387"/>
    <w:rsid w:val="00F54830"/>
    <w:rsid w:val="00F55BF9"/>
    <w:rsid w:val="00F569C6"/>
    <w:rsid w:val="00F56B4F"/>
    <w:rsid w:val="00F61926"/>
    <w:rsid w:val="00F64C2A"/>
    <w:rsid w:val="00F65C84"/>
    <w:rsid w:val="00F66CC8"/>
    <w:rsid w:val="00F711B5"/>
    <w:rsid w:val="00F7434D"/>
    <w:rsid w:val="00F7455D"/>
    <w:rsid w:val="00F7600C"/>
    <w:rsid w:val="00F77BCF"/>
    <w:rsid w:val="00F86452"/>
    <w:rsid w:val="00F90A23"/>
    <w:rsid w:val="00F9168A"/>
    <w:rsid w:val="00F932B8"/>
    <w:rsid w:val="00FA1688"/>
    <w:rsid w:val="00FA49E1"/>
    <w:rsid w:val="00FA6413"/>
    <w:rsid w:val="00FB2F37"/>
    <w:rsid w:val="00FB6F92"/>
    <w:rsid w:val="00FC03E1"/>
    <w:rsid w:val="00FC4167"/>
    <w:rsid w:val="00FC5925"/>
    <w:rsid w:val="00FC65DE"/>
    <w:rsid w:val="00FC7418"/>
    <w:rsid w:val="00FC7E5D"/>
    <w:rsid w:val="00FD0AD9"/>
    <w:rsid w:val="00FD19D1"/>
    <w:rsid w:val="00FD2001"/>
    <w:rsid w:val="00FD2AB4"/>
    <w:rsid w:val="00FE46BD"/>
    <w:rsid w:val="00FE52AA"/>
    <w:rsid w:val="00FE59EC"/>
    <w:rsid w:val="00FE5E20"/>
    <w:rsid w:val="00FF022D"/>
    <w:rsid w:val="00FF219A"/>
    <w:rsid w:val="00FF3FE4"/>
    <w:rsid w:val="00FF4BDA"/>
    <w:rsid w:val="00FF5481"/>
    <w:rsid w:val="00FF58A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E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link w:val="Ttulo1Car"/>
    <w:qFormat/>
    <w:rsid w:val="00473499"/>
    <w:pPr>
      <w:keepNext/>
      <w:keepLines/>
      <w:numPr>
        <w:numId w:val="29"/>
      </w:numPr>
      <w:jc w:val="center"/>
      <w:outlineLvl w:val="0"/>
    </w:pPr>
    <w:rPr>
      <w:rFonts w:ascii="Century Gothic" w:eastAsiaTheme="majorEastAsia" w:hAnsi="Century Gothic" w:cstheme="majorBidi"/>
      <w:b/>
      <w:bCs/>
      <w:szCs w:val="28"/>
    </w:rPr>
  </w:style>
  <w:style w:type="paragraph" w:styleId="Ttulo2">
    <w:name w:val="heading 2"/>
    <w:basedOn w:val="Normal"/>
    <w:next w:val="Normal"/>
    <w:link w:val="Ttulo2Car"/>
    <w:unhideWhenUsed/>
    <w:qFormat/>
    <w:rsid w:val="00C54EB0"/>
    <w:pPr>
      <w:keepNext/>
      <w:keepLines/>
      <w:numPr>
        <w:ilvl w:val="1"/>
        <w:numId w:val="29"/>
      </w:numPr>
      <w:outlineLvl w:val="1"/>
    </w:pPr>
    <w:rPr>
      <w:rFonts w:ascii="Century Gothic" w:eastAsiaTheme="majorEastAsia" w:hAnsi="Century Gothic" w:cstheme="majorBidi"/>
      <w:b/>
      <w:bCs/>
      <w:szCs w:val="26"/>
    </w:rPr>
  </w:style>
  <w:style w:type="paragraph" w:styleId="Ttulo3">
    <w:name w:val="heading 3"/>
    <w:basedOn w:val="Normal"/>
    <w:next w:val="Normal"/>
    <w:link w:val="Ttulo3Car"/>
    <w:unhideWhenUsed/>
    <w:qFormat/>
    <w:rsid w:val="00C54EB0"/>
    <w:pPr>
      <w:keepNext/>
      <w:keepLines/>
      <w:numPr>
        <w:ilvl w:val="2"/>
        <w:numId w:val="29"/>
      </w:numPr>
      <w:outlineLvl w:val="2"/>
    </w:pPr>
    <w:rPr>
      <w:rFonts w:ascii="Century Gothic" w:eastAsiaTheme="majorEastAsia" w:hAnsi="Century Gothic" w:cstheme="majorBidi"/>
      <w:b/>
      <w:bCs/>
    </w:rPr>
  </w:style>
  <w:style w:type="paragraph" w:styleId="Ttulo4">
    <w:name w:val="heading 4"/>
    <w:basedOn w:val="Normal"/>
    <w:next w:val="Normal"/>
    <w:link w:val="Ttulo4Car"/>
    <w:unhideWhenUsed/>
    <w:qFormat/>
    <w:rsid w:val="00E10549"/>
    <w:pPr>
      <w:keepNext/>
      <w:keepLines/>
      <w:numPr>
        <w:ilvl w:val="3"/>
        <w:numId w:val="29"/>
      </w:numPr>
      <w:spacing w:line="360" w:lineRule="auto"/>
      <w:ind w:left="0"/>
      <w:outlineLvl w:val="3"/>
    </w:pPr>
    <w:rPr>
      <w:rFonts w:ascii="Century Gothic" w:eastAsiaTheme="majorEastAsia" w:hAnsi="Century Gothic" w:cstheme="majorBidi"/>
      <w:bCs/>
      <w:i/>
      <w:iCs/>
    </w:rPr>
  </w:style>
  <w:style w:type="paragraph" w:styleId="Ttulo5">
    <w:name w:val="heading 5"/>
    <w:basedOn w:val="Normal"/>
    <w:next w:val="Normal"/>
    <w:link w:val="Ttulo5Car"/>
    <w:unhideWhenUsed/>
    <w:qFormat/>
    <w:rsid w:val="00EA43E7"/>
    <w:pPr>
      <w:keepNext/>
      <w:keepLines/>
      <w:numPr>
        <w:ilvl w:val="4"/>
        <w:numId w:val="29"/>
      </w:numPr>
      <w:spacing w:after="0" w:line="360" w:lineRule="auto"/>
      <w:outlineLvl w:val="4"/>
    </w:pPr>
    <w:rPr>
      <w:rFonts w:ascii="Century Gothic" w:eastAsiaTheme="majorEastAsia" w:hAnsi="Century Gothic" w:cstheme="majorBidi"/>
    </w:rPr>
  </w:style>
  <w:style w:type="paragraph" w:styleId="Ttulo6">
    <w:name w:val="heading 6"/>
    <w:basedOn w:val="Normal"/>
    <w:next w:val="Normal"/>
    <w:link w:val="Ttulo6Car"/>
    <w:unhideWhenUsed/>
    <w:qFormat/>
    <w:rsid w:val="00BC5A58"/>
    <w:pPr>
      <w:keepNext/>
      <w:keepLines/>
      <w:numPr>
        <w:ilvl w:val="5"/>
        <w:numId w:val="29"/>
      </w:numPr>
      <w:spacing w:after="0" w:line="360" w:lineRule="auto"/>
      <w:outlineLvl w:val="5"/>
    </w:pPr>
    <w:rPr>
      <w:rFonts w:ascii="Arial" w:eastAsiaTheme="majorEastAsia" w:hAnsi="Arial" w:cstheme="majorBidi"/>
      <w:i/>
      <w:iCs/>
      <w:sz w:val="24"/>
    </w:rPr>
  </w:style>
  <w:style w:type="paragraph" w:styleId="Ttulo7">
    <w:name w:val="heading 7"/>
    <w:basedOn w:val="Normal"/>
    <w:next w:val="Normal"/>
    <w:link w:val="Ttulo7Car"/>
    <w:unhideWhenUsed/>
    <w:qFormat/>
    <w:rsid w:val="00BC5A58"/>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BC5A58"/>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nhideWhenUsed/>
    <w:qFormat/>
    <w:rsid w:val="00BC5A58"/>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73499"/>
    <w:rPr>
      <w:rFonts w:ascii="Century Gothic" w:eastAsiaTheme="majorEastAsia" w:hAnsi="Century Gothic" w:cstheme="majorBidi"/>
      <w:b/>
      <w:bCs/>
      <w:szCs w:val="28"/>
    </w:rPr>
  </w:style>
  <w:style w:type="character" w:customStyle="1" w:styleId="Ttulo2Car">
    <w:name w:val="Título 2 Car"/>
    <w:basedOn w:val="Fuentedeprrafopredeter"/>
    <w:link w:val="Ttulo2"/>
    <w:rsid w:val="00C54EB0"/>
    <w:rPr>
      <w:rFonts w:ascii="Century Gothic" w:eastAsiaTheme="majorEastAsia" w:hAnsi="Century Gothic" w:cstheme="majorBidi"/>
      <w:b/>
      <w:bCs/>
      <w:szCs w:val="26"/>
    </w:rPr>
  </w:style>
  <w:style w:type="character" w:customStyle="1" w:styleId="Ttulo3Car">
    <w:name w:val="Título 3 Car"/>
    <w:basedOn w:val="Fuentedeprrafopredeter"/>
    <w:link w:val="Ttulo3"/>
    <w:rsid w:val="00C54EB0"/>
    <w:rPr>
      <w:rFonts w:ascii="Century Gothic" w:eastAsiaTheme="majorEastAsia" w:hAnsi="Century Gothic" w:cstheme="majorBidi"/>
      <w:b/>
      <w:bCs/>
    </w:rPr>
  </w:style>
  <w:style w:type="character" w:customStyle="1" w:styleId="Ttulo4Car">
    <w:name w:val="Título 4 Car"/>
    <w:basedOn w:val="Fuentedeprrafopredeter"/>
    <w:link w:val="Ttulo4"/>
    <w:rsid w:val="00E10549"/>
    <w:rPr>
      <w:rFonts w:ascii="Century Gothic" w:eastAsiaTheme="majorEastAsia" w:hAnsi="Century Gothic" w:cstheme="majorBidi"/>
      <w:bCs/>
      <w:i/>
      <w:iCs/>
    </w:rPr>
  </w:style>
  <w:style w:type="character" w:customStyle="1" w:styleId="Ttulo5Car">
    <w:name w:val="Título 5 Car"/>
    <w:basedOn w:val="Fuentedeprrafopredeter"/>
    <w:link w:val="Ttulo5"/>
    <w:rsid w:val="00EA43E7"/>
    <w:rPr>
      <w:rFonts w:ascii="Century Gothic" w:eastAsiaTheme="majorEastAsia" w:hAnsi="Century Gothic" w:cstheme="majorBidi"/>
    </w:rPr>
  </w:style>
  <w:style w:type="character" w:customStyle="1" w:styleId="Ttulo6Car">
    <w:name w:val="Título 6 Car"/>
    <w:basedOn w:val="Fuentedeprrafopredeter"/>
    <w:link w:val="Ttulo6"/>
    <w:rsid w:val="00BC5A58"/>
    <w:rPr>
      <w:rFonts w:ascii="Arial" w:eastAsiaTheme="majorEastAsia" w:hAnsi="Arial" w:cstheme="majorBidi"/>
      <w:i/>
      <w:iCs/>
      <w:sz w:val="24"/>
    </w:rPr>
  </w:style>
  <w:style w:type="character" w:customStyle="1" w:styleId="Ttulo7Car">
    <w:name w:val="Título 7 Car"/>
    <w:basedOn w:val="Fuentedeprrafopredeter"/>
    <w:link w:val="Ttulo7"/>
    <w:rsid w:val="00BC5A5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BC5A5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BC5A58"/>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uiPriority w:val="1"/>
    <w:unhideWhenUsed/>
    <w:qFormat/>
    <w:rsid w:val="00855DCD"/>
    <w:pPr>
      <w:widowControl w:val="0"/>
      <w:spacing w:after="0" w:line="240" w:lineRule="auto"/>
    </w:pPr>
    <w:rPr>
      <w:rFonts w:ascii="Century Gothic" w:eastAsia="Century Gothic" w:hAnsi="Century Gothic" w:cs="Century Gothic"/>
      <w:sz w:val="24"/>
      <w:szCs w:val="24"/>
      <w:lang w:val="en-US"/>
    </w:rPr>
  </w:style>
  <w:style w:type="character" w:customStyle="1" w:styleId="TextoindependienteCar">
    <w:name w:val="Texto independiente Car"/>
    <w:basedOn w:val="Fuentedeprrafopredeter"/>
    <w:link w:val="Textoindependiente"/>
    <w:uiPriority w:val="1"/>
    <w:rsid w:val="00855DCD"/>
    <w:rPr>
      <w:rFonts w:ascii="Century Gothic" w:eastAsia="Century Gothic" w:hAnsi="Century Gothic" w:cs="Century Gothic"/>
      <w:sz w:val="24"/>
      <w:szCs w:val="24"/>
      <w:lang w:val="en-US"/>
    </w:rPr>
  </w:style>
  <w:style w:type="paragraph" w:styleId="Prrafodelista">
    <w:name w:val="List Paragraph"/>
    <w:basedOn w:val="Normal"/>
    <w:link w:val="PrrafodelistaCar"/>
    <w:uiPriority w:val="34"/>
    <w:qFormat/>
    <w:rsid w:val="00855DCD"/>
    <w:pPr>
      <w:widowControl w:val="0"/>
      <w:spacing w:after="0" w:line="240" w:lineRule="auto"/>
      <w:ind w:left="810" w:hanging="360"/>
      <w:jc w:val="both"/>
    </w:pPr>
    <w:rPr>
      <w:rFonts w:ascii="Century Gothic" w:eastAsia="Century Gothic" w:hAnsi="Century Gothic" w:cs="Century Gothic"/>
      <w:lang w:val="en-US"/>
    </w:rPr>
  </w:style>
  <w:style w:type="character" w:customStyle="1" w:styleId="PrrafodelistaCar">
    <w:name w:val="Párrafo de lista Car"/>
    <w:basedOn w:val="Fuentedeprrafopredeter"/>
    <w:link w:val="Prrafodelista"/>
    <w:uiPriority w:val="34"/>
    <w:locked/>
    <w:rsid w:val="00852B6E"/>
    <w:rPr>
      <w:rFonts w:ascii="Century Gothic" w:eastAsia="Century Gothic" w:hAnsi="Century Gothic" w:cs="Century Gothic"/>
      <w:lang w:val="en-US"/>
    </w:rPr>
  </w:style>
  <w:style w:type="paragraph" w:customStyle="1" w:styleId="Ttulo21">
    <w:name w:val="Título 21"/>
    <w:basedOn w:val="Normal"/>
    <w:rsid w:val="00855DCD"/>
    <w:pPr>
      <w:widowControl w:val="0"/>
      <w:spacing w:after="0" w:line="240" w:lineRule="auto"/>
      <w:ind w:left="810"/>
      <w:jc w:val="both"/>
      <w:outlineLvl w:val="2"/>
    </w:pPr>
    <w:rPr>
      <w:rFonts w:ascii="Century Gothic" w:eastAsia="Century Gothic" w:hAnsi="Century Gothic" w:cs="Century Gothic"/>
      <w:b/>
      <w:bCs/>
      <w:sz w:val="24"/>
      <w:szCs w:val="24"/>
      <w:lang w:val="en-US"/>
    </w:rPr>
  </w:style>
  <w:style w:type="character" w:styleId="Textoennegrita">
    <w:name w:val="Strong"/>
    <w:basedOn w:val="Fuentedeprrafopredeter"/>
    <w:uiPriority w:val="99"/>
    <w:qFormat/>
    <w:rsid w:val="00855DCD"/>
    <w:rPr>
      <w:b/>
      <w:bCs/>
    </w:rPr>
  </w:style>
  <w:style w:type="character" w:styleId="Hipervnculo">
    <w:name w:val="Hyperlink"/>
    <w:basedOn w:val="Fuentedeprrafopredeter"/>
    <w:uiPriority w:val="99"/>
    <w:unhideWhenUsed/>
    <w:rsid w:val="00855DCD"/>
    <w:rPr>
      <w:color w:val="0000FF"/>
      <w:u w:val="single"/>
    </w:rPr>
  </w:style>
  <w:style w:type="paragraph" w:styleId="Epgrafe">
    <w:name w:val="caption"/>
    <w:basedOn w:val="Normal"/>
    <w:next w:val="Normal"/>
    <w:unhideWhenUsed/>
    <w:rsid w:val="00BC5A58"/>
    <w:pPr>
      <w:spacing w:line="240" w:lineRule="auto"/>
    </w:pPr>
    <w:rPr>
      <w:b/>
      <w:bCs/>
      <w:color w:val="4F81BD" w:themeColor="accent1"/>
      <w:sz w:val="18"/>
      <w:szCs w:val="18"/>
    </w:rPr>
  </w:style>
  <w:style w:type="table" w:styleId="Tablaconcuadrcula">
    <w:name w:val="Table Grid"/>
    <w:basedOn w:val="Tablanormal"/>
    <w:uiPriority w:val="39"/>
    <w:rsid w:val="00BC5A58"/>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C5A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5A58"/>
    <w:rPr>
      <w:rFonts w:ascii="Tahoma" w:hAnsi="Tahoma" w:cs="Tahoma"/>
      <w:sz w:val="16"/>
      <w:szCs w:val="16"/>
    </w:rPr>
  </w:style>
  <w:style w:type="character" w:styleId="Hipervnculovisitado">
    <w:name w:val="FollowedHyperlink"/>
    <w:basedOn w:val="Fuentedeprrafopredeter"/>
    <w:uiPriority w:val="99"/>
    <w:semiHidden/>
    <w:unhideWhenUsed/>
    <w:rsid w:val="00BC5A58"/>
    <w:rPr>
      <w:color w:val="800080" w:themeColor="followedHyperlink"/>
      <w:u w:val="single"/>
    </w:rPr>
  </w:style>
  <w:style w:type="paragraph" w:styleId="Encabezado">
    <w:name w:val="header"/>
    <w:basedOn w:val="Normal"/>
    <w:link w:val="EncabezadoCar"/>
    <w:uiPriority w:val="99"/>
    <w:unhideWhenUsed/>
    <w:rsid w:val="00BC5A58"/>
    <w:pPr>
      <w:widowControl w:val="0"/>
      <w:tabs>
        <w:tab w:val="center" w:pos="4419"/>
        <w:tab w:val="right" w:pos="8838"/>
      </w:tabs>
      <w:spacing w:after="0" w:line="240" w:lineRule="auto"/>
    </w:pPr>
    <w:rPr>
      <w:rFonts w:ascii="Century Gothic" w:eastAsia="Century Gothic" w:hAnsi="Century Gothic" w:cs="Century Gothic"/>
      <w:lang w:val="en-US"/>
    </w:rPr>
  </w:style>
  <w:style w:type="character" w:customStyle="1" w:styleId="EncabezadoCar">
    <w:name w:val="Encabezado Car"/>
    <w:basedOn w:val="Fuentedeprrafopredeter"/>
    <w:link w:val="Encabezado"/>
    <w:uiPriority w:val="99"/>
    <w:rsid w:val="00BC5A58"/>
    <w:rPr>
      <w:rFonts w:ascii="Century Gothic" w:eastAsia="Century Gothic" w:hAnsi="Century Gothic" w:cs="Century Gothic"/>
      <w:lang w:val="en-US"/>
    </w:rPr>
  </w:style>
  <w:style w:type="paragraph" w:styleId="Piedepgina">
    <w:name w:val="footer"/>
    <w:basedOn w:val="Normal"/>
    <w:link w:val="PiedepginaCar"/>
    <w:uiPriority w:val="99"/>
    <w:unhideWhenUsed/>
    <w:rsid w:val="00BC5A58"/>
    <w:pPr>
      <w:widowControl w:val="0"/>
      <w:tabs>
        <w:tab w:val="center" w:pos="4419"/>
        <w:tab w:val="right" w:pos="8838"/>
      </w:tabs>
      <w:spacing w:after="0" w:line="240" w:lineRule="auto"/>
    </w:pPr>
    <w:rPr>
      <w:rFonts w:ascii="Century Gothic" w:eastAsia="Century Gothic" w:hAnsi="Century Gothic" w:cs="Century Gothic"/>
      <w:lang w:val="en-US"/>
    </w:rPr>
  </w:style>
  <w:style w:type="character" w:customStyle="1" w:styleId="PiedepginaCar">
    <w:name w:val="Pie de página Car"/>
    <w:basedOn w:val="Fuentedeprrafopredeter"/>
    <w:link w:val="Piedepgina"/>
    <w:uiPriority w:val="99"/>
    <w:rsid w:val="00BC5A58"/>
    <w:rPr>
      <w:rFonts w:ascii="Century Gothic" w:eastAsia="Century Gothic" w:hAnsi="Century Gothic" w:cs="Century Gothic"/>
      <w:lang w:val="en-US"/>
    </w:rPr>
  </w:style>
  <w:style w:type="paragraph" w:customStyle="1" w:styleId="Ttulo11">
    <w:name w:val="Título 11"/>
    <w:basedOn w:val="Normal"/>
    <w:uiPriority w:val="1"/>
    <w:qFormat/>
    <w:rsid w:val="00BC5A58"/>
    <w:pPr>
      <w:widowControl w:val="0"/>
      <w:spacing w:after="0" w:line="240" w:lineRule="auto"/>
      <w:ind w:left="102" w:right="99"/>
      <w:jc w:val="both"/>
      <w:outlineLvl w:val="1"/>
    </w:pPr>
    <w:rPr>
      <w:rFonts w:ascii="Century Gothic" w:eastAsia="Century Gothic" w:hAnsi="Century Gothic" w:cs="Century Gothic"/>
      <w:sz w:val="25"/>
      <w:szCs w:val="25"/>
      <w:lang w:val="en-US"/>
    </w:rPr>
  </w:style>
  <w:style w:type="paragraph" w:customStyle="1" w:styleId="TableParagraph">
    <w:name w:val="Table Paragraph"/>
    <w:basedOn w:val="Normal"/>
    <w:uiPriority w:val="1"/>
    <w:qFormat/>
    <w:rsid w:val="00BC5A58"/>
    <w:pPr>
      <w:widowControl w:val="0"/>
      <w:spacing w:after="0" w:line="240" w:lineRule="auto"/>
      <w:jc w:val="right"/>
    </w:pPr>
    <w:rPr>
      <w:rFonts w:ascii="Arial" w:eastAsia="Arial" w:hAnsi="Arial" w:cs="Arial"/>
      <w:lang w:val="en-US"/>
    </w:rPr>
  </w:style>
  <w:style w:type="table" w:customStyle="1" w:styleId="TableNormal">
    <w:name w:val="Table Normal"/>
    <w:uiPriority w:val="2"/>
    <w:semiHidden/>
    <w:qFormat/>
    <w:rsid w:val="00BC5A58"/>
    <w:pPr>
      <w:widowControl w:val="0"/>
      <w:spacing w:after="0" w:line="240" w:lineRule="auto"/>
    </w:pPr>
    <w:rPr>
      <w:lang w:val="en-US"/>
    </w:rPr>
    <w:tblPr>
      <w:tblCellMar>
        <w:top w:w="0" w:type="dxa"/>
        <w:left w:w="0" w:type="dxa"/>
        <w:bottom w:w="0" w:type="dxa"/>
        <w:right w:w="0" w:type="dxa"/>
      </w:tblCellMar>
    </w:tblPr>
  </w:style>
  <w:style w:type="paragraph" w:styleId="Textonotapie">
    <w:name w:val="footnote text"/>
    <w:basedOn w:val="Normal"/>
    <w:link w:val="TextonotapieCar"/>
    <w:uiPriority w:val="99"/>
    <w:unhideWhenUsed/>
    <w:rsid w:val="00852B6E"/>
    <w:pPr>
      <w:spacing w:after="0" w:line="240" w:lineRule="auto"/>
    </w:pPr>
    <w:rPr>
      <w:sz w:val="20"/>
      <w:szCs w:val="20"/>
      <w:lang w:val="es-ES_tradnl" w:eastAsia="es-ES_tradnl"/>
    </w:rPr>
  </w:style>
  <w:style w:type="character" w:customStyle="1" w:styleId="TextonotapieCar">
    <w:name w:val="Texto nota pie Car"/>
    <w:basedOn w:val="Fuentedeprrafopredeter"/>
    <w:link w:val="Textonotapie"/>
    <w:uiPriority w:val="99"/>
    <w:rsid w:val="00852B6E"/>
    <w:rPr>
      <w:rFonts w:eastAsiaTheme="minorEastAsia"/>
      <w:sz w:val="20"/>
      <w:szCs w:val="20"/>
      <w:lang w:val="es-ES_tradnl" w:eastAsia="es-ES_tradnl"/>
    </w:rPr>
  </w:style>
  <w:style w:type="character" w:styleId="Refdenotaalpie">
    <w:name w:val="footnote reference"/>
    <w:basedOn w:val="Fuentedeprrafopredeter"/>
    <w:uiPriority w:val="99"/>
    <w:unhideWhenUsed/>
    <w:rsid w:val="00852B6E"/>
    <w:rPr>
      <w:vertAlign w:val="superscript"/>
    </w:rPr>
  </w:style>
  <w:style w:type="character" w:styleId="Refdecomentario">
    <w:name w:val="annotation reference"/>
    <w:basedOn w:val="Fuentedeprrafopredeter"/>
    <w:uiPriority w:val="99"/>
    <w:semiHidden/>
    <w:unhideWhenUsed/>
    <w:rsid w:val="00905462"/>
    <w:rPr>
      <w:sz w:val="16"/>
      <w:szCs w:val="16"/>
    </w:rPr>
  </w:style>
  <w:style w:type="paragraph" w:styleId="Textocomentario">
    <w:name w:val="annotation text"/>
    <w:basedOn w:val="Normal"/>
    <w:link w:val="TextocomentarioCar"/>
    <w:uiPriority w:val="99"/>
    <w:semiHidden/>
    <w:unhideWhenUsed/>
    <w:rsid w:val="009054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5462"/>
    <w:rPr>
      <w:sz w:val="20"/>
      <w:szCs w:val="20"/>
    </w:rPr>
  </w:style>
  <w:style w:type="paragraph" w:styleId="Asuntodelcomentario">
    <w:name w:val="annotation subject"/>
    <w:basedOn w:val="Textocomentario"/>
    <w:next w:val="Textocomentario"/>
    <w:link w:val="AsuntodelcomentarioCar"/>
    <w:uiPriority w:val="99"/>
    <w:semiHidden/>
    <w:unhideWhenUsed/>
    <w:rsid w:val="00905462"/>
    <w:rPr>
      <w:b/>
      <w:bCs/>
    </w:rPr>
  </w:style>
  <w:style w:type="character" w:customStyle="1" w:styleId="AsuntodelcomentarioCar">
    <w:name w:val="Asunto del comentario Car"/>
    <w:basedOn w:val="TextocomentarioCar"/>
    <w:link w:val="Asuntodelcomentario"/>
    <w:uiPriority w:val="99"/>
    <w:semiHidden/>
    <w:rsid w:val="00905462"/>
    <w:rPr>
      <w:b/>
      <w:bCs/>
      <w:sz w:val="20"/>
      <w:szCs w:val="20"/>
    </w:rPr>
  </w:style>
  <w:style w:type="paragraph" w:customStyle="1" w:styleId="Default">
    <w:name w:val="Default"/>
    <w:rsid w:val="006649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nhideWhenUsed/>
    <w:rsid w:val="00BE6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Fuentedeprrafopredeter"/>
    <w:link w:val="Prrafodelista1"/>
    <w:locked/>
    <w:rsid w:val="00BD1243"/>
    <w:rPr>
      <w:rFonts w:ascii="Century Gothic" w:hAnsi="Century Gothic" w:cs="Century Gothic"/>
    </w:rPr>
  </w:style>
  <w:style w:type="paragraph" w:customStyle="1" w:styleId="Prrafodelista1">
    <w:name w:val="Párrafo de lista1"/>
    <w:basedOn w:val="Normal"/>
    <w:link w:val="ListParagraphChar"/>
    <w:rsid w:val="00BD1243"/>
    <w:pPr>
      <w:widowControl w:val="0"/>
      <w:spacing w:after="0" w:line="240" w:lineRule="auto"/>
      <w:ind w:left="810" w:hanging="360"/>
      <w:jc w:val="both"/>
    </w:pPr>
    <w:rPr>
      <w:rFonts w:ascii="Century Gothic" w:hAnsi="Century Gothic" w:cs="Century Gothic"/>
    </w:rPr>
  </w:style>
  <w:style w:type="paragraph" w:styleId="Sinespaciado">
    <w:name w:val="No Spacing"/>
    <w:link w:val="SinespaciadoCar"/>
    <w:uiPriority w:val="1"/>
    <w:qFormat/>
    <w:rsid w:val="00677466"/>
    <w:pPr>
      <w:spacing w:after="0" w:line="240" w:lineRule="auto"/>
    </w:pPr>
  </w:style>
  <w:style w:type="paragraph" w:styleId="TtulodeTDC">
    <w:name w:val="TOC Heading"/>
    <w:basedOn w:val="Ttulo1"/>
    <w:next w:val="Normal"/>
    <w:uiPriority w:val="39"/>
    <w:semiHidden/>
    <w:unhideWhenUsed/>
    <w:qFormat/>
    <w:rsid w:val="00AF2D5C"/>
    <w:pPr>
      <w:numPr>
        <w:numId w:val="0"/>
      </w:numPr>
      <w:spacing w:before="480"/>
      <w:outlineLvl w:val="9"/>
    </w:pPr>
    <w:rPr>
      <w:rFonts w:asciiTheme="majorHAnsi" w:hAnsiTheme="majorHAnsi"/>
      <w:color w:val="365F91" w:themeColor="accent1" w:themeShade="BF"/>
      <w:sz w:val="28"/>
      <w:lang w:val="es-ES" w:eastAsia="es-ES"/>
    </w:rPr>
  </w:style>
  <w:style w:type="paragraph" w:styleId="TDC1">
    <w:name w:val="toc 1"/>
    <w:basedOn w:val="Normal"/>
    <w:next w:val="Normal"/>
    <w:autoRedefine/>
    <w:uiPriority w:val="39"/>
    <w:unhideWhenUsed/>
    <w:rsid w:val="00AF2D5C"/>
    <w:pPr>
      <w:spacing w:after="100"/>
    </w:pPr>
  </w:style>
  <w:style w:type="paragraph" w:styleId="TDC2">
    <w:name w:val="toc 2"/>
    <w:basedOn w:val="Normal"/>
    <w:next w:val="Normal"/>
    <w:autoRedefine/>
    <w:uiPriority w:val="39"/>
    <w:unhideWhenUsed/>
    <w:rsid w:val="00AF2D5C"/>
    <w:pPr>
      <w:spacing w:after="100"/>
      <w:ind w:left="220"/>
    </w:pPr>
  </w:style>
  <w:style w:type="paragraph" w:styleId="TDC3">
    <w:name w:val="toc 3"/>
    <w:basedOn w:val="Normal"/>
    <w:next w:val="Normal"/>
    <w:autoRedefine/>
    <w:uiPriority w:val="39"/>
    <w:unhideWhenUsed/>
    <w:rsid w:val="00880E74"/>
    <w:pPr>
      <w:tabs>
        <w:tab w:val="left" w:pos="880"/>
        <w:tab w:val="right" w:leader="dot" w:pos="8828"/>
      </w:tabs>
      <w:spacing w:after="0"/>
      <w:ind w:left="440"/>
    </w:pPr>
  </w:style>
  <w:style w:type="paragraph" w:styleId="Tabladeilustraciones">
    <w:name w:val="table of figures"/>
    <w:basedOn w:val="Normal"/>
    <w:next w:val="Normal"/>
    <w:uiPriority w:val="99"/>
    <w:unhideWhenUsed/>
    <w:rsid w:val="00D35825"/>
    <w:pPr>
      <w:spacing w:after="0"/>
    </w:pPr>
  </w:style>
  <w:style w:type="paragraph" w:styleId="Revisin">
    <w:name w:val="Revision"/>
    <w:hidden/>
    <w:uiPriority w:val="99"/>
    <w:semiHidden/>
    <w:rsid w:val="00365686"/>
    <w:pPr>
      <w:spacing w:after="0" w:line="240" w:lineRule="auto"/>
    </w:pPr>
  </w:style>
  <w:style w:type="paragraph" w:customStyle="1" w:styleId="Prrafodelista2">
    <w:name w:val="Párrafo de lista2"/>
    <w:basedOn w:val="Normal"/>
    <w:link w:val="ListParagraphChar1"/>
    <w:rsid w:val="00C41966"/>
    <w:pPr>
      <w:widowControl w:val="0"/>
      <w:spacing w:after="0" w:line="240" w:lineRule="auto"/>
      <w:ind w:left="810" w:hanging="360"/>
      <w:jc w:val="both"/>
    </w:pPr>
    <w:rPr>
      <w:rFonts w:ascii="Century Gothic" w:eastAsia="Times New Roman" w:hAnsi="Century Gothic" w:cs="Century Gothic"/>
      <w:lang w:val="en-US"/>
    </w:rPr>
  </w:style>
  <w:style w:type="character" w:customStyle="1" w:styleId="ListParagraphChar1">
    <w:name w:val="List Paragraph Char1"/>
    <w:link w:val="Prrafodelista2"/>
    <w:locked/>
    <w:rsid w:val="00C41966"/>
    <w:rPr>
      <w:rFonts w:ascii="Century Gothic" w:eastAsia="Times New Roman" w:hAnsi="Century Gothic" w:cs="Century Gothic"/>
      <w:lang w:val="en-US"/>
    </w:rPr>
  </w:style>
  <w:style w:type="character" w:customStyle="1" w:styleId="SinespaciadoCar">
    <w:name w:val="Sin espaciado Car"/>
    <w:basedOn w:val="Fuentedeprrafopredeter"/>
    <w:link w:val="Sinespaciado"/>
    <w:uiPriority w:val="1"/>
    <w:rsid w:val="00AE7279"/>
  </w:style>
  <w:style w:type="table" w:customStyle="1" w:styleId="Tabladecuadrcula5oscura-nfasis11">
    <w:name w:val="Tabla de cuadrícula 5 oscura - Énfasis 11"/>
    <w:basedOn w:val="Tablanormal"/>
    <w:uiPriority w:val="50"/>
    <w:rsid w:val="003F3CC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concuadrcula4-nfasis11">
    <w:name w:val="Tabla con cuadrícula 4 - Énfasis 11"/>
    <w:basedOn w:val="Tablanormal"/>
    <w:uiPriority w:val="49"/>
    <w:rsid w:val="00BD606D"/>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nfasis31">
    <w:name w:val="Tabla con cuadrícula 4 - Énfasis 31"/>
    <w:basedOn w:val="Tablanormal"/>
    <w:uiPriority w:val="49"/>
    <w:rsid w:val="00671D53"/>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link w:val="Ttulo1Car"/>
    <w:qFormat/>
    <w:rsid w:val="00473499"/>
    <w:pPr>
      <w:keepNext/>
      <w:keepLines/>
      <w:numPr>
        <w:numId w:val="29"/>
      </w:numPr>
      <w:jc w:val="center"/>
      <w:outlineLvl w:val="0"/>
    </w:pPr>
    <w:rPr>
      <w:rFonts w:ascii="Century Gothic" w:eastAsiaTheme="majorEastAsia" w:hAnsi="Century Gothic" w:cstheme="majorBidi"/>
      <w:b/>
      <w:bCs/>
      <w:szCs w:val="28"/>
    </w:rPr>
  </w:style>
  <w:style w:type="paragraph" w:styleId="Ttulo2">
    <w:name w:val="heading 2"/>
    <w:basedOn w:val="Normal"/>
    <w:next w:val="Normal"/>
    <w:link w:val="Ttulo2Car"/>
    <w:unhideWhenUsed/>
    <w:qFormat/>
    <w:rsid w:val="00C54EB0"/>
    <w:pPr>
      <w:keepNext/>
      <w:keepLines/>
      <w:numPr>
        <w:ilvl w:val="1"/>
        <w:numId w:val="29"/>
      </w:numPr>
      <w:outlineLvl w:val="1"/>
    </w:pPr>
    <w:rPr>
      <w:rFonts w:ascii="Century Gothic" w:eastAsiaTheme="majorEastAsia" w:hAnsi="Century Gothic" w:cstheme="majorBidi"/>
      <w:b/>
      <w:bCs/>
      <w:szCs w:val="26"/>
    </w:rPr>
  </w:style>
  <w:style w:type="paragraph" w:styleId="Ttulo3">
    <w:name w:val="heading 3"/>
    <w:basedOn w:val="Normal"/>
    <w:next w:val="Normal"/>
    <w:link w:val="Ttulo3Car"/>
    <w:unhideWhenUsed/>
    <w:qFormat/>
    <w:rsid w:val="00C54EB0"/>
    <w:pPr>
      <w:keepNext/>
      <w:keepLines/>
      <w:numPr>
        <w:ilvl w:val="2"/>
        <w:numId w:val="29"/>
      </w:numPr>
      <w:outlineLvl w:val="2"/>
    </w:pPr>
    <w:rPr>
      <w:rFonts w:ascii="Century Gothic" w:eastAsiaTheme="majorEastAsia" w:hAnsi="Century Gothic" w:cstheme="majorBidi"/>
      <w:b/>
      <w:bCs/>
    </w:rPr>
  </w:style>
  <w:style w:type="paragraph" w:styleId="Ttulo4">
    <w:name w:val="heading 4"/>
    <w:basedOn w:val="Normal"/>
    <w:next w:val="Normal"/>
    <w:link w:val="Ttulo4Car"/>
    <w:unhideWhenUsed/>
    <w:qFormat/>
    <w:rsid w:val="00E10549"/>
    <w:pPr>
      <w:keepNext/>
      <w:keepLines/>
      <w:numPr>
        <w:ilvl w:val="3"/>
        <w:numId w:val="29"/>
      </w:numPr>
      <w:spacing w:line="360" w:lineRule="auto"/>
      <w:ind w:left="0"/>
      <w:outlineLvl w:val="3"/>
    </w:pPr>
    <w:rPr>
      <w:rFonts w:ascii="Century Gothic" w:eastAsiaTheme="majorEastAsia" w:hAnsi="Century Gothic" w:cstheme="majorBidi"/>
      <w:bCs/>
      <w:i/>
      <w:iCs/>
    </w:rPr>
  </w:style>
  <w:style w:type="paragraph" w:styleId="Ttulo5">
    <w:name w:val="heading 5"/>
    <w:basedOn w:val="Normal"/>
    <w:next w:val="Normal"/>
    <w:link w:val="Ttulo5Car"/>
    <w:unhideWhenUsed/>
    <w:qFormat/>
    <w:rsid w:val="00EA43E7"/>
    <w:pPr>
      <w:keepNext/>
      <w:keepLines/>
      <w:numPr>
        <w:ilvl w:val="4"/>
        <w:numId w:val="29"/>
      </w:numPr>
      <w:spacing w:after="0" w:line="360" w:lineRule="auto"/>
      <w:outlineLvl w:val="4"/>
    </w:pPr>
    <w:rPr>
      <w:rFonts w:ascii="Century Gothic" w:eastAsiaTheme="majorEastAsia" w:hAnsi="Century Gothic" w:cstheme="majorBidi"/>
    </w:rPr>
  </w:style>
  <w:style w:type="paragraph" w:styleId="Ttulo6">
    <w:name w:val="heading 6"/>
    <w:basedOn w:val="Normal"/>
    <w:next w:val="Normal"/>
    <w:link w:val="Ttulo6Car"/>
    <w:unhideWhenUsed/>
    <w:qFormat/>
    <w:rsid w:val="00BC5A58"/>
    <w:pPr>
      <w:keepNext/>
      <w:keepLines/>
      <w:numPr>
        <w:ilvl w:val="5"/>
        <w:numId w:val="29"/>
      </w:numPr>
      <w:spacing w:after="0" w:line="360" w:lineRule="auto"/>
      <w:outlineLvl w:val="5"/>
    </w:pPr>
    <w:rPr>
      <w:rFonts w:ascii="Arial" w:eastAsiaTheme="majorEastAsia" w:hAnsi="Arial" w:cstheme="majorBidi"/>
      <w:i/>
      <w:iCs/>
      <w:sz w:val="24"/>
    </w:rPr>
  </w:style>
  <w:style w:type="paragraph" w:styleId="Ttulo7">
    <w:name w:val="heading 7"/>
    <w:basedOn w:val="Normal"/>
    <w:next w:val="Normal"/>
    <w:link w:val="Ttulo7Car"/>
    <w:unhideWhenUsed/>
    <w:qFormat/>
    <w:rsid w:val="00BC5A58"/>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BC5A58"/>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nhideWhenUsed/>
    <w:qFormat/>
    <w:rsid w:val="00BC5A58"/>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73499"/>
    <w:rPr>
      <w:rFonts w:ascii="Century Gothic" w:eastAsiaTheme="majorEastAsia" w:hAnsi="Century Gothic" w:cstheme="majorBidi"/>
      <w:b/>
      <w:bCs/>
      <w:szCs w:val="28"/>
    </w:rPr>
  </w:style>
  <w:style w:type="character" w:customStyle="1" w:styleId="Ttulo2Car">
    <w:name w:val="Título 2 Car"/>
    <w:basedOn w:val="Fuentedeprrafopredeter"/>
    <w:link w:val="Ttulo2"/>
    <w:rsid w:val="00C54EB0"/>
    <w:rPr>
      <w:rFonts w:ascii="Century Gothic" w:eastAsiaTheme="majorEastAsia" w:hAnsi="Century Gothic" w:cstheme="majorBidi"/>
      <w:b/>
      <w:bCs/>
      <w:szCs w:val="26"/>
    </w:rPr>
  </w:style>
  <w:style w:type="character" w:customStyle="1" w:styleId="Ttulo3Car">
    <w:name w:val="Título 3 Car"/>
    <w:basedOn w:val="Fuentedeprrafopredeter"/>
    <w:link w:val="Ttulo3"/>
    <w:rsid w:val="00C54EB0"/>
    <w:rPr>
      <w:rFonts w:ascii="Century Gothic" w:eastAsiaTheme="majorEastAsia" w:hAnsi="Century Gothic" w:cstheme="majorBidi"/>
      <w:b/>
      <w:bCs/>
    </w:rPr>
  </w:style>
  <w:style w:type="character" w:customStyle="1" w:styleId="Ttulo4Car">
    <w:name w:val="Título 4 Car"/>
    <w:basedOn w:val="Fuentedeprrafopredeter"/>
    <w:link w:val="Ttulo4"/>
    <w:rsid w:val="00E10549"/>
    <w:rPr>
      <w:rFonts w:ascii="Century Gothic" w:eastAsiaTheme="majorEastAsia" w:hAnsi="Century Gothic" w:cstheme="majorBidi"/>
      <w:bCs/>
      <w:i/>
      <w:iCs/>
    </w:rPr>
  </w:style>
  <w:style w:type="character" w:customStyle="1" w:styleId="Ttulo5Car">
    <w:name w:val="Título 5 Car"/>
    <w:basedOn w:val="Fuentedeprrafopredeter"/>
    <w:link w:val="Ttulo5"/>
    <w:rsid w:val="00EA43E7"/>
    <w:rPr>
      <w:rFonts w:ascii="Century Gothic" w:eastAsiaTheme="majorEastAsia" w:hAnsi="Century Gothic" w:cstheme="majorBidi"/>
    </w:rPr>
  </w:style>
  <w:style w:type="character" w:customStyle="1" w:styleId="Ttulo6Car">
    <w:name w:val="Título 6 Car"/>
    <w:basedOn w:val="Fuentedeprrafopredeter"/>
    <w:link w:val="Ttulo6"/>
    <w:rsid w:val="00BC5A58"/>
    <w:rPr>
      <w:rFonts w:ascii="Arial" w:eastAsiaTheme="majorEastAsia" w:hAnsi="Arial" w:cstheme="majorBidi"/>
      <w:i/>
      <w:iCs/>
      <w:sz w:val="24"/>
    </w:rPr>
  </w:style>
  <w:style w:type="character" w:customStyle="1" w:styleId="Ttulo7Car">
    <w:name w:val="Título 7 Car"/>
    <w:basedOn w:val="Fuentedeprrafopredeter"/>
    <w:link w:val="Ttulo7"/>
    <w:rsid w:val="00BC5A5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BC5A5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BC5A58"/>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uiPriority w:val="1"/>
    <w:unhideWhenUsed/>
    <w:qFormat/>
    <w:rsid w:val="00855DCD"/>
    <w:pPr>
      <w:widowControl w:val="0"/>
      <w:spacing w:after="0" w:line="240" w:lineRule="auto"/>
    </w:pPr>
    <w:rPr>
      <w:rFonts w:ascii="Century Gothic" w:eastAsia="Century Gothic" w:hAnsi="Century Gothic" w:cs="Century Gothic"/>
      <w:sz w:val="24"/>
      <w:szCs w:val="24"/>
      <w:lang w:val="en-US"/>
    </w:rPr>
  </w:style>
  <w:style w:type="character" w:customStyle="1" w:styleId="TextoindependienteCar">
    <w:name w:val="Texto independiente Car"/>
    <w:basedOn w:val="Fuentedeprrafopredeter"/>
    <w:link w:val="Textoindependiente"/>
    <w:uiPriority w:val="1"/>
    <w:rsid w:val="00855DCD"/>
    <w:rPr>
      <w:rFonts w:ascii="Century Gothic" w:eastAsia="Century Gothic" w:hAnsi="Century Gothic" w:cs="Century Gothic"/>
      <w:sz w:val="24"/>
      <w:szCs w:val="24"/>
      <w:lang w:val="en-US"/>
    </w:rPr>
  </w:style>
  <w:style w:type="paragraph" w:styleId="Prrafodelista">
    <w:name w:val="List Paragraph"/>
    <w:basedOn w:val="Normal"/>
    <w:link w:val="PrrafodelistaCar"/>
    <w:uiPriority w:val="34"/>
    <w:qFormat/>
    <w:rsid w:val="00855DCD"/>
    <w:pPr>
      <w:widowControl w:val="0"/>
      <w:spacing w:after="0" w:line="240" w:lineRule="auto"/>
      <w:ind w:left="810" w:hanging="360"/>
      <w:jc w:val="both"/>
    </w:pPr>
    <w:rPr>
      <w:rFonts w:ascii="Century Gothic" w:eastAsia="Century Gothic" w:hAnsi="Century Gothic" w:cs="Century Gothic"/>
      <w:lang w:val="en-US"/>
    </w:rPr>
  </w:style>
  <w:style w:type="character" w:customStyle="1" w:styleId="PrrafodelistaCar">
    <w:name w:val="Párrafo de lista Car"/>
    <w:basedOn w:val="Fuentedeprrafopredeter"/>
    <w:link w:val="Prrafodelista"/>
    <w:uiPriority w:val="34"/>
    <w:locked/>
    <w:rsid w:val="00852B6E"/>
    <w:rPr>
      <w:rFonts w:ascii="Century Gothic" w:eastAsia="Century Gothic" w:hAnsi="Century Gothic" w:cs="Century Gothic"/>
      <w:lang w:val="en-US"/>
    </w:rPr>
  </w:style>
  <w:style w:type="paragraph" w:customStyle="1" w:styleId="Ttulo21">
    <w:name w:val="Título 21"/>
    <w:basedOn w:val="Normal"/>
    <w:rsid w:val="00855DCD"/>
    <w:pPr>
      <w:widowControl w:val="0"/>
      <w:spacing w:after="0" w:line="240" w:lineRule="auto"/>
      <w:ind w:left="810"/>
      <w:jc w:val="both"/>
      <w:outlineLvl w:val="2"/>
    </w:pPr>
    <w:rPr>
      <w:rFonts w:ascii="Century Gothic" w:eastAsia="Century Gothic" w:hAnsi="Century Gothic" w:cs="Century Gothic"/>
      <w:b/>
      <w:bCs/>
      <w:sz w:val="24"/>
      <w:szCs w:val="24"/>
      <w:lang w:val="en-US"/>
    </w:rPr>
  </w:style>
  <w:style w:type="character" w:styleId="Textoennegrita">
    <w:name w:val="Strong"/>
    <w:basedOn w:val="Fuentedeprrafopredeter"/>
    <w:uiPriority w:val="99"/>
    <w:qFormat/>
    <w:rsid w:val="00855DCD"/>
    <w:rPr>
      <w:b/>
      <w:bCs/>
    </w:rPr>
  </w:style>
  <w:style w:type="character" w:styleId="Hipervnculo">
    <w:name w:val="Hyperlink"/>
    <w:basedOn w:val="Fuentedeprrafopredeter"/>
    <w:uiPriority w:val="99"/>
    <w:unhideWhenUsed/>
    <w:rsid w:val="00855DCD"/>
    <w:rPr>
      <w:color w:val="0000FF"/>
      <w:u w:val="single"/>
    </w:rPr>
  </w:style>
  <w:style w:type="paragraph" w:styleId="Epgrafe">
    <w:name w:val="caption"/>
    <w:basedOn w:val="Normal"/>
    <w:next w:val="Normal"/>
    <w:unhideWhenUsed/>
    <w:rsid w:val="00BC5A58"/>
    <w:pPr>
      <w:spacing w:line="240" w:lineRule="auto"/>
    </w:pPr>
    <w:rPr>
      <w:b/>
      <w:bCs/>
      <w:color w:val="4F81BD" w:themeColor="accent1"/>
      <w:sz w:val="18"/>
      <w:szCs w:val="18"/>
    </w:rPr>
  </w:style>
  <w:style w:type="table" w:styleId="Tablaconcuadrcula">
    <w:name w:val="Table Grid"/>
    <w:basedOn w:val="Tablanormal"/>
    <w:uiPriority w:val="39"/>
    <w:rsid w:val="00BC5A58"/>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C5A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5A58"/>
    <w:rPr>
      <w:rFonts w:ascii="Tahoma" w:hAnsi="Tahoma" w:cs="Tahoma"/>
      <w:sz w:val="16"/>
      <w:szCs w:val="16"/>
    </w:rPr>
  </w:style>
  <w:style w:type="character" w:styleId="Hipervnculovisitado">
    <w:name w:val="FollowedHyperlink"/>
    <w:basedOn w:val="Fuentedeprrafopredeter"/>
    <w:uiPriority w:val="99"/>
    <w:semiHidden/>
    <w:unhideWhenUsed/>
    <w:rsid w:val="00BC5A58"/>
    <w:rPr>
      <w:color w:val="800080" w:themeColor="followedHyperlink"/>
      <w:u w:val="single"/>
    </w:rPr>
  </w:style>
  <w:style w:type="paragraph" w:styleId="Encabezado">
    <w:name w:val="header"/>
    <w:basedOn w:val="Normal"/>
    <w:link w:val="EncabezadoCar"/>
    <w:uiPriority w:val="99"/>
    <w:unhideWhenUsed/>
    <w:rsid w:val="00BC5A58"/>
    <w:pPr>
      <w:widowControl w:val="0"/>
      <w:tabs>
        <w:tab w:val="center" w:pos="4419"/>
        <w:tab w:val="right" w:pos="8838"/>
      </w:tabs>
      <w:spacing w:after="0" w:line="240" w:lineRule="auto"/>
    </w:pPr>
    <w:rPr>
      <w:rFonts w:ascii="Century Gothic" w:eastAsia="Century Gothic" w:hAnsi="Century Gothic" w:cs="Century Gothic"/>
      <w:lang w:val="en-US"/>
    </w:rPr>
  </w:style>
  <w:style w:type="character" w:customStyle="1" w:styleId="EncabezadoCar">
    <w:name w:val="Encabezado Car"/>
    <w:basedOn w:val="Fuentedeprrafopredeter"/>
    <w:link w:val="Encabezado"/>
    <w:uiPriority w:val="99"/>
    <w:rsid w:val="00BC5A58"/>
    <w:rPr>
      <w:rFonts w:ascii="Century Gothic" w:eastAsia="Century Gothic" w:hAnsi="Century Gothic" w:cs="Century Gothic"/>
      <w:lang w:val="en-US"/>
    </w:rPr>
  </w:style>
  <w:style w:type="paragraph" w:styleId="Piedepgina">
    <w:name w:val="footer"/>
    <w:basedOn w:val="Normal"/>
    <w:link w:val="PiedepginaCar"/>
    <w:uiPriority w:val="99"/>
    <w:unhideWhenUsed/>
    <w:rsid w:val="00BC5A58"/>
    <w:pPr>
      <w:widowControl w:val="0"/>
      <w:tabs>
        <w:tab w:val="center" w:pos="4419"/>
        <w:tab w:val="right" w:pos="8838"/>
      </w:tabs>
      <w:spacing w:after="0" w:line="240" w:lineRule="auto"/>
    </w:pPr>
    <w:rPr>
      <w:rFonts w:ascii="Century Gothic" w:eastAsia="Century Gothic" w:hAnsi="Century Gothic" w:cs="Century Gothic"/>
      <w:lang w:val="en-US"/>
    </w:rPr>
  </w:style>
  <w:style w:type="character" w:customStyle="1" w:styleId="PiedepginaCar">
    <w:name w:val="Pie de página Car"/>
    <w:basedOn w:val="Fuentedeprrafopredeter"/>
    <w:link w:val="Piedepgina"/>
    <w:uiPriority w:val="99"/>
    <w:rsid w:val="00BC5A58"/>
    <w:rPr>
      <w:rFonts w:ascii="Century Gothic" w:eastAsia="Century Gothic" w:hAnsi="Century Gothic" w:cs="Century Gothic"/>
      <w:lang w:val="en-US"/>
    </w:rPr>
  </w:style>
  <w:style w:type="paragraph" w:customStyle="1" w:styleId="Ttulo11">
    <w:name w:val="Título 11"/>
    <w:basedOn w:val="Normal"/>
    <w:uiPriority w:val="1"/>
    <w:qFormat/>
    <w:rsid w:val="00BC5A58"/>
    <w:pPr>
      <w:widowControl w:val="0"/>
      <w:spacing w:after="0" w:line="240" w:lineRule="auto"/>
      <w:ind w:left="102" w:right="99"/>
      <w:jc w:val="both"/>
      <w:outlineLvl w:val="1"/>
    </w:pPr>
    <w:rPr>
      <w:rFonts w:ascii="Century Gothic" w:eastAsia="Century Gothic" w:hAnsi="Century Gothic" w:cs="Century Gothic"/>
      <w:sz w:val="25"/>
      <w:szCs w:val="25"/>
      <w:lang w:val="en-US"/>
    </w:rPr>
  </w:style>
  <w:style w:type="paragraph" w:customStyle="1" w:styleId="TableParagraph">
    <w:name w:val="Table Paragraph"/>
    <w:basedOn w:val="Normal"/>
    <w:uiPriority w:val="1"/>
    <w:qFormat/>
    <w:rsid w:val="00BC5A58"/>
    <w:pPr>
      <w:widowControl w:val="0"/>
      <w:spacing w:after="0" w:line="240" w:lineRule="auto"/>
      <w:jc w:val="right"/>
    </w:pPr>
    <w:rPr>
      <w:rFonts w:ascii="Arial" w:eastAsia="Arial" w:hAnsi="Arial" w:cs="Arial"/>
      <w:lang w:val="en-US"/>
    </w:rPr>
  </w:style>
  <w:style w:type="table" w:customStyle="1" w:styleId="TableNormal">
    <w:name w:val="Table Normal"/>
    <w:uiPriority w:val="2"/>
    <w:semiHidden/>
    <w:qFormat/>
    <w:rsid w:val="00BC5A58"/>
    <w:pPr>
      <w:widowControl w:val="0"/>
      <w:spacing w:after="0" w:line="240" w:lineRule="auto"/>
    </w:pPr>
    <w:rPr>
      <w:lang w:val="en-US"/>
    </w:rPr>
    <w:tblPr>
      <w:tblCellMar>
        <w:top w:w="0" w:type="dxa"/>
        <w:left w:w="0" w:type="dxa"/>
        <w:bottom w:w="0" w:type="dxa"/>
        <w:right w:w="0" w:type="dxa"/>
      </w:tblCellMar>
    </w:tblPr>
  </w:style>
  <w:style w:type="paragraph" w:styleId="Textonotapie">
    <w:name w:val="footnote text"/>
    <w:basedOn w:val="Normal"/>
    <w:link w:val="TextonotapieCar"/>
    <w:uiPriority w:val="99"/>
    <w:unhideWhenUsed/>
    <w:rsid w:val="00852B6E"/>
    <w:pPr>
      <w:spacing w:after="0" w:line="240" w:lineRule="auto"/>
    </w:pPr>
    <w:rPr>
      <w:sz w:val="20"/>
      <w:szCs w:val="20"/>
      <w:lang w:val="es-ES_tradnl" w:eastAsia="es-ES_tradnl"/>
    </w:rPr>
  </w:style>
  <w:style w:type="character" w:customStyle="1" w:styleId="TextonotapieCar">
    <w:name w:val="Texto nota pie Car"/>
    <w:basedOn w:val="Fuentedeprrafopredeter"/>
    <w:link w:val="Textonotapie"/>
    <w:uiPriority w:val="99"/>
    <w:rsid w:val="00852B6E"/>
    <w:rPr>
      <w:rFonts w:eastAsiaTheme="minorEastAsia"/>
      <w:sz w:val="20"/>
      <w:szCs w:val="20"/>
      <w:lang w:val="es-ES_tradnl" w:eastAsia="es-ES_tradnl"/>
    </w:rPr>
  </w:style>
  <w:style w:type="character" w:styleId="Refdenotaalpie">
    <w:name w:val="footnote reference"/>
    <w:basedOn w:val="Fuentedeprrafopredeter"/>
    <w:uiPriority w:val="99"/>
    <w:unhideWhenUsed/>
    <w:rsid w:val="00852B6E"/>
    <w:rPr>
      <w:vertAlign w:val="superscript"/>
    </w:rPr>
  </w:style>
  <w:style w:type="character" w:styleId="Refdecomentario">
    <w:name w:val="annotation reference"/>
    <w:basedOn w:val="Fuentedeprrafopredeter"/>
    <w:uiPriority w:val="99"/>
    <w:semiHidden/>
    <w:unhideWhenUsed/>
    <w:rsid w:val="00905462"/>
    <w:rPr>
      <w:sz w:val="16"/>
      <w:szCs w:val="16"/>
    </w:rPr>
  </w:style>
  <w:style w:type="paragraph" w:styleId="Textocomentario">
    <w:name w:val="annotation text"/>
    <w:basedOn w:val="Normal"/>
    <w:link w:val="TextocomentarioCar"/>
    <w:uiPriority w:val="99"/>
    <w:semiHidden/>
    <w:unhideWhenUsed/>
    <w:rsid w:val="009054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5462"/>
    <w:rPr>
      <w:sz w:val="20"/>
      <w:szCs w:val="20"/>
    </w:rPr>
  </w:style>
  <w:style w:type="paragraph" w:styleId="Asuntodelcomentario">
    <w:name w:val="annotation subject"/>
    <w:basedOn w:val="Textocomentario"/>
    <w:next w:val="Textocomentario"/>
    <w:link w:val="AsuntodelcomentarioCar"/>
    <w:uiPriority w:val="99"/>
    <w:semiHidden/>
    <w:unhideWhenUsed/>
    <w:rsid w:val="00905462"/>
    <w:rPr>
      <w:b/>
      <w:bCs/>
    </w:rPr>
  </w:style>
  <w:style w:type="character" w:customStyle="1" w:styleId="AsuntodelcomentarioCar">
    <w:name w:val="Asunto del comentario Car"/>
    <w:basedOn w:val="TextocomentarioCar"/>
    <w:link w:val="Asuntodelcomentario"/>
    <w:uiPriority w:val="99"/>
    <w:semiHidden/>
    <w:rsid w:val="00905462"/>
    <w:rPr>
      <w:b/>
      <w:bCs/>
      <w:sz w:val="20"/>
      <w:szCs w:val="20"/>
    </w:rPr>
  </w:style>
  <w:style w:type="paragraph" w:customStyle="1" w:styleId="Default">
    <w:name w:val="Default"/>
    <w:rsid w:val="006649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nhideWhenUsed/>
    <w:rsid w:val="00BE6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Fuentedeprrafopredeter"/>
    <w:link w:val="Prrafodelista1"/>
    <w:locked/>
    <w:rsid w:val="00BD1243"/>
    <w:rPr>
      <w:rFonts w:ascii="Century Gothic" w:hAnsi="Century Gothic" w:cs="Century Gothic"/>
    </w:rPr>
  </w:style>
  <w:style w:type="paragraph" w:customStyle="1" w:styleId="Prrafodelista1">
    <w:name w:val="Párrafo de lista1"/>
    <w:basedOn w:val="Normal"/>
    <w:link w:val="ListParagraphChar"/>
    <w:rsid w:val="00BD1243"/>
    <w:pPr>
      <w:widowControl w:val="0"/>
      <w:spacing w:after="0" w:line="240" w:lineRule="auto"/>
      <w:ind w:left="810" w:hanging="360"/>
      <w:jc w:val="both"/>
    </w:pPr>
    <w:rPr>
      <w:rFonts w:ascii="Century Gothic" w:hAnsi="Century Gothic" w:cs="Century Gothic"/>
    </w:rPr>
  </w:style>
  <w:style w:type="paragraph" w:styleId="Sinespaciado">
    <w:name w:val="No Spacing"/>
    <w:link w:val="SinespaciadoCar"/>
    <w:uiPriority w:val="1"/>
    <w:qFormat/>
    <w:rsid w:val="00677466"/>
    <w:pPr>
      <w:spacing w:after="0" w:line="240" w:lineRule="auto"/>
    </w:pPr>
  </w:style>
  <w:style w:type="paragraph" w:styleId="TtulodeTDC">
    <w:name w:val="TOC Heading"/>
    <w:basedOn w:val="Ttulo1"/>
    <w:next w:val="Normal"/>
    <w:uiPriority w:val="39"/>
    <w:semiHidden/>
    <w:unhideWhenUsed/>
    <w:qFormat/>
    <w:rsid w:val="00AF2D5C"/>
    <w:pPr>
      <w:numPr>
        <w:numId w:val="0"/>
      </w:numPr>
      <w:spacing w:before="480"/>
      <w:outlineLvl w:val="9"/>
    </w:pPr>
    <w:rPr>
      <w:rFonts w:asciiTheme="majorHAnsi" w:hAnsiTheme="majorHAnsi"/>
      <w:color w:val="365F91" w:themeColor="accent1" w:themeShade="BF"/>
      <w:sz w:val="28"/>
      <w:lang w:val="es-ES" w:eastAsia="es-ES"/>
    </w:rPr>
  </w:style>
  <w:style w:type="paragraph" w:styleId="TDC1">
    <w:name w:val="toc 1"/>
    <w:basedOn w:val="Normal"/>
    <w:next w:val="Normal"/>
    <w:autoRedefine/>
    <w:uiPriority w:val="39"/>
    <w:unhideWhenUsed/>
    <w:rsid w:val="00AF2D5C"/>
    <w:pPr>
      <w:spacing w:after="100"/>
    </w:pPr>
  </w:style>
  <w:style w:type="paragraph" w:styleId="TDC2">
    <w:name w:val="toc 2"/>
    <w:basedOn w:val="Normal"/>
    <w:next w:val="Normal"/>
    <w:autoRedefine/>
    <w:uiPriority w:val="39"/>
    <w:unhideWhenUsed/>
    <w:rsid w:val="00AF2D5C"/>
    <w:pPr>
      <w:spacing w:after="100"/>
      <w:ind w:left="220"/>
    </w:pPr>
  </w:style>
  <w:style w:type="paragraph" w:styleId="TDC3">
    <w:name w:val="toc 3"/>
    <w:basedOn w:val="Normal"/>
    <w:next w:val="Normal"/>
    <w:autoRedefine/>
    <w:uiPriority w:val="39"/>
    <w:unhideWhenUsed/>
    <w:rsid w:val="00880E74"/>
    <w:pPr>
      <w:tabs>
        <w:tab w:val="left" w:pos="880"/>
        <w:tab w:val="right" w:leader="dot" w:pos="8828"/>
      </w:tabs>
      <w:spacing w:after="0"/>
      <w:ind w:left="440"/>
    </w:pPr>
  </w:style>
  <w:style w:type="paragraph" w:styleId="Tabladeilustraciones">
    <w:name w:val="table of figures"/>
    <w:basedOn w:val="Normal"/>
    <w:next w:val="Normal"/>
    <w:uiPriority w:val="99"/>
    <w:unhideWhenUsed/>
    <w:rsid w:val="00D35825"/>
    <w:pPr>
      <w:spacing w:after="0"/>
    </w:pPr>
  </w:style>
  <w:style w:type="paragraph" w:styleId="Revisin">
    <w:name w:val="Revision"/>
    <w:hidden/>
    <w:uiPriority w:val="99"/>
    <w:semiHidden/>
    <w:rsid w:val="00365686"/>
    <w:pPr>
      <w:spacing w:after="0" w:line="240" w:lineRule="auto"/>
    </w:pPr>
  </w:style>
  <w:style w:type="paragraph" w:customStyle="1" w:styleId="Prrafodelista2">
    <w:name w:val="Párrafo de lista2"/>
    <w:basedOn w:val="Normal"/>
    <w:link w:val="ListParagraphChar1"/>
    <w:rsid w:val="00C41966"/>
    <w:pPr>
      <w:widowControl w:val="0"/>
      <w:spacing w:after="0" w:line="240" w:lineRule="auto"/>
      <w:ind w:left="810" w:hanging="360"/>
      <w:jc w:val="both"/>
    </w:pPr>
    <w:rPr>
      <w:rFonts w:ascii="Century Gothic" w:eastAsia="Times New Roman" w:hAnsi="Century Gothic" w:cs="Century Gothic"/>
      <w:lang w:val="en-US"/>
    </w:rPr>
  </w:style>
  <w:style w:type="character" w:customStyle="1" w:styleId="ListParagraphChar1">
    <w:name w:val="List Paragraph Char1"/>
    <w:link w:val="Prrafodelista2"/>
    <w:locked/>
    <w:rsid w:val="00C41966"/>
    <w:rPr>
      <w:rFonts w:ascii="Century Gothic" w:eastAsia="Times New Roman" w:hAnsi="Century Gothic" w:cs="Century Gothic"/>
      <w:lang w:val="en-US"/>
    </w:rPr>
  </w:style>
  <w:style w:type="character" w:customStyle="1" w:styleId="SinespaciadoCar">
    <w:name w:val="Sin espaciado Car"/>
    <w:basedOn w:val="Fuentedeprrafopredeter"/>
    <w:link w:val="Sinespaciado"/>
    <w:uiPriority w:val="1"/>
    <w:rsid w:val="00AE7279"/>
  </w:style>
  <w:style w:type="table" w:customStyle="1" w:styleId="Tabladecuadrcula5oscura-nfasis11">
    <w:name w:val="Tabla de cuadrícula 5 oscura - Énfasis 11"/>
    <w:basedOn w:val="Tablanormal"/>
    <w:uiPriority w:val="50"/>
    <w:rsid w:val="003F3CC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concuadrcula4-nfasis11">
    <w:name w:val="Tabla con cuadrícula 4 - Énfasis 11"/>
    <w:basedOn w:val="Tablanormal"/>
    <w:uiPriority w:val="49"/>
    <w:rsid w:val="00BD606D"/>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nfasis31">
    <w:name w:val="Tabla con cuadrícula 4 - Énfasis 31"/>
    <w:basedOn w:val="Tablanormal"/>
    <w:uiPriority w:val="49"/>
    <w:rsid w:val="00671D53"/>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02">
      <w:bodyDiv w:val="1"/>
      <w:marLeft w:val="0"/>
      <w:marRight w:val="0"/>
      <w:marTop w:val="0"/>
      <w:marBottom w:val="0"/>
      <w:divBdr>
        <w:top w:val="none" w:sz="0" w:space="0" w:color="auto"/>
        <w:left w:val="none" w:sz="0" w:space="0" w:color="auto"/>
        <w:bottom w:val="none" w:sz="0" w:space="0" w:color="auto"/>
        <w:right w:val="none" w:sz="0" w:space="0" w:color="auto"/>
      </w:divBdr>
    </w:div>
    <w:div w:id="15161000">
      <w:bodyDiv w:val="1"/>
      <w:marLeft w:val="0"/>
      <w:marRight w:val="0"/>
      <w:marTop w:val="0"/>
      <w:marBottom w:val="0"/>
      <w:divBdr>
        <w:top w:val="none" w:sz="0" w:space="0" w:color="auto"/>
        <w:left w:val="none" w:sz="0" w:space="0" w:color="auto"/>
        <w:bottom w:val="none" w:sz="0" w:space="0" w:color="auto"/>
        <w:right w:val="none" w:sz="0" w:space="0" w:color="auto"/>
      </w:divBdr>
    </w:div>
    <w:div w:id="30108168">
      <w:bodyDiv w:val="1"/>
      <w:marLeft w:val="0"/>
      <w:marRight w:val="0"/>
      <w:marTop w:val="0"/>
      <w:marBottom w:val="0"/>
      <w:divBdr>
        <w:top w:val="none" w:sz="0" w:space="0" w:color="auto"/>
        <w:left w:val="none" w:sz="0" w:space="0" w:color="auto"/>
        <w:bottom w:val="none" w:sz="0" w:space="0" w:color="auto"/>
        <w:right w:val="none" w:sz="0" w:space="0" w:color="auto"/>
      </w:divBdr>
    </w:div>
    <w:div w:id="49352533">
      <w:bodyDiv w:val="1"/>
      <w:marLeft w:val="0"/>
      <w:marRight w:val="0"/>
      <w:marTop w:val="0"/>
      <w:marBottom w:val="0"/>
      <w:divBdr>
        <w:top w:val="none" w:sz="0" w:space="0" w:color="auto"/>
        <w:left w:val="none" w:sz="0" w:space="0" w:color="auto"/>
        <w:bottom w:val="none" w:sz="0" w:space="0" w:color="auto"/>
        <w:right w:val="none" w:sz="0" w:space="0" w:color="auto"/>
      </w:divBdr>
    </w:div>
    <w:div w:id="68038486">
      <w:bodyDiv w:val="1"/>
      <w:marLeft w:val="0"/>
      <w:marRight w:val="0"/>
      <w:marTop w:val="0"/>
      <w:marBottom w:val="0"/>
      <w:divBdr>
        <w:top w:val="none" w:sz="0" w:space="0" w:color="auto"/>
        <w:left w:val="none" w:sz="0" w:space="0" w:color="auto"/>
        <w:bottom w:val="none" w:sz="0" w:space="0" w:color="auto"/>
        <w:right w:val="none" w:sz="0" w:space="0" w:color="auto"/>
      </w:divBdr>
    </w:div>
    <w:div w:id="70664334">
      <w:bodyDiv w:val="1"/>
      <w:marLeft w:val="0"/>
      <w:marRight w:val="0"/>
      <w:marTop w:val="0"/>
      <w:marBottom w:val="0"/>
      <w:divBdr>
        <w:top w:val="none" w:sz="0" w:space="0" w:color="auto"/>
        <w:left w:val="none" w:sz="0" w:space="0" w:color="auto"/>
        <w:bottom w:val="none" w:sz="0" w:space="0" w:color="auto"/>
        <w:right w:val="none" w:sz="0" w:space="0" w:color="auto"/>
      </w:divBdr>
    </w:div>
    <w:div w:id="71590730">
      <w:bodyDiv w:val="1"/>
      <w:marLeft w:val="0"/>
      <w:marRight w:val="0"/>
      <w:marTop w:val="0"/>
      <w:marBottom w:val="0"/>
      <w:divBdr>
        <w:top w:val="none" w:sz="0" w:space="0" w:color="auto"/>
        <w:left w:val="none" w:sz="0" w:space="0" w:color="auto"/>
        <w:bottom w:val="none" w:sz="0" w:space="0" w:color="auto"/>
        <w:right w:val="none" w:sz="0" w:space="0" w:color="auto"/>
      </w:divBdr>
    </w:div>
    <w:div w:id="72750856">
      <w:bodyDiv w:val="1"/>
      <w:marLeft w:val="0"/>
      <w:marRight w:val="0"/>
      <w:marTop w:val="0"/>
      <w:marBottom w:val="0"/>
      <w:divBdr>
        <w:top w:val="none" w:sz="0" w:space="0" w:color="auto"/>
        <w:left w:val="none" w:sz="0" w:space="0" w:color="auto"/>
        <w:bottom w:val="none" w:sz="0" w:space="0" w:color="auto"/>
        <w:right w:val="none" w:sz="0" w:space="0" w:color="auto"/>
      </w:divBdr>
    </w:div>
    <w:div w:id="88889284">
      <w:bodyDiv w:val="1"/>
      <w:marLeft w:val="0"/>
      <w:marRight w:val="0"/>
      <w:marTop w:val="0"/>
      <w:marBottom w:val="0"/>
      <w:divBdr>
        <w:top w:val="none" w:sz="0" w:space="0" w:color="auto"/>
        <w:left w:val="none" w:sz="0" w:space="0" w:color="auto"/>
        <w:bottom w:val="none" w:sz="0" w:space="0" w:color="auto"/>
        <w:right w:val="none" w:sz="0" w:space="0" w:color="auto"/>
      </w:divBdr>
    </w:div>
    <w:div w:id="90442331">
      <w:bodyDiv w:val="1"/>
      <w:marLeft w:val="0"/>
      <w:marRight w:val="0"/>
      <w:marTop w:val="0"/>
      <w:marBottom w:val="0"/>
      <w:divBdr>
        <w:top w:val="none" w:sz="0" w:space="0" w:color="auto"/>
        <w:left w:val="none" w:sz="0" w:space="0" w:color="auto"/>
        <w:bottom w:val="none" w:sz="0" w:space="0" w:color="auto"/>
        <w:right w:val="none" w:sz="0" w:space="0" w:color="auto"/>
      </w:divBdr>
    </w:div>
    <w:div w:id="91702288">
      <w:bodyDiv w:val="1"/>
      <w:marLeft w:val="0"/>
      <w:marRight w:val="0"/>
      <w:marTop w:val="0"/>
      <w:marBottom w:val="0"/>
      <w:divBdr>
        <w:top w:val="none" w:sz="0" w:space="0" w:color="auto"/>
        <w:left w:val="none" w:sz="0" w:space="0" w:color="auto"/>
        <w:bottom w:val="none" w:sz="0" w:space="0" w:color="auto"/>
        <w:right w:val="none" w:sz="0" w:space="0" w:color="auto"/>
      </w:divBdr>
    </w:div>
    <w:div w:id="92631558">
      <w:bodyDiv w:val="1"/>
      <w:marLeft w:val="0"/>
      <w:marRight w:val="0"/>
      <w:marTop w:val="0"/>
      <w:marBottom w:val="0"/>
      <w:divBdr>
        <w:top w:val="none" w:sz="0" w:space="0" w:color="auto"/>
        <w:left w:val="none" w:sz="0" w:space="0" w:color="auto"/>
        <w:bottom w:val="none" w:sz="0" w:space="0" w:color="auto"/>
        <w:right w:val="none" w:sz="0" w:space="0" w:color="auto"/>
      </w:divBdr>
    </w:div>
    <w:div w:id="98136779">
      <w:bodyDiv w:val="1"/>
      <w:marLeft w:val="0"/>
      <w:marRight w:val="0"/>
      <w:marTop w:val="0"/>
      <w:marBottom w:val="0"/>
      <w:divBdr>
        <w:top w:val="none" w:sz="0" w:space="0" w:color="auto"/>
        <w:left w:val="none" w:sz="0" w:space="0" w:color="auto"/>
        <w:bottom w:val="none" w:sz="0" w:space="0" w:color="auto"/>
        <w:right w:val="none" w:sz="0" w:space="0" w:color="auto"/>
      </w:divBdr>
    </w:div>
    <w:div w:id="112024312">
      <w:bodyDiv w:val="1"/>
      <w:marLeft w:val="0"/>
      <w:marRight w:val="0"/>
      <w:marTop w:val="0"/>
      <w:marBottom w:val="0"/>
      <w:divBdr>
        <w:top w:val="none" w:sz="0" w:space="0" w:color="auto"/>
        <w:left w:val="none" w:sz="0" w:space="0" w:color="auto"/>
        <w:bottom w:val="none" w:sz="0" w:space="0" w:color="auto"/>
        <w:right w:val="none" w:sz="0" w:space="0" w:color="auto"/>
      </w:divBdr>
    </w:div>
    <w:div w:id="116411526">
      <w:bodyDiv w:val="1"/>
      <w:marLeft w:val="0"/>
      <w:marRight w:val="0"/>
      <w:marTop w:val="0"/>
      <w:marBottom w:val="0"/>
      <w:divBdr>
        <w:top w:val="none" w:sz="0" w:space="0" w:color="auto"/>
        <w:left w:val="none" w:sz="0" w:space="0" w:color="auto"/>
        <w:bottom w:val="none" w:sz="0" w:space="0" w:color="auto"/>
        <w:right w:val="none" w:sz="0" w:space="0" w:color="auto"/>
      </w:divBdr>
    </w:div>
    <w:div w:id="124085872">
      <w:bodyDiv w:val="1"/>
      <w:marLeft w:val="0"/>
      <w:marRight w:val="0"/>
      <w:marTop w:val="0"/>
      <w:marBottom w:val="0"/>
      <w:divBdr>
        <w:top w:val="none" w:sz="0" w:space="0" w:color="auto"/>
        <w:left w:val="none" w:sz="0" w:space="0" w:color="auto"/>
        <w:bottom w:val="none" w:sz="0" w:space="0" w:color="auto"/>
        <w:right w:val="none" w:sz="0" w:space="0" w:color="auto"/>
      </w:divBdr>
    </w:div>
    <w:div w:id="126313805">
      <w:bodyDiv w:val="1"/>
      <w:marLeft w:val="0"/>
      <w:marRight w:val="0"/>
      <w:marTop w:val="0"/>
      <w:marBottom w:val="0"/>
      <w:divBdr>
        <w:top w:val="none" w:sz="0" w:space="0" w:color="auto"/>
        <w:left w:val="none" w:sz="0" w:space="0" w:color="auto"/>
        <w:bottom w:val="none" w:sz="0" w:space="0" w:color="auto"/>
        <w:right w:val="none" w:sz="0" w:space="0" w:color="auto"/>
      </w:divBdr>
    </w:div>
    <w:div w:id="140465565">
      <w:bodyDiv w:val="1"/>
      <w:marLeft w:val="0"/>
      <w:marRight w:val="0"/>
      <w:marTop w:val="0"/>
      <w:marBottom w:val="0"/>
      <w:divBdr>
        <w:top w:val="none" w:sz="0" w:space="0" w:color="auto"/>
        <w:left w:val="none" w:sz="0" w:space="0" w:color="auto"/>
        <w:bottom w:val="none" w:sz="0" w:space="0" w:color="auto"/>
        <w:right w:val="none" w:sz="0" w:space="0" w:color="auto"/>
      </w:divBdr>
    </w:div>
    <w:div w:id="171115615">
      <w:bodyDiv w:val="1"/>
      <w:marLeft w:val="0"/>
      <w:marRight w:val="0"/>
      <w:marTop w:val="0"/>
      <w:marBottom w:val="0"/>
      <w:divBdr>
        <w:top w:val="none" w:sz="0" w:space="0" w:color="auto"/>
        <w:left w:val="none" w:sz="0" w:space="0" w:color="auto"/>
        <w:bottom w:val="none" w:sz="0" w:space="0" w:color="auto"/>
        <w:right w:val="none" w:sz="0" w:space="0" w:color="auto"/>
      </w:divBdr>
    </w:div>
    <w:div w:id="186600303">
      <w:bodyDiv w:val="1"/>
      <w:marLeft w:val="0"/>
      <w:marRight w:val="0"/>
      <w:marTop w:val="0"/>
      <w:marBottom w:val="0"/>
      <w:divBdr>
        <w:top w:val="none" w:sz="0" w:space="0" w:color="auto"/>
        <w:left w:val="none" w:sz="0" w:space="0" w:color="auto"/>
        <w:bottom w:val="none" w:sz="0" w:space="0" w:color="auto"/>
        <w:right w:val="none" w:sz="0" w:space="0" w:color="auto"/>
      </w:divBdr>
    </w:div>
    <w:div w:id="188101908">
      <w:bodyDiv w:val="1"/>
      <w:marLeft w:val="0"/>
      <w:marRight w:val="0"/>
      <w:marTop w:val="0"/>
      <w:marBottom w:val="0"/>
      <w:divBdr>
        <w:top w:val="none" w:sz="0" w:space="0" w:color="auto"/>
        <w:left w:val="none" w:sz="0" w:space="0" w:color="auto"/>
        <w:bottom w:val="none" w:sz="0" w:space="0" w:color="auto"/>
        <w:right w:val="none" w:sz="0" w:space="0" w:color="auto"/>
      </w:divBdr>
    </w:div>
    <w:div w:id="195653955">
      <w:bodyDiv w:val="1"/>
      <w:marLeft w:val="0"/>
      <w:marRight w:val="0"/>
      <w:marTop w:val="0"/>
      <w:marBottom w:val="0"/>
      <w:divBdr>
        <w:top w:val="none" w:sz="0" w:space="0" w:color="auto"/>
        <w:left w:val="none" w:sz="0" w:space="0" w:color="auto"/>
        <w:bottom w:val="none" w:sz="0" w:space="0" w:color="auto"/>
        <w:right w:val="none" w:sz="0" w:space="0" w:color="auto"/>
      </w:divBdr>
    </w:div>
    <w:div w:id="198473005">
      <w:bodyDiv w:val="1"/>
      <w:marLeft w:val="0"/>
      <w:marRight w:val="0"/>
      <w:marTop w:val="0"/>
      <w:marBottom w:val="0"/>
      <w:divBdr>
        <w:top w:val="none" w:sz="0" w:space="0" w:color="auto"/>
        <w:left w:val="none" w:sz="0" w:space="0" w:color="auto"/>
        <w:bottom w:val="none" w:sz="0" w:space="0" w:color="auto"/>
        <w:right w:val="none" w:sz="0" w:space="0" w:color="auto"/>
      </w:divBdr>
    </w:div>
    <w:div w:id="200553726">
      <w:bodyDiv w:val="1"/>
      <w:marLeft w:val="0"/>
      <w:marRight w:val="0"/>
      <w:marTop w:val="0"/>
      <w:marBottom w:val="0"/>
      <w:divBdr>
        <w:top w:val="none" w:sz="0" w:space="0" w:color="auto"/>
        <w:left w:val="none" w:sz="0" w:space="0" w:color="auto"/>
        <w:bottom w:val="none" w:sz="0" w:space="0" w:color="auto"/>
        <w:right w:val="none" w:sz="0" w:space="0" w:color="auto"/>
      </w:divBdr>
    </w:div>
    <w:div w:id="200553965">
      <w:bodyDiv w:val="1"/>
      <w:marLeft w:val="0"/>
      <w:marRight w:val="0"/>
      <w:marTop w:val="0"/>
      <w:marBottom w:val="0"/>
      <w:divBdr>
        <w:top w:val="none" w:sz="0" w:space="0" w:color="auto"/>
        <w:left w:val="none" w:sz="0" w:space="0" w:color="auto"/>
        <w:bottom w:val="none" w:sz="0" w:space="0" w:color="auto"/>
        <w:right w:val="none" w:sz="0" w:space="0" w:color="auto"/>
      </w:divBdr>
    </w:div>
    <w:div w:id="210270102">
      <w:bodyDiv w:val="1"/>
      <w:marLeft w:val="0"/>
      <w:marRight w:val="0"/>
      <w:marTop w:val="0"/>
      <w:marBottom w:val="0"/>
      <w:divBdr>
        <w:top w:val="none" w:sz="0" w:space="0" w:color="auto"/>
        <w:left w:val="none" w:sz="0" w:space="0" w:color="auto"/>
        <w:bottom w:val="none" w:sz="0" w:space="0" w:color="auto"/>
        <w:right w:val="none" w:sz="0" w:space="0" w:color="auto"/>
      </w:divBdr>
    </w:div>
    <w:div w:id="218131236">
      <w:bodyDiv w:val="1"/>
      <w:marLeft w:val="0"/>
      <w:marRight w:val="0"/>
      <w:marTop w:val="0"/>
      <w:marBottom w:val="0"/>
      <w:divBdr>
        <w:top w:val="none" w:sz="0" w:space="0" w:color="auto"/>
        <w:left w:val="none" w:sz="0" w:space="0" w:color="auto"/>
        <w:bottom w:val="none" w:sz="0" w:space="0" w:color="auto"/>
        <w:right w:val="none" w:sz="0" w:space="0" w:color="auto"/>
      </w:divBdr>
    </w:div>
    <w:div w:id="230237569">
      <w:bodyDiv w:val="1"/>
      <w:marLeft w:val="0"/>
      <w:marRight w:val="0"/>
      <w:marTop w:val="0"/>
      <w:marBottom w:val="0"/>
      <w:divBdr>
        <w:top w:val="none" w:sz="0" w:space="0" w:color="auto"/>
        <w:left w:val="none" w:sz="0" w:space="0" w:color="auto"/>
        <w:bottom w:val="none" w:sz="0" w:space="0" w:color="auto"/>
        <w:right w:val="none" w:sz="0" w:space="0" w:color="auto"/>
      </w:divBdr>
    </w:div>
    <w:div w:id="231816006">
      <w:bodyDiv w:val="1"/>
      <w:marLeft w:val="0"/>
      <w:marRight w:val="0"/>
      <w:marTop w:val="0"/>
      <w:marBottom w:val="0"/>
      <w:divBdr>
        <w:top w:val="none" w:sz="0" w:space="0" w:color="auto"/>
        <w:left w:val="none" w:sz="0" w:space="0" w:color="auto"/>
        <w:bottom w:val="none" w:sz="0" w:space="0" w:color="auto"/>
        <w:right w:val="none" w:sz="0" w:space="0" w:color="auto"/>
      </w:divBdr>
    </w:div>
    <w:div w:id="252249322">
      <w:bodyDiv w:val="1"/>
      <w:marLeft w:val="0"/>
      <w:marRight w:val="0"/>
      <w:marTop w:val="0"/>
      <w:marBottom w:val="0"/>
      <w:divBdr>
        <w:top w:val="none" w:sz="0" w:space="0" w:color="auto"/>
        <w:left w:val="none" w:sz="0" w:space="0" w:color="auto"/>
        <w:bottom w:val="none" w:sz="0" w:space="0" w:color="auto"/>
        <w:right w:val="none" w:sz="0" w:space="0" w:color="auto"/>
      </w:divBdr>
    </w:div>
    <w:div w:id="254049828">
      <w:bodyDiv w:val="1"/>
      <w:marLeft w:val="0"/>
      <w:marRight w:val="0"/>
      <w:marTop w:val="0"/>
      <w:marBottom w:val="0"/>
      <w:divBdr>
        <w:top w:val="none" w:sz="0" w:space="0" w:color="auto"/>
        <w:left w:val="none" w:sz="0" w:space="0" w:color="auto"/>
        <w:bottom w:val="none" w:sz="0" w:space="0" w:color="auto"/>
        <w:right w:val="none" w:sz="0" w:space="0" w:color="auto"/>
      </w:divBdr>
    </w:div>
    <w:div w:id="260917068">
      <w:bodyDiv w:val="1"/>
      <w:marLeft w:val="0"/>
      <w:marRight w:val="0"/>
      <w:marTop w:val="0"/>
      <w:marBottom w:val="0"/>
      <w:divBdr>
        <w:top w:val="none" w:sz="0" w:space="0" w:color="auto"/>
        <w:left w:val="none" w:sz="0" w:space="0" w:color="auto"/>
        <w:bottom w:val="none" w:sz="0" w:space="0" w:color="auto"/>
        <w:right w:val="none" w:sz="0" w:space="0" w:color="auto"/>
      </w:divBdr>
    </w:div>
    <w:div w:id="279381576">
      <w:bodyDiv w:val="1"/>
      <w:marLeft w:val="0"/>
      <w:marRight w:val="0"/>
      <w:marTop w:val="0"/>
      <w:marBottom w:val="0"/>
      <w:divBdr>
        <w:top w:val="none" w:sz="0" w:space="0" w:color="auto"/>
        <w:left w:val="none" w:sz="0" w:space="0" w:color="auto"/>
        <w:bottom w:val="none" w:sz="0" w:space="0" w:color="auto"/>
        <w:right w:val="none" w:sz="0" w:space="0" w:color="auto"/>
      </w:divBdr>
    </w:div>
    <w:div w:id="279915506">
      <w:bodyDiv w:val="1"/>
      <w:marLeft w:val="0"/>
      <w:marRight w:val="0"/>
      <w:marTop w:val="0"/>
      <w:marBottom w:val="0"/>
      <w:divBdr>
        <w:top w:val="none" w:sz="0" w:space="0" w:color="auto"/>
        <w:left w:val="none" w:sz="0" w:space="0" w:color="auto"/>
        <w:bottom w:val="none" w:sz="0" w:space="0" w:color="auto"/>
        <w:right w:val="none" w:sz="0" w:space="0" w:color="auto"/>
      </w:divBdr>
    </w:div>
    <w:div w:id="282230082">
      <w:bodyDiv w:val="1"/>
      <w:marLeft w:val="0"/>
      <w:marRight w:val="0"/>
      <w:marTop w:val="0"/>
      <w:marBottom w:val="0"/>
      <w:divBdr>
        <w:top w:val="none" w:sz="0" w:space="0" w:color="auto"/>
        <w:left w:val="none" w:sz="0" w:space="0" w:color="auto"/>
        <w:bottom w:val="none" w:sz="0" w:space="0" w:color="auto"/>
        <w:right w:val="none" w:sz="0" w:space="0" w:color="auto"/>
      </w:divBdr>
    </w:div>
    <w:div w:id="282468605">
      <w:bodyDiv w:val="1"/>
      <w:marLeft w:val="0"/>
      <w:marRight w:val="0"/>
      <w:marTop w:val="0"/>
      <w:marBottom w:val="0"/>
      <w:divBdr>
        <w:top w:val="none" w:sz="0" w:space="0" w:color="auto"/>
        <w:left w:val="none" w:sz="0" w:space="0" w:color="auto"/>
        <w:bottom w:val="none" w:sz="0" w:space="0" w:color="auto"/>
        <w:right w:val="none" w:sz="0" w:space="0" w:color="auto"/>
      </w:divBdr>
    </w:div>
    <w:div w:id="294718069">
      <w:bodyDiv w:val="1"/>
      <w:marLeft w:val="0"/>
      <w:marRight w:val="0"/>
      <w:marTop w:val="0"/>
      <w:marBottom w:val="0"/>
      <w:divBdr>
        <w:top w:val="none" w:sz="0" w:space="0" w:color="auto"/>
        <w:left w:val="none" w:sz="0" w:space="0" w:color="auto"/>
        <w:bottom w:val="none" w:sz="0" w:space="0" w:color="auto"/>
        <w:right w:val="none" w:sz="0" w:space="0" w:color="auto"/>
      </w:divBdr>
    </w:div>
    <w:div w:id="299653969">
      <w:bodyDiv w:val="1"/>
      <w:marLeft w:val="0"/>
      <w:marRight w:val="0"/>
      <w:marTop w:val="0"/>
      <w:marBottom w:val="0"/>
      <w:divBdr>
        <w:top w:val="none" w:sz="0" w:space="0" w:color="auto"/>
        <w:left w:val="none" w:sz="0" w:space="0" w:color="auto"/>
        <w:bottom w:val="none" w:sz="0" w:space="0" w:color="auto"/>
        <w:right w:val="none" w:sz="0" w:space="0" w:color="auto"/>
      </w:divBdr>
    </w:div>
    <w:div w:id="304511186">
      <w:bodyDiv w:val="1"/>
      <w:marLeft w:val="0"/>
      <w:marRight w:val="0"/>
      <w:marTop w:val="0"/>
      <w:marBottom w:val="0"/>
      <w:divBdr>
        <w:top w:val="none" w:sz="0" w:space="0" w:color="auto"/>
        <w:left w:val="none" w:sz="0" w:space="0" w:color="auto"/>
        <w:bottom w:val="none" w:sz="0" w:space="0" w:color="auto"/>
        <w:right w:val="none" w:sz="0" w:space="0" w:color="auto"/>
      </w:divBdr>
    </w:div>
    <w:div w:id="310840152">
      <w:bodyDiv w:val="1"/>
      <w:marLeft w:val="0"/>
      <w:marRight w:val="0"/>
      <w:marTop w:val="0"/>
      <w:marBottom w:val="0"/>
      <w:divBdr>
        <w:top w:val="none" w:sz="0" w:space="0" w:color="auto"/>
        <w:left w:val="none" w:sz="0" w:space="0" w:color="auto"/>
        <w:bottom w:val="none" w:sz="0" w:space="0" w:color="auto"/>
        <w:right w:val="none" w:sz="0" w:space="0" w:color="auto"/>
      </w:divBdr>
    </w:div>
    <w:div w:id="314381676">
      <w:bodyDiv w:val="1"/>
      <w:marLeft w:val="0"/>
      <w:marRight w:val="0"/>
      <w:marTop w:val="0"/>
      <w:marBottom w:val="0"/>
      <w:divBdr>
        <w:top w:val="none" w:sz="0" w:space="0" w:color="auto"/>
        <w:left w:val="none" w:sz="0" w:space="0" w:color="auto"/>
        <w:bottom w:val="none" w:sz="0" w:space="0" w:color="auto"/>
        <w:right w:val="none" w:sz="0" w:space="0" w:color="auto"/>
      </w:divBdr>
    </w:div>
    <w:div w:id="319163838">
      <w:bodyDiv w:val="1"/>
      <w:marLeft w:val="0"/>
      <w:marRight w:val="0"/>
      <w:marTop w:val="0"/>
      <w:marBottom w:val="0"/>
      <w:divBdr>
        <w:top w:val="none" w:sz="0" w:space="0" w:color="auto"/>
        <w:left w:val="none" w:sz="0" w:space="0" w:color="auto"/>
        <w:bottom w:val="none" w:sz="0" w:space="0" w:color="auto"/>
        <w:right w:val="none" w:sz="0" w:space="0" w:color="auto"/>
      </w:divBdr>
    </w:div>
    <w:div w:id="327943100">
      <w:bodyDiv w:val="1"/>
      <w:marLeft w:val="0"/>
      <w:marRight w:val="0"/>
      <w:marTop w:val="0"/>
      <w:marBottom w:val="0"/>
      <w:divBdr>
        <w:top w:val="none" w:sz="0" w:space="0" w:color="auto"/>
        <w:left w:val="none" w:sz="0" w:space="0" w:color="auto"/>
        <w:bottom w:val="none" w:sz="0" w:space="0" w:color="auto"/>
        <w:right w:val="none" w:sz="0" w:space="0" w:color="auto"/>
      </w:divBdr>
    </w:div>
    <w:div w:id="340468446">
      <w:bodyDiv w:val="1"/>
      <w:marLeft w:val="0"/>
      <w:marRight w:val="0"/>
      <w:marTop w:val="0"/>
      <w:marBottom w:val="0"/>
      <w:divBdr>
        <w:top w:val="none" w:sz="0" w:space="0" w:color="auto"/>
        <w:left w:val="none" w:sz="0" w:space="0" w:color="auto"/>
        <w:bottom w:val="none" w:sz="0" w:space="0" w:color="auto"/>
        <w:right w:val="none" w:sz="0" w:space="0" w:color="auto"/>
      </w:divBdr>
    </w:div>
    <w:div w:id="349721145">
      <w:bodyDiv w:val="1"/>
      <w:marLeft w:val="0"/>
      <w:marRight w:val="0"/>
      <w:marTop w:val="0"/>
      <w:marBottom w:val="0"/>
      <w:divBdr>
        <w:top w:val="none" w:sz="0" w:space="0" w:color="auto"/>
        <w:left w:val="none" w:sz="0" w:space="0" w:color="auto"/>
        <w:bottom w:val="none" w:sz="0" w:space="0" w:color="auto"/>
        <w:right w:val="none" w:sz="0" w:space="0" w:color="auto"/>
      </w:divBdr>
    </w:div>
    <w:div w:id="364912936">
      <w:bodyDiv w:val="1"/>
      <w:marLeft w:val="0"/>
      <w:marRight w:val="0"/>
      <w:marTop w:val="0"/>
      <w:marBottom w:val="0"/>
      <w:divBdr>
        <w:top w:val="none" w:sz="0" w:space="0" w:color="auto"/>
        <w:left w:val="none" w:sz="0" w:space="0" w:color="auto"/>
        <w:bottom w:val="none" w:sz="0" w:space="0" w:color="auto"/>
        <w:right w:val="none" w:sz="0" w:space="0" w:color="auto"/>
      </w:divBdr>
    </w:div>
    <w:div w:id="369308765">
      <w:bodyDiv w:val="1"/>
      <w:marLeft w:val="0"/>
      <w:marRight w:val="0"/>
      <w:marTop w:val="0"/>
      <w:marBottom w:val="0"/>
      <w:divBdr>
        <w:top w:val="none" w:sz="0" w:space="0" w:color="auto"/>
        <w:left w:val="none" w:sz="0" w:space="0" w:color="auto"/>
        <w:bottom w:val="none" w:sz="0" w:space="0" w:color="auto"/>
        <w:right w:val="none" w:sz="0" w:space="0" w:color="auto"/>
      </w:divBdr>
    </w:div>
    <w:div w:id="369770701">
      <w:bodyDiv w:val="1"/>
      <w:marLeft w:val="0"/>
      <w:marRight w:val="0"/>
      <w:marTop w:val="0"/>
      <w:marBottom w:val="0"/>
      <w:divBdr>
        <w:top w:val="none" w:sz="0" w:space="0" w:color="auto"/>
        <w:left w:val="none" w:sz="0" w:space="0" w:color="auto"/>
        <w:bottom w:val="none" w:sz="0" w:space="0" w:color="auto"/>
        <w:right w:val="none" w:sz="0" w:space="0" w:color="auto"/>
      </w:divBdr>
    </w:div>
    <w:div w:id="372122694">
      <w:bodyDiv w:val="1"/>
      <w:marLeft w:val="0"/>
      <w:marRight w:val="0"/>
      <w:marTop w:val="0"/>
      <w:marBottom w:val="0"/>
      <w:divBdr>
        <w:top w:val="none" w:sz="0" w:space="0" w:color="auto"/>
        <w:left w:val="none" w:sz="0" w:space="0" w:color="auto"/>
        <w:bottom w:val="none" w:sz="0" w:space="0" w:color="auto"/>
        <w:right w:val="none" w:sz="0" w:space="0" w:color="auto"/>
      </w:divBdr>
    </w:div>
    <w:div w:id="384641595">
      <w:bodyDiv w:val="1"/>
      <w:marLeft w:val="0"/>
      <w:marRight w:val="0"/>
      <w:marTop w:val="0"/>
      <w:marBottom w:val="0"/>
      <w:divBdr>
        <w:top w:val="none" w:sz="0" w:space="0" w:color="auto"/>
        <w:left w:val="none" w:sz="0" w:space="0" w:color="auto"/>
        <w:bottom w:val="none" w:sz="0" w:space="0" w:color="auto"/>
        <w:right w:val="none" w:sz="0" w:space="0" w:color="auto"/>
      </w:divBdr>
    </w:div>
    <w:div w:id="388843832">
      <w:bodyDiv w:val="1"/>
      <w:marLeft w:val="0"/>
      <w:marRight w:val="0"/>
      <w:marTop w:val="0"/>
      <w:marBottom w:val="0"/>
      <w:divBdr>
        <w:top w:val="none" w:sz="0" w:space="0" w:color="auto"/>
        <w:left w:val="none" w:sz="0" w:space="0" w:color="auto"/>
        <w:bottom w:val="none" w:sz="0" w:space="0" w:color="auto"/>
        <w:right w:val="none" w:sz="0" w:space="0" w:color="auto"/>
      </w:divBdr>
    </w:div>
    <w:div w:id="392120647">
      <w:bodyDiv w:val="1"/>
      <w:marLeft w:val="0"/>
      <w:marRight w:val="0"/>
      <w:marTop w:val="0"/>
      <w:marBottom w:val="0"/>
      <w:divBdr>
        <w:top w:val="none" w:sz="0" w:space="0" w:color="auto"/>
        <w:left w:val="none" w:sz="0" w:space="0" w:color="auto"/>
        <w:bottom w:val="none" w:sz="0" w:space="0" w:color="auto"/>
        <w:right w:val="none" w:sz="0" w:space="0" w:color="auto"/>
      </w:divBdr>
    </w:div>
    <w:div w:id="404113516">
      <w:bodyDiv w:val="1"/>
      <w:marLeft w:val="0"/>
      <w:marRight w:val="0"/>
      <w:marTop w:val="0"/>
      <w:marBottom w:val="0"/>
      <w:divBdr>
        <w:top w:val="none" w:sz="0" w:space="0" w:color="auto"/>
        <w:left w:val="none" w:sz="0" w:space="0" w:color="auto"/>
        <w:bottom w:val="none" w:sz="0" w:space="0" w:color="auto"/>
        <w:right w:val="none" w:sz="0" w:space="0" w:color="auto"/>
      </w:divBdr>
    </w:div>
    <w:div w:id="405879756">
      <w:bodyDiv w:val="1"/>
      <w:marLeft w:val="0"/>
      <w:marRight w:val="0"/>
      <w:marTop w:val="0"/>
      <w:marBottom w:val="0"/>
      <w:divBdr>
        <w:top w:val="none" w:sz="0" w:space="0" w:color="auto"/>
        <w:left w:val="none" w:sz="0" w:space="0" w:color="auto"/>
        <w:bottom w:val="none" w:sz="0" w:space="0" w:color="auto"/>
        <w:right w:val="none" w:sz="0" w:space="0" w:color="auto"/>
      </w:divBdr>
    </w:div>
    <w:div w:id="418329145">
      <w:bodyDiv w:val="1"/>
      <w:marLeft w:val="0"/>
      <w:marRight w:val="0"/>
      <w:marTop w:val="0"/>
      <w:marBottom w:val="0"/>
      <w:divBdr>
        <w:top w:val="none" w:sz="0" w:space="0" w:color="auto"/>
        <w:left w:val="none" w:sz="0" w:space="0" w:color="auto"/>
        <w:bottom w:val="none" w:sz="0" w:space="0" w:color="auto"/>
        <w:right w:val="none" w:sz="0" w:space="0" w:color="auto"/>
      </w:divBdr>
    </w:div>
    <w:div w:id="457383087">
      <w:bodyDiv w:val="1"/>
      <w:marLeft w:val="0"/>
      <w:marRight w:val="0"/>
      <w:marTop w:val="0"/>
      <w:marBottom w:val="0"/>
      <w:divBdr>
        <w:top w:val="none" w:sz="0" w:space="0" w:color="auto"/>
        <w:left w:val="none" w:sz="0" w:space="0" w:color="auto"/>
        <w:bottom w:val="none" w:sz="0" w:space="0" w:color="auto"/>
        <w:right w:val="none" w:sz="0" w:space="0" w:color="auto"/>
      </w:divBdr>
    </w:div>
    <w:div w:id="459961065">
      <w:bodyDiv w:val="1"/>
      <w:marLeft w:val="0"/>
      <w:marRight w:val="0"/>
      <w:marTop w:val="0"/>
      <w:marBottom w:val="0"/>
      <w:divBdr>
        <w:top w:val="none" w:sz="0" w:space="0" w:color="auto"/>
        <w:left w:val="none" w:sz="0" w:space="0" w:color="auto"/>
        <w:bottom w:val="none" w:sz="0" w:space="0" w:color="auto"/>
        <w:right w:val="none" w:sz="0" w:space="0" w:color="auto"/>
      </w:divBdr>
    </w:div>
    <w:div w:id="463088244">
      <w:bodyDiv w:val="1"/>
      <w:marLeft w:val="0"/>
      <w:marRight w:val="0"/>
      <w:marTop w:val="0"/>
      <w:marBottom w:val="0"/>
      <w:divBdr>
        <w:top w:val="none" w:sz="0" w:space="0" w:color="auto"/>
        <w:left w:val="none" w:sz="0" w:space="0" w:color="auto"/>
        <w:bottom w:val="none" w:sz="0" w:space="0" w:color="auto"/>
        <w:right w:val="none" w:sz="0" w:space="0" w:color="auto"/>
      </w:divBdr>
    </w:div>
    <w:div w:id="466822835">
      <w:bodyDiv w:val="1"/>
      <w:marLeft w:val="0"/>
      <w:marRight w:val="0"/>
      <w:marTop w:val="0"/>
      <w:marBottom w:val="0"/>
      <w:divBdr>
        <w:top w:val="none" w:sz="0" w:space="0" w:color="auto"/>
        <w:left w:val="none" w:sz="0" w:space="0" w:color="auto"/>
        <w:bottom w:val="none" w:sz="0" w:space="0" w:color="auto"/>
        <w:right w:val="none" w:sz="0" w:space="0" w:color="auto"/>
      </w:divBdr>
    </w:div>
    <w:div w:id="475148950">
      <w:bodyDiv w:val="1"/>
      <w:marLeft w:val="0"/>
      <w:marRight w:val="0"/>
      <w:marTop w:val="0"/>
      <w:marBottom w:val="0"/>
      <w:divBdr>
        <w:top w:val="none" w:sz="0" w:space="0" w:color="auto"/>
        <w:left w:val="none" w:sz="0" w:space="0" w:color="auto"/>
        <w:bottom w:val="none" w:sz="0" w:space="0" w:color="auto"/>
        <w:right w:val="none" w:sz="0" w:space="0" w:color="auto"/>
      </w:divBdr>
    </w:div>
    <w:div w:id="479735479">
      <w:bodyDiv w:val="1"/>
      <w:marLeft w:val="0"/>
      <w:marRight w:val="0"/>
      <w:marTop w:val="0"/>
      <w:marBottom w:val="0"/>
      <w:divBdr>
        <w:top w:val="none" w:sz="0" w:space="0" w:color="auto"/>
        <w:left w:val="none" w:sz="0" w:space="0" w:color="auto"/>
        <w:bottom w:val="none" w:sz="0" w:space="0" w:color="auto"/>
        <w:right w:val="none" w:sz="0" w:space="0" w:color="auto"/>
      </w:divBdr>
    </w:div>
    <w:div w:id="496961675">
      <w:bodyDiv w:val="1"/>
      <w:marLeft w:val="0"/>
      <w:marRight w:val="0"/>
      <w:marTop w:val="0"/>
      <w:marBottom w:val="0"/>
      <w:divBdr>
        <w:top w:val="none" w:sz="0" w:space="0" w:color="auto"/>
        <w:left w:val="none" w:sz="0" w:space="0" w:color="auto"/>
        <w:bottom w:val="none" w:sz="0" w:space="0" w:color="auto"/>
        <w:right w:val="none" w:sz="0" w:space="0" w:color="auto"/>
      </w:divBdr>
    </w:div>
    <w:div w:id="502554670">
      <w:bodyDiv w:val="1"/>
      <w:marLeft w:val="0"/>
      <w:marRight w:val="0"/>
      <w:marTop w:val="0"/>
      <w:marBottom w:val="0"/>
      <w:divBdr>
        <w:top w:val="none" w:sz="0" w:space="0" w:color="auto"/>
        <w:left w:val="none" w:sz="0" w:space="0" w:color="auto"/>
        <w:bottom w:val="none" w:sz="0" w:space="0" w:color="auto"/>
        <w:right w:val="none" w:sz="0" w:space="0" w:color="auto"/>
      </w:divBdr>
    </w:div>
    <w:div w:id="516113285">
      <w:bodyDiv w:val="1"/>
      <w:marLeft w:val="0"/>
      <w:marRight w:val="0"/>
      <w:marTop w:val="0"/>
      <w:marBottom w:val="0"/>
      <w:divBdr>
        <w:top w:val="none" w:sz="0" w:space="0" w:color="auto"/>
        <w:left w:val="none" w:sz="0" w:space="0" w:color="auto"/>
        <w:bottom w:val="none" w:sz="0" w:space="0" w:color="auto"/>
        <w:right w:val="none" w:sz="0" w:space="0" w:color="auto"/>
      </w:divBdr>
    </w:div>
    <w:div w:id="517887635">
      <w:bodyDiv w:val="1"/>
      <w:marLeft w:val="0"/>
      <w:marRight w:val="0"/>
      <w:marTop w:val="0"/>
      <w:marBottom w:val="0"/>
      <w:divBdr>
        <w:top w:val="none" w:sz="0" w:space="0" w:color="auto"/>
        <w:left w:val="none" w:sz="0" w:space="0" w:color="auto"/>
        <w:bottom w:val="none" w:sz="0" w:space="0" w:color="auto"/>
        <w:right w:val="none" w:sz="0" w:space="0" w:color="auto"/>
      </w:divBdr>
    </w:div>
    <w:div w:id="519390721">
      <w:bodyDiv w:val="1"/>
      <w:marLeft w:val="0"/>
      <w:marRight w:val="0"/>
      <w:marTop w:val="0"/>
      <w:marBottom w:val="0"/>
      <w:divBdr>
        <w:top w:val="none" w:sz="0" w:space="0" w:color="auto"/>
        <w:left w:val="none" w:sz="0" w:space="0" w:color="auto"/>
        <w:bottom w:val="none" w:sz="0" w:space="0" w:color="auto"/>
        <w:right w:val="none" w:sz="0" w:space="0" w:color="auto"/>
      </w:divBdr>
    </w:div>
    <w:div w:id="531918074">
      <w:bodyDiv w:val="1"/>
      <w:marLeft w:val="0"/>
      <w:marRight w:val="0"/>
      <w:marTop w:val="0"/>
      <w:marBottom w:val="0"/>
      <w:divBdr>
        <w:top w:val="none" w:sz="0" w:space="0" w:color="auto"/>
        <w:left w:val="none" w:sz="0" w:space="0" w:color="auto"/>
        <w:bottom w:val="none" w:sz="0" w:space="0" w:color="auto"/>
        <w:right w:val="none" w:sz="0" w:space="0" w:color="auto"/>
      </w:divBdr>
    </w:div>
    <w:div w:id="535972035">
      <w:bodyDiv w:val="1"/>
      <w:marLeft w:val="0"/>
      <w:marRight w:val="0"/>
      <w:marTop w:val="0"/>
      <w:marBottom w:val="0"/>
      <w:divBdr>
        <w:top w:val="none" w:sz="0" w:space="0" w:color="auto"/>
        <w:left w:val="none" w:sz="0" w:space="0" w:color="auto"/>
        <w:bottom w:val="none" w:sz="0" w:space="0" w:color="auto"/>
        <w:right w:val="none" w:sz="0" w:space="0" w:color="auto"/>
      </w:divBdr>
    </w:div>
    <w:div w:id="536966212">
      <w:bodyDiv w:val="1"/>
      <w:marLeft w:val="0"/>
      <w:marRight w:val="0"/>
      <w:marTop w:val="0"/>
      <w:marBottom w:val="0"/>
      <w:divBdr>
        <w:top w:val="none" w:sz="0" w:space="0" w:color="auto"/>
        <w:left w:val="none" w:sz="0" w:space="0" w:color="auto"/>
        <w:bottom w:val="none" w:sz="0" w:space="0" w:color="auto"/>
        <w:right w:val="none" w:sz="0" w:space="0" w:color="auto"/>
      </w:divBdr>
    </w:div>
    <w:div w:id="539366797">
      <w:bodyDiv w:val="1"/>
      <w:marLeft w:val="0"/>
      <w:marRight w:val="0"/>
      <w:marTop w:val="0"/>
      <w:marBottom w:val="0"/>
      <w:divBdr>
        <w:top w:val="none" w:sz="0" w:space="0" w:color="auto"/>
        <w:left w:val="none" w:sz="0" w:space="0" w:color="auto"/>
        <w:bottom w:val="none" w:sz="0" w:space="0" w:color="auto"/>
        <w:right w:val="none" w:sz="0" w:space="0" w:color="auto"/>
      </w:divBdr>
    </w:div>
    <w:div w:id="541795587">
      <w:bodyDiv w:val="1"/>
      <w:marLeft w:val="0"/>
      <w:marRight w:val="0"/>
      <w:marTop w:val="0"/>
      <w:marBottom w:val="0"/>
      <w:divBdr>
        <w:top w:val="none" w:sz="0" w:space="0" w:color="auto"/>
        <w:left w:val="none" w:sz="0" w:space="0" w:color="auto"/>
        <w:bottom w:val="none" w:sz="0" w:space="0" w:color="auto"/>
        <w:right w:val="none" w:sz="0" w:space="0" w:color="auto"/>
      </w:divBdr>
    </w:div>
    <w:div w:id="545025323">
      <w:bodyDiv w:val="1"/>
      <w:marLeft w:val="0"/>
      <w:marRight w:val="0"/>
      <w:marTop w:val="0"/>
      <w:marBottom w:val="0"/>
      <w:divBdr>
        <w:top w:val="none" w:sz="0" w:space="0" w:color="auto"/>
        <w:left w:val="none" w:sz="0" w:space="0" w:color="auto"/>
        <w:bottom w:val="none" w:sz="0" w:space="0" w:color="auto"/>
        <w:right w:val="none" w:sz="0" w:space="0" w:color="auto"/>
      </w:divBdr>
    </w:div>
    <w:div w:id="569851647">
      <w:bodyDiv w:val="1"/>
      <w:marLeft w:val="0"/>
      <w:marRight w:val="0"/>
      <w:marTop w:val="0"/>
      <w:marBottom w:val="0"/>
      <w:divBdr>
        <w:top w:val="none" w:sz="0" w:space="0" w:color="auto"/>
        <w:left w:val="none" w:sz="0" w:space="0" w:color="auto"/>
        <w:bottom w:val="none" w:sz="0" w:space="0" w:color="auto"/>
        <w:right w:val="none" w:sz="0" w:space="0" w:color="auto"/>
      </w:divBdr>
    </w:div>
    <w:div w:id="573975086">
      <w:bodyDiv w:val="1"/>
      <w:marLeft w:val="0"/>
      <w:marRight w:val="0"/>
      <w:marTop w:val="0"/>
      <w:marBottom w:val="0"/>
      <w:divBdr>
        <w:top w:val="none" w:sz="0" w:space="0" w:color="auto"/>
        <w:left w:val="none" w:sz="0" w:space="0" w:color="auto"/>
        <w:bottom w:val="none" w:sz="0" w:space="0" w:color="auto"/>
        <w:right w:val="none" w:sz="0" w:space="0" w:color="auto"/>
      </w:divBdr>
    </w:div>
    <w:div w:id="576599662">
      <w:bodyDiv w:val="1"/>
      <w:marLeft w:val="0"/>
      <w:marRight w:val="0"/>
      <w:marTop w:val="0"/>
      <w:marBottom w:val="0"/>
      <w:divBdr>
        <w:top w:val="none" w:sz="0" w:space="0" w:color="auto"/>
        <w:left w:val="none" w:sz="0" w:space="0" w:color="auto"/>
        <w:bottom w:val="none" w:sz="0" w:space="0" w:color="auto"/>
        <w:right w:val="none" w:sz="0" w:space="0" w:color="auto"/>
      </w:divBdr>
    </w:div>
    <w:div w:id="596132833">
      <w:bodyDiv w:val="1"/>
      <w:marLeft w:val="0"/>
      <w:marRight w:val="0"/>
      <w:marTop w:val="0"/>
      <w:marBottom w:val="0"/>
      <w:divBdr>
        <w:top w:val="none" w:sz="0" w:space="0" w:color="auto"/>
        <w:left w:val="none" w:sz="0" w:space="0" w:color="auto"/>
        <w:bottom w:val="none" w:sz="0" w:space="0" w:color="auto"/>
        <w:right w:val="none" w:sz="0" w:space="0" w:color="auto"/>
      </w:divBdr>
    </w:div>
    <w:div w:id="601838738">
      <w:bodyDiv w:val="1"/>
      <w:marLeft w:val="0"/>
      <w:marRight w:val="0"/>
      <w:marTop w:val="0"/>
      <w:marBottom w:val="0"/>
      <w:divBdr>
        <w:top w:val="none" w:sz="0" w:space="0" w:color="auto"/>
        <w:left w:val="none" w:sz="0" w:space="0" w:color="auto"/>
        <w:bottom w:val="none" w:sz="0" w:space="0" w:color="auto"/>
        <w:right w:val="none" w:sz="0" w:space="0" w:color="auto"/>
      </w:divBdr>
    </w:div>
    <w:div w:id="616176572">
      <w:bodyDiv w:val="1"/>
      <w:marLeft w:val="0"/>
      <w:marRight w:val="0"/>
      <w:marTop w:val="0"/>
      <w:marBottom w:val="0"/>
      <w:divBdr>
        <w:top w:val="none" w:sz="0" w:space="0" w:color="auto"/>
        <w:left w:val="none" w:sz="0" w:space="0" w:color="auto"/>
        <w:bottom w:val="none" w:sz="0" w:space="0" w:color="auto"/>
        <w:right w:val="none" w:sz="0" w:space="0" w:color="auto"/>
      </w:divBdr>
    </w:div>
    <w:div w:id="617952272">
      <w:bodyDiv w:val="1"/>
      <w:marLeft w:val="0"/>
      <w:marRight w:val="0"/>
      <w:marTop w:val="0"/>
      <w:marBottom w:val="0"/>
      <w:divBdr>
        <w:top w:val="none" w:sz="0" w:space="0" w:color="auto"/>
        <w:left w:val="none" w:sz="0" w:space="0" w:color="auto"/>
        <w:bottom w:val="none" w:sz="0" w:space="0" w:color="auto"/>
        <w:right w:val="none" w:sz="0" w:space="0" w:color="auto"/>
      </w:divBdr>
    </w:div>
    <w:div w:id="624310170">
      <w:bodyDiv w:val="1"/>
      <w:marLeft w:val="0"/>
      <w:marRight w:val="0"/>
      <w:marTop w:val="0"/>
      <w:marBottom w:val="0"/>
      <w:divBdr>
        <w:top w:val="none" w:sz="0" w:space="0" w:color="auto"/>
        <w:left w:val="none" w:sz="0" w:space="0" w:color="auto"/>
        <w:bottom w:val="none" w:sz="0" w:space="0" w:color="auto"/>
        <w:right w:val="none" w:sz="0" w:space="0" w:color="auto"/>
      </w:divBdr>
    </w:div>
    <w:div w:id="627053983">
      <w:bodyDiv w:val="1"/>
      <w:marLeft w:val="0"/>
      <w:marRight w:val="0"/>
      <w:marTop w:val="0"/>
      <w:marBottom w:val="0"/>
      <w:divBdr>
        <w:top w:val="none" w:sz="0" w:space="0" w:color="auto"/>
        <w:left w:val="none" w:sz="0" w:space="0" w:color="auto"/>
        <w:bottom w:val="none" w:sz="0" w:space="0" w:color="auto"/>
        <w:right w:val="none" w:sz="0" w:space="0" w:color="auto"/>
      </w:divBdr>
    </w:div>
    <w:div w:id="631792462">
      <w:bodyDiv w:val="1"/>
      <w:marLeft w:val="0"/>
      <w:marRight w:val="0"/>
      <w:marTop w:val="0"/>
      <w:marBottom w:val="0"/>
      <w:divBdr>
        <w:top w:val="none" w:sz="0" w:space="0" w:color="auto"/>
        <w:left w:val="none" w:sz="0" w:space="0" w:color="auto"/>
        <w:bottom w:val="none" w:sz="0" w:space="0" w:color="auto"/>
        <w:right w:val="none" w:sz="0" w:space="0" w:color="auto"/>
      </w:divBdr>
    </w:div>
    <w:div w:id="640691523">
      <w:bodyDiv w:val="1"/>
      <w:marLeft w:val="0"/>
      <w:marRight w:val="0"/>
      <w:marTop w:val="0"/>
      <w:marBottom w:val="0"/>
      <w:divBdr>
        <w:top w:val="none" w:sz="0" w:space="0" w:color="auto"/>
        <w:left w:val="none" w:sz="0" w:space="0" w:color="auto"/>
        <w:bottom w:val="none" w:sz="0" w:space="0" w:color="auto"/>
        <w:right w:val="none" w:sz="0" w:space="0" w:color="auto"/>
      </w:divBdr>
    </w:div>
    <w:div w:id="646934224">
      <w:bodyDiv w:val="1"/>
      <w:marLeft w:val="0"/>
      <w:marRight w:val="0"/>
      <w:marTop w:val="0"/>
      <w:marBottom w:val="0"/>
      <w:divBdr>
        <w:top w:val="none" w:sz="0" w:space="0" w:color="auto"/>
        <w:left w:val="none" w:sz="0" w:space="0" w:color="auto"/>
        <w:bottom w:val="none" w:sz="0" w:space="0" w:color="auto"/>
        <w:right w:val="none" w:sz="0" w:space="0" w:color="auto"/>
      </w:divBdr>
    </w:div>
    <w:div w:id="657421507">
      <w:bodyDiv w:val="1"/>
      <w:marLeft w:val="0"/>
      <w:marRight w:val="0"/>
      <w:marTop w:val="0"/>
      <w:marBottom w:val="0"/>
      <w:divBdr>
        <w:top w:val="none" w:sz="0" w:space="0" w:color="auto"/>
        <w:left w:val="none" w:sz="0" w:space="0" w:color="auto"/>
        <w:bottom w:val="none" w:sz="0" w:space="0" w:color="auto"/>
        <w:right w:val="none" w:sz="0" w:space="0" w:color="auto"/>
      </w:divBdr>
    </w:div>
    <w:div w:id="676344764">
      <w:bodyDiv w:val="1"/>
      <w:marLeft w:val="0"/>
      <w:marRight w:val="0"/>
      <w:marTop w:val="0"/>
      <w:marBottom w:val="0"/>
      <w:divBdr>
        <w:top w:val="none" w:sz="0" w:space="0" w:color="auto"/>
        <w:left w:val="none" w:sz="0" w:space="0" w:color="auto"/>
        <w:bottom w:val="none" w:sz="0" w:space="0" w:color="auto"/>
        <w:right w:val="none" w:sz="0" w:space="0" w:color="auto"/>
      </w:divBdr>
    </w:div>
    <w:div w:id="679546332">
      <w:bodyDiv w:val="1"/>
      <w:marLeft w:val="0"/>
      <w:marRight w:val="0"/>
      <w:marTop w:val="0"/>
      <w:marBottom w:val="0"/>
      <w:divBdr>
        <w:top w:val="none" w:sz="0" w:space="0" w:color="auto"/>
        <w:left w:val="none" w:sz="0" w:space="0" w:color="auto"/>
        <w:bottom w:val="none" w:sz="0" w:space="0" w:color="auto"/>
        <w:right w:val="none" w:sz="0" w:space="0" w:color="auto"/>
      </w:divBdr>
    </w:div>
    <w:div w:id="690453951">
      <w:bodyDiv w:val="1"/>
      <w:marLeft w:val="0"/>
      <w:marRight w:val="0"/>
      <w:marTop w:val="0"/>
      <w:marBottom w:val="0"/>
      <w:divBdr>
        <w:top w:val="none" w:sz="0" w:space="0" w:color="auto"/>
        <w:left w:val="none" w:sz="0" w:space="0" w:color="auto"/>
        <w:bottom w:val="none" w:sz="0" w:space="0" w:color="auto"/>
        <w:right w:val="none" w:sz="0" w:space="0" w:color="auto"/>
      </w:divBdr>
    </w:div>
    <w:div w:id="696734643">
      <w:bodyDiv w:val="1"/>
      <w:marLeft w:val="0"/>
      <w:marRight w:val="0"/>
      <w:marTop w:val="0"/>
      <w:marBottom w:val="0"/>
      <w:divBdr>
        <w:top w:val="none" w:sz="0" w:space="0" w:color="auto"/>
        <w:left w:val="none" w:sz="0" w:space="0" w:color="auto"/>
        <w:bottom w:val="none" w:sz="0" w:space="0" w:color="auto"/>
        <w:right w:val="none" w:sz="0" w:space="0" w:color="auto"/>
      </w:divBdr>
    </w:div>
    <w:div w:id="697777600">
      <w:bodyDiv w:val="1"/>
      <w:marLeft w:val="0"/>
      <w:marRight w:val="0"/>
      <w:marTop w:val="0"/>
      <w:marBottom w:val="0"/>
      <w:divBdr>
        <w:top w:val="none" w:sz="0" w:space="0" w:color="auto"/>
        <w:left w:val="none" w:sz="0" w:space="0" w:color="auto"/>
        <w:bottom w:val="none" w:sz="0" w:space="0" w:color="auto"/>
        <w:right w:val="none" w:sz="0" w:space="0" w:color="auto"/>
      </w:divBdr>
    </w:div>
    <w:div w:id="700131092">
      <w:bodyDiv w:val="1"/>
      <w:marLeft w:val="0"/>
      <w:marRight w:val="0"/>
      <w:marTop w:val="0"/>
      <w:marBottom w:val="0"/>
      <w:divBdr>
        <w:top w:val="none" w:sz="0" w:space="0" w:color="auto"/>
        <w:left w:val="none" w:sz="0" w:space="0" w:color="auto"/>
        <w:bottom w:val="none" w:sz="0" w:space="0" w:color="auto"/>
        <w:right w:val="none" w:sz="0" w:space="0" w:color="auto"/>
      </w:divBdr>
    </w:div>
    <w:div w:id="708535109">
      <w:bodyDiv w:val="1"/>
      <w:marLeft w:val="0"/>
      <w:marRight w:val="0"/>
      <w:marTop w:val="0"/>
      <w:marBottom w:val="0"/>
      <w:divBdr>
        <w:top w:val="none" w:sz="0" w:space="0" w:color="auto"/>
        <w:left w:val="none" w:sz="0" w:space="0" w:color="auto"/>
        <w:bottom w:val="none" w:sz="0" w:space="0" w:color="auto"/>
        <w:right w:val="none" w:sz="0" w:space="0" w:color="auto"/>
      </w:divBdr>
    </w:div>
    <w:div w:id="710618967">
      <w:bodyDiv w:val="1"/>
      <w:marLeft w:val="0"/>
      <w:marRight w:val="0"/>
      <w:marTop w:val="0"/>
      <w:marBottom w:val="0"/>
      <w:divBdr>
        <w:top w:val="none" w:sz="0" w:space="0" w:color="auto"/>
        <w:left w:val="none" w:sz="0" w:space="0" w:color="auto"/>
        <w:bottom w:val="none" w:sz="0" w:space="0" w:color="auto"/>
        <w:right w:val="none" w:sz="0" w:space="0" w:color="auto"/>
      </w:divBdr>
    </w:div>
    <w:div w:id="711997130">
      <w:bodyDiv w:val="1"/>
      <w:marLeft w:val="0"/>
      <w:marRight w:val="0"/>
      <w:marTop w:val="0"/>
      <w:marBottom w:val="0"/>
      <w:divBdr>
        <w:top w:val="none" w:sz="0" w:space="0" w:color="auto"/>
        <w:left w:val="none" w:sz="0" w:space="0" w:color="auto"/>
        <w:bottom w:val="none" w:sz="0" w:space="0" w:color="auto"/>
        <w:right w:val="none" w:sz="0" w:space="0" w:color="auto"/>
      </w:divBdr>
    </w:div>
    <w:div w:id="713236768">
      <w:bodyDiv w:val="1"/>
      <w:marLeft w:val="0"/>
      <w:marRight w:val="0"/>
      <w:marTop w:val="0"/>
      <w:marBottom w:val="0"/>
      <w:divBdr>
        <w:top w:val="none" w:sz="0" w:space="0" w:color="auto"/>
        <w:left w:val="none" w:sz="0" w:space="0" w:color="auto"/>
        <w:bottom w:val="none" w:sz="0" w:space="0" w:color="auto"/>
        <w:right w:val="none" w:sz="0" w:space="0" w:color="auto"/>
      </w:divBdr>
    </w:div>
    <w:div w:id="717778340">
      <w:bodyDiv w:val="1"/>
      <w:marLeft w:val="0"/>
      <w:marRight w:val="0"/>
      <w:marTop w:val="0"/>
      <w:marBottom w:val="0"/>
      <w:divBdr>
        <w:top w:val="none" w:sz="0" w:space="0" w:color="auto"/>
        <w:left w:val="none" w:sz="0" w:space="0" w:color="auto"/>
        <w:bottom w:val="none" w:sz="0" w:space="0" w:color="auto"/>
        <w:right w:val="none" w:sz="0" w:space="0" w:color="auto"/>
      </w:divBdr>
    </w:div>
    <w:div w:id="722369228">
      <w:bodyDiv w:val="1"/>
      <w:marLeft w:val="0"/>
      <w:marRight w:val="0"/>
      <w:marTop w:val="0"/>
      <w:marBottom w:val="0"/>
      <w:divBdr>
        <w:top w:val="none" w:sz="0" w:space="0" w:color="auto"/>
        <w:left w:val="none" w:sz="0" w:space="0" w:color="auto"/>
        <w:bottom w:val="none" w:sz="0" w:space="0" w:color="auto"/>
        <w:right w:val="none" w:sz="0" w:space="0" w:color="auto"/>
      </w:divBdr>
    </w:div>
    <w:div w:id="725034345">
      <w:bodyDiv w:val="1"/>
      <w:marLeft w:val="0"/>
      <w:marRight w:val="0"/>
      <w:marTop w:val="0"/>
      <w:marBottom w:val="0"/>
      <w:divBdr>
        <w:top w:val="none" w:sz="0" w:space="0" w:color="auto"/>
        <w:left w:val="none" w:sz="0" w:space="0" w:color="auto"/>
        <w:bottom w:val="none" w:sz="0" w:space="0" w:color="auto"/>
        <w:right w:val="none" w:sz="0" w:space="0" w:color="auto"/>
      </w:divBdr>
    </w:div>
    <w:div w:id="727338880">
      <w:bodyDiv w:val="1"/>
      <w:marLeft w:val="0"/>
      <w:marRight w:val="0"/>
      <w:marTop w:val="0"/>
      <w:marBottom w:val="0"/>
      <w:divBdr>
        <w:top w:val="none" w:sz="0" w:space="0" w:color="auto"/>
        <w:left w:val="none" w:sz="0" w:space="0" w:color="auto"/>
        <w:bottom w:val="none" w:sz="0" w:space="0" w:color="auto"/>
        <w:right w:val="none" w:sz="0" w:space="0" w:color="auto"/>
      </w:divBdr>
    </w:div>
    <w:div w:id="736704602">
      <w:bodyDiv w:val="1"/>
      <w:marLeft w:val="0"/>
      <w:marRight w:val="0"/>
      <w:marTop w:val="0"/>
      <w:marBottom w:val="0"/>
      <w:divBdr>
        <w:top w:val="none" w:sz="0" w:space="0" w:color="auto"/>
        <w:left w:val="none" w:sz="0" w:space="0" w:color="auto"/>
        <w:bottom w:val="none" w:sz="0" w:space="0" w:color="auto"/>
        <w:right w:val="none" w:sz="0" w:space="0" w:color="auto"/>
      </w:divBdr>
    </w:div>
    <w:div w:id="738404399">
      <w:bodyDiv w:val="1"/>
      <w:marLeft w:val="0"/>
      <w:marRight w:val="0"/>
      <w:marTop w:val="0"/>
      <w:marBottom w:val="0"/>
      <w:divBdr>
        <w:top w:val="none" w:sz="0" w:space="0" w:color="auto"/>
        <w:left w:val="none" w:sz="0" w:space="0" w:color="auto"/>
        <w:bottom w:val="none" w:sz="0" w:space="0" w:color="auto"/>
        <w:right w:val="none" w:sz="0" w:space="0" w:color="auto"/>
      </w:divBdr>
    </w:div>
    <w:div w:id="745878141">
      <w:bodyDiv w:val="1"/>
      <w:marLeft w:val="0"/>
      <w:marRight w:val="0"/>
      <w:marTop w:val="0"/>
      <w:marBottom w:val="0"/>
      <w:divBdr>
        <w:top w:val="none" w:sz="0" w:space="0" w:color="auto"/>
        <w:left w:val="none" w:sz="0" w:space="0" w:color="auto"/>
        <w:bottom w:val="none" w:sz="0" w:space="0" w:color="auto"/>
        <w:right w:val="none" w:sz="0" w:space="0" w:color="auto"/>
      </w:divBdr>
    </w:div>
    <w:div w:id="749473063">
      <w:bodyDiv w:val="1"/>
      <w:marLeft w:val="0"/>
      <w:marRight w:val="0"/>
      <w:marTop w:val="0"/>
      <w:marBottom w:val="0"/>
      <w:divBdr>
        <w:top w:val="none" w:sz="0" w:space="0" w:color="auto"/>
        <w:left w:val="none" w:sz="0" w:space="0" w:color="auto"/>
        <w:bottom w:val="none" w:sz="0" w:space="0" w:color="auto"/>
        <w:right w:val="none" w:sz="0" w:space="0" w:color="auto"/>
      </w:divBdr>
    </w:div>
    <w:div w:id="750273931">
      <w:bodyDiv w:val="1"/>
      <w:marLeft w:val="0"/>
      <w:marRight w:val="0"/>
      <w:marTop w:val="0"/>
      <w:marBottom w:val="0"/>
      <w:divBdr>
        <w:top w:val="none" w:sz="0" w:space="0" w:color="auto"/>
        <w:left w:val="none" w:sz="0" w:space="0" w:color="auto"/>
        <w:bottom w:val="none" w:sz="0" w:space="0" w:color="auto"/>
        <w:right w:val="none" w:sz="0" w:space="0" w:color="auto"/>
      </w:divBdr>
    </w:div>
    <w:div w:id="750351655">
      <w:bodyDiv w:val="1"/>
      <w:marLeft w:val="0"/>
      <w:marRight w:val="0"/>
      <w:marTop w:val="0"/>
      <w:marBottom w:val="0"/>
      <w:divBdr>
        <w:top w:val="none" w:sz="0" w:space="0" w:color="auto"/>
        <w:left w:val="none" w:sz="0" w:space="0" w:color="auto"/>
        <w:bottom w:val="none" w:sz="0" w:space="0" w:color="auto"/>
        <w:right w:val="none" w:sz="0" w:space="0" w:color="auto"/>
      </w:divBdr>
    </w:div>
    <w:div w:id="751000996">
      <w:bodyDiv w:val="1"/>
      <w:marLeft w:val="0"/>
      <w:marRight w:val="0"/>
      <w:marTop w:val="0"/>
      <w:marBottom w:val="0"/>
      <w:divBdr>
        <w:top w:val="none" w:sz="0" w:space="0" w:color="auto"/>
        <w:left w:val="none" w:sz="0" w:space="0" w:color="auto"/>
        <w:bottom w:val="none" w:sz="0" w:space="0" w:color="auto"/>
        <w:right w:val="none" w:sz="0" w:space="0" w:color="auto"/>
      </w:divBdr>
    </w:div>
    <w:div w:id="758986637">
      <w:bodyDiv w:val="1"/>
      <w:marLeft w:val="0"/>
      <w:marRight w:val="0"/>
      <w:marTop w:val="0"/>
      <w:marBottom w:val="0"/>
      <w:divBdr>
        <w:top w:val="none" w:sz="0" w:space="0" w:color="auto"/>
        <w:left w:val="none" w:sz="0" w:space="0" w:color="auto"/>
        <w:bottom w:val="none" w:sz="0" w:space="0" w:color="auto"/>
        <w:right w:val="none" w:sz="0" w:space="0" w:color="auto"/>
      </w:divBdr>
    </w:div>
    <w:div w:id="759833530">
      <w:bodyDiv w:val="1"/>
      <w:marLeft w:val="0"/>
      <w:marRight w:val="0"/>
      <w:marTop w:val="0"/>
      <w:marBottom w:val="0"/>
      <w:divBdr>
        <w:top w:val="none" w:sz="0" w:space="0" w:color="auto"/>
        <w:left w:val="none" w:sz="0" w:space="0" w:color="auto"/>
        <w:bottom w:val="none" w:sz="0" w:space="0" w:color="auto"/>
        <w:right w:val="none" w:sz="0" w:space="0" w:color="auto"/>
      </w:divBdr>
    </w:div>
    <w:div w:id="766581589">
      <w:bodyDiv w:val="1"/>
      <w:marLeft w:val="0"/>
      <w:marRight w:val="0"/>
      <w:marTop w:val="0"/>
      <w:marBottom w:val="0"/>
      <w:divBdr>
        <w:top w:val="none" w:sz="0" w:space="0" w:color="auto"/>
        <w:left w:val="none" w:sz="0" w:space="0" w:color="auto"/>
        <w:bottom w:val="none" w:sz="0" w:space="0" w:color="auto"/>
        <w:right w:val="none" w:sz="0" w:space="0" w:color="auto"/>
      </w:divBdr>
    </w:div>
    <w:div w:id="773668503">
      <w:bodyDiv w:val="1"/>
      <w:marLeft w:val="0"/>
      <w:marRight w:val="0"/>
      <w:marTop w:val="0"/>
      <w:marBottom w:val="0"/>
      <w:divBdr>
        <w:top w:val="none" w:sz="0" w:space="0" w:color="auto"/>
        <w:left w:val="none" w:sz="0" w:space="0" w:color="auto"/>
        <w:bottom w:val="none" w:sz="0" w:space="0" w:color="auto"/>
        <w:right w:val="none" w:sz="0" w:space="0" w:color="auto"/>
      </w:divBdr>
    </w:div>
    <w:div w:id="793795269">
      <w:bodyDiv w:val="1"/>
      <w:marLeft w:val="0"/>
      <w:marRight w:val="0"/>
      <w:marTop w:val="0"/>
      <w:marBottom w:val="0"/>
      <w:divBdr>
        <w:top w:val="none" w:sz="0" w:space="0" w:color="auto"/>
        <w:left w:val="none" w:sz="0" w:space="0" w:color="auto"/>
        <w:bottom w:val="none" w:sz="0" w:space="0" w:color="auto"/>
        <w:right w:val="none" w:sz="0" w:space="0" w:color="auto"/>
      </w:divBdr>
    </w:div>
    <w:div w:id="804007609">
      <w:bodyDiv w:val="1"/>
      <w:marLeft w:val="0"/>
      <w:marRight w:val="0"/>
      <w:marTop w:val="0"/>
      <w:marBottom w:val="0"/>
      <w:divBdr>
        <w:top w:val="none" w:sz="0" w:space="0" w:color="auto"/>
        <w:left w:val="none" w:sz="0" w:space="0" w:color="auto"/>
        <w:bottom w:val="none" w:sz="0" w:space="0" w:color="auto"/>
        <w:right w:val="none" w:sz="0" w:space="0" w:color="auto"/>
      </w:divBdr>
    </w:div>
    <w:div w:id="808984750">
      <w:bodyDiv w:val="1"/>
      <w:marLeft w:val="0"/>
      <w:marRight w:val="0"/>
      <w:marTop w:val="0"/>
      <w:marBottom w:val="0"/>
      <w:divBdr>
        <w:top w:val="none" w:sz="0" w:space="0" w:color="auto"/>
        <w:left w:val="none" w:sz="0" w:space="0" w:color="auto"/>
        <w:bottom w:val="none" w:sz="0" w:space="0" w:color="auto"/>
        <w:right w:val="none" w:sz="0" w:space="0" w:color="auto"/>
      </w:divBdr>
    </w:div>
    <w:div w:id="810489304">
      <w:bodyDiv w:val="1"/>
      <w:marLeft w:val="0"/>
      <w:marRight w:val="0"/>
      <w:marTop w:val="0"/>
      <w:marBottom w:val="0"/>
      <w:divBdr>
        <w:top w:val="none" w:sz="0" w:space="0" w:color="auto"/>
        <w:left w:val="none" w:sz="0" w:space="0" w:color="auto"/>
        <w:bottom w:val="none" w:sz="0" w:space="0" w:color="auto"/>
        <w:right w:val="none" w:sz="0" w:space="0" w:color="auto"/>
      </w:divBdr>
    </w:div>
    <w:div w:id="826630867">
      <w:bodyDiv w:val="1"/>
      <w:marLeft w:val="0"/>
      <w:marRight w:val="0"/>
      <w:marTop w:val="0"/>
      <w:marBottom w:val="0"/>
      <w:divBdr>
        <w:top w:val="none" w:sz="0" w:space="0" w:color="auto"/>
        <w:left w:val="none" w:sz="0" w:space="0" w:color="auto"/>
        <w:bottom w:val="none" w:sz="0" w:space="0" w:color="auto"/>
        <w:right w:val="none" w:sz="0" w:space="0" w:color="auto"/>
      </w:divBdr>
    </w:div>
    <w:div w:id="828592217">
      <w:bodyDiv w:val="1"/>
      <w:marLeft w:val="0"/>
      <w:marRight w:val="0"/>
      <w:marTop w:val="0"/>
      <w:marBottom w:val="0"/>
      <w:divBdr>
        <w:top w:val="none" w:sz="0" w:space="0" w:color="auto"/>
        <w:left w:val="none" w:sz="0" w:space="0" w:color="auto"/>
        <w:bottom w:val="none" w:sz="0" w:space="0" w:color="auto"/>
        <w:right w:val="none" w:sz="0" w:space="0" w:color="auto"/>
      </w:divBdr>
    </w:div>
    <w:div w:id="833686784">
      <w:bodyDiv w:val="1"/>
      <w:marLeft w:val="0"/>
      <w:marRight w:val="0"/>
      <w:marTop w:val="0"/>
      <w:marBottom w:val="0"/>
      <w:divBdr>
        <w:top w:val="none" w:sz="0" w:space="0" w:color="auto"/>
        <w:left w:val="none" w:sz="0" w:space="0" w:color="auto"/>
        <w:bottom w:val="none" w:sz="0" w:space="0" w:color="auto"/>
        <w:right w:val="none" w:sz="0" w:space="0" w:color="auto"/>
      </w:divBdr>
    </w:div>
    <w:div w:id="834153928">
      <w:bodyDiv w:val="1"/>
      <w:marLeft w:val="0"/>
      <w:marRight w:val="0"/>
      <w:marTop w:val="0"/>
      <w:marBottom w:val="0"/>
      <w:divBdr>
        <w:top w:val="none" w:sz="0" w:space="0" w:color="auto"/>
        <w:left w:val="none" w:sz="0" w:space="0" w:color="auto"/>
        <w:bottom w:val="none" w:sz="0" w:space="0" w:color="auto"/>
        <w:right w:val="none" w:sz="0" w:space="0" w:color="auto"/>
      </w:divBdr>
    </w:div>
    <w:div w:id="836192177">
      <w:bodyDiv w:val="1"/>
      <w:marLeft w:val="0"/>
      <w:marRight w:val="0"/>
      <w:marTop w:val="0"/>
      <w:marBottom w:val="0"/>
      <w:divBdr>
        <w:top w:val="none" w:sz="0" w:space="0" w:color="auto"/>
        <w:left w:val="none" w:sz="0" w:space="0" w:color="auto"/>
        <w:bottom w:val="none" w:sz="0" w:space="0" w:color="auto"/>
        <w:right w:val="none" w:sz="0" w:space="0" w:color="auto"/>
      </w:divBdr>
    </w:div>
    <w:div w:id="838158176">
      <w:bodyDiv w:val="1"/>
      <w:marLeft w:val="0"/>
      <w:marRight w:val="0"/>
      <w:marTop w:val="0"/>
      <w:marBottom w:val="0"/>
      <w:divBdr>
        <w:top w:val="none" w:sz="0" w:space="0" w:color="auto"/>
        <w:left w:val="none" w:sz="0" w:space="0" w:color="auto"/>
        <w:bottom w:val="none" w:sz="0" w:space="0" w:color="auto"/>
        <w:right w:val="none" w:sz="0" w:space="0" w:color="auto"/>
      </w:divBdr>
    </w:div>
    <w:div w:id="847212122">
      <w:bodyDiv w:val="1"/>
      <w:marLeft w:val="0"/>
      <w:marRight w:val="0"/>
      <w:marTop w:val="0"/>
      <w:marBottom w:val="0"/>
      <w:divBdr>
        <w:top w:val="none" w:sz="0" w:space="0" w:color="auto"/>
        <w:left w:val="none" w:sz="0" w:space="0" w:color="auto"/>
        <w:bottom w:val="none" w:sz="0" w:space="0" w:color="auto"/>
        <w:right w:val="none" w:sz="0" w:space="0" w:color="auto"/>
      </w:divBdr>
    </w:div>
    <w:div w:id="853421890">
      <w:bodyDiv w:val="1"/>
      <w:marLeft w:val="0"/>
      <w:marRight w:val="0"/>
      <w:marTop w:val="0"/>
      <w:marBottom w:val="0"/>
      <w:divBdr>
        <w:top w:val="none" w:sz="0" w:space="0" w:color="auto"/>
        <w:left w:val="none" w:sz="0" w:space="0" w:color="auto"/>
        <w:bottom w:val="none" w:sz="0" w:space="0" w:color="auto"/>
        <w:right w:val="none" w:sz="0" w:space="0" w:color="auto"/>
      </w:divBdr>
    </w:div>
    <w:div w:id="862715996">
      <w:bodyDiv w:val="1"/>
      <w:marLeft w:val="0"/>
      <w:marRight w:val="0"/>
      <w:marTop w:val="0"/>
      <w:marBottom w:val="0"/>
      <w:divBdr>
        <w:top w:val="none" w:sz="0" w:space="0" w:color="auto"/>
        <w:left w:val="none" w:sz="0" w:space="0" w:color="auto"/>
        <w:bottom w:val="none" w:sz="0" w:space="0" w:color="auto"/>
        <w:right w:val="none" w:sz="0" w:space="0" w:color="auto"/>
      </w:divBdr>
    </w:div>
    <w:div w:id="862867485">
      <w:bodyDiv w:val="1"/>
      <w:marLeft w:val="0"/>
      <w:marRight w:val="0"/>
      <w:marTop w:val="0"/>
      <w:marBottom w:val="0"/>
      <w:divBdr>
        <w:top w:val="none" w:sz="0" w:space="0" w:color="auto"/>
        <w:left w:val="none" w:sz="0" w:space="0" w:color="auto"/>
        <w:bottom w:val="none" w:sz="0" w:space="0" w:color="auto"/>
        <w:right w:val="none" w:sz="0" w:space="0" w:color="auto"/>
      </w:divBdr>
    </w:div>
    <w:div w:id="878007345">
      <w:bodyDiv w:val="1"/>
      <w:marLeft w:val="0"/>
      <w:marRight w:val="0"/>
      <w:marTop w:val="0"/>
      <w:marBottom w:val="0"/>
      <w:divBdr>
        <w:top w:val="none" w:sz="0" w:space="0" w:color="auto"/>
        <w:left w:val="none" w:sz="0" w:space="0" w:color="auto"/>
        <w:bottom w:val="none" w:sz="0" w:space="0" w:color="auto"/>
        <w:right w:val="none" w:sz="0" w:space="0" w:color="auto"/>
      </w:divBdr>
    </w:div>
    <w:div w:id="886725693">
      <w:bodyDiv w:val="1"/>
      <w:marLeft w:val="0"/>
      <w:marRight w:val="0"/>
      <w:marTop w:val="0"/>
      <w:marBottom w:val="0"/>
      <w:divBdr>
        <w:top w:val="none" w:sz="0" w:space="0" w:color="auto"/>
        <w:left w:val="none" w:sz="0" w:space="0" w:color="auto"/>
        <w:bottom w:val="none" w:sz="0" w:space="0" w:color="auto"/>
        <w:right w:val="none" w:sz="0" w:space="0" w:color="auto"/>
      </w:divBdr>
    </w:div>
    <w:div w:id="892959427">
      <w:bodyDiv w:val="1"/>
      <w:marLeft w:val="0"/>
      <w:marRight w:val="0"/>
      <w:marTop w:val="0"/>
      <w:marBottom w:val="0"/>
      <w:divBdr>
        <w:top w:val="none" w:sz="0" w:space="0" w:color="auto"/>
        <w:left w:val="none" w:sz="0" w:space="0" w:color="auto"/>
        <w:bottom w:val="none" w:sz="0" w:space="0" w:color="auto"/>
        <w:right w:val="none" w:sz="0" w:space="0" w:color="auto"/>
      </w:divBdr>
    </w:div>
    <w:div w:id="929893726">
      <w:bodyDiv w:val="1"/>
      <w:marLeft w:val="0"/>
      <w:marRight w:val="0"/>
      <w:marTop w:val="0"/>
      <w:marBottom w:val="0"/>
      <w:divBdr>
        <w:top w:val="none" w:sz="0" w:space="0" w:color="auto"/>
        <w:left w:val="none" w:sz="0" w:space="0" w:color="auto"/>
        <w:bottom w:val="none" w:sz="0" w:space="0" w:color="auto"/>
        <w:right w:val="none" w:sz="0" w:space="0" w:color="auto"/>
      </w:divBdr>
    </w:div>
    <w:div w:id="933168553">
      <w:bodyDiv w:val="1"/>
      <w:marLeft w:val="0"/>
      <w:marRight w:val="0"/>
      <w:marTop w:val="0"/>
      <w:marBottom w:val="0"/>
      <w:divBdr>
        <w:top w:val="none" w:sz="0" w:space="0" w:color="auto"/>
        <w:left w:val="none" w:sz="0" w:space="0" w:color="auto"/>
        <w:bottom w:val="none" w:sz="0" w:space="0" w:color="auto"/>
        <w:right w:val="none" w:sz="0" w:space="0" w:color="auto"/>
      </w:divBdr>
    </w:div>
    <w:div w:id="934630350">
      <w:bodyDiv w:val="1"/>
      <w:marLeft w:val="0"/>
      <w:marRight w:val="0"/>
      <w:marTop w:val="0"/>
      <w:marBottom w:val="0"/>
      <w:divBdr>
        <w:top w:val="none" w:sz="0" w:space="0" w:color="auto"/>
        <w:left w:val="none" w:sz="0" w:space="0" w:color="auto"/>
        <w:bottom w:val="none" w:sz="0" w:space="0" w:color="auto"/>
        <w:right w:val="none" w:sz="0" w:space="0" w:color="auto"/>
      </w:divBdr>
    </w:div>
    <w:div w:id="940913381">
      <w:bodyDiv w:val="1"/>
      <w:marLeft w:val="0"/>
      <w:marRight w:val="0"/>
      <w:marTop w:val="0"/>
      <w:marBottom w:val="0"/>
      <w:divBdr>
        <w:top w:val="none" w:sz="0" w:space="0" w:color="auto"/>
        <w:left w:val="none" w:sz="0" w:space="0" w:color="auto"/>
        <w:bottom w:val="none" w:sz="0" w:space="0" w:color="auto"/>
        <w:right w:val="none" w:sz="0" w:space="0" w:color="auto"/>
      </w:divBdr>
    </w:div>
    <w:div w:id="941377791">
      <w:bodyDiv w:val="1"/>
      <w:marLeft w:val="0"/>
      <w:marRight w:val="0"/>
      <w:marTop w:val="0"/>
      <w:marBottom w:val="0"/>
      <w:divBdr>
        <w:top w:val="none" w:sz="0" w:space="0" w:color="auto"/>
        <w:left w:val="none" w:sz="0" w:space="0" w:color="auto"/>
        <w:bottom w:val="none" w:sz="0" w:space="0" w:color="auto"/>
        <w:right w:val="none" w:sz="0" w:space="0" w:color="auto"/>
      </w:divBdr>
    </w:div>
    <w:div w:id="951126907">
      <w:bodyDiv w:val="1"/>
      <w:marLeft w:val="0"/>
      <w:marRight w:val="0"/>
      <w:marTop w:val="0"/>
      <w:marBottom w:val="0"/>
      <w:divBdr>
        <w:top w:val="none" w:sz="0" w:space="0" w:color="auto"/>
        <w:left w:val="none" w:sz="0" w:space="0" w:color="auto"/>
        <w:bottom w:val="none" w:sz="0" w:space="0" w:color="auto"/>
        <w:right w:val="none" w:sz="0" w:space="0" w:color="auto"/>
      </w:divBdr>
    </w:div>
    <w:div w:id="963002905">
      <w:bodyDiv w:val="1"/>
      <w:marLeft w:val="0"/>
      <w:marRight w:val="0"/>
      <w:marTop w:val="0"/>
      <w:marBottom w:val="0"/>
      <w:divBdr>
        <w:top w:val="none" w:sz="0" w:space="0" w:color="auto"/>
        <w:left w:val="none" w:sz="0" w:space="0" w:color="auto"/>
        <w:bottom w:val="none" w:sz="0" w:space="0" w:color="auto"/>
        <w:right w:val="none" w:sz="0" w:space="0" w:color="auto"/>
      </w:divBdr>
    </w:div>
    <w:div w:id="972293666">
      <w:bodyDiv w:val="1"/>
      <w:marLeft w:val="0"/>
      <w:marRight w:val="0"/>
      <w:marTop w:val="0"/>
      <w:marBottom w:val="0"/>
      <w:divBdr>
        <w:top w:val="none" w:sz="0" w:space="0" w:color="auto"/>
        <w:left w:val="none" w:sz="0" w:space="0" w:color="auto"/>
        <w:bottom w:val="none" w:sz="0" w:space="0" w:color="auto"/>
        <w:right w:val="none" w:sz="0" w:space="0" w:color="auto"/>
      </w:divBdr>
    </w:div>
    <w:div w:id="973605102">
      <w:bodyDiv w:val="1"/>
      <w:marLeft w:val="0"/>
      <w:marRight w:val="0"/>
      <w:marTop w:val="0"/>
      <w:marBottom w:val="0"/>
      <w:divBdr>
        <w:top w:val="none" w:sz="0" w:space="0" w:color="auto"/>
        <w:left w:val="none" w:sz="0" w:space="0" w:color="auto"/>
        <w:bottom w:val="none" w:sz="0" w:space="0" w:color="auto"/>
        <w:right w:val="none" w:sz="0" w:space="0" w:color="auto"/>
      </w:divBdr>
    </w:div>
    <w:div w:id="988363371">
      <w:bodyDiv w:val="1"/>
      <w:marLeft w:val="0"/>
      <w:marRight w:val="0"/>
      <w:marTop w:val="0"/>
      <w:marBottom w:val="0"/>
      <w:divBdr>
        <w:top w:val="none" w:sz="0" w:space="0" w:color="auto"/>
        <w:left w:val="none" w:sz="0" w:space="0" w:color="auto"/>
        <w:bottom w:val="none" w:sz="0" w:space="0" w:color="auto"/>
        <w:right w:val="none" w:sz="0" w:space="0" w:color="auto"/>
      </w:divBdr>
    </w:div>
    <w:div w:id="1001932496">
      <w:bodyDiv w:val="1"/>
      <w:marLeft w:val="0"/>
      <w:marRight w:val="0"/>
      <w:marTop w:val="0"/>
      <w:marBottom w:val="0"/>
      <w:divBdr>
        <w:top w:val="none" w:sz="0" w:space="0" w:color="auto"/>
        <w:left w:val="none" w:sz="0" w:space="0" w:color="auto"/>
        <w:bottom w:val="none" w:sz="0" w:space="0" w:color="auto"/>
        <w:right w:val="none" w:sz="0" w:space="0" w:color="auto"/>
      </w:divBdr>
    </w:div>
    <w:div w:id="1003707769">
      <w:bodyDiv w:val="1"/>
      <w:marLeft w:val="0"/>
      <w:marRight w:val="0"/>
      <w:marTop w:val="0"/>
      <w:marBottom w:val="0"/>
      <w:divBdr>
        <w:top w:val="none" w:sz="0" w:space="0" w:color="auto"/>
        <w:left w:val="none" w:sz="0" w:space="0" w:color="auto"/>
        <w:bottom w:val="none" w:sz="0" w:space="0" w:color="auto"/>
        <w:right w:val="none" w:sz="0" w:space="0" w:color="auto"/>
      </w:divBdr>
    </w:div>
    <w:div w:id="1005281804">
      <w:bodyDiv w:val="1"/>
      <w:marLeft w:val="0"/>
      <w:marRight w:val="0"/>
      <w:marTop w:val="0"/>
      <w:marBottom w:val="0"/>
      <w:divBdr>
        <w:top w:val="none" w:sz="0" w:space="0" w:color="auto"/>
        <w:left w:val="none" w:sz="0" w:space="0" w:color="auto"/>
        <w:bottom w:val="none" w:sz="0" w:space="0" w:color="auto"/>
        <w:right w:val="none" w:sz="0" w:space="0" w:color="auto"/>
      </w:divBdr>
    </w:div>
    <w:div w:id="1010644599">
      <w:bodyDiv w:val="1"/>
      <w:marLeft w:val="0"/>
      <w:marRight w:val="0"/>
      <w:marTop w:val="0"/>
      <w:marBottom w:val="0"/>
      <w:divBdr>
        <w:top w:val="none" w:sz="0" w:space="0" w:color="auto"/>
        <w:left w:val="none" w:sz="0" w:space="0" w:color="auto"/>
        <w:bottom w:val="none" w:sz="0" w:space="0" w:color="auto"/>
        <w:right w:val="none" w:sz="0" w:space="0" w:color="auto"/>
      </w:divBdr>
    </w:div>
    <w:div w:id="1010647859">
      <w:bodyDiv w:val="1"/>
      <w:marLeft w:val="0"/>
      <w:marRight w:val="0"/>
      <w:marTop w:val="0"/>
      <w:marBottom w:val="0"/>
      <w:divBdr>
        <w:top w:val="none" w:sz="0" w:space="0" w:color="auto"/>
        <w:left w:val="none" w:sz="0" w:space="0" w:color="auto"/>
        <w:bottom w:val="none" w:sz="0" w:space="0" w:color="auto"/>
        <w:right w:val="none" w:sz="0" w:space="0" w:color="auto"/>
      </w:divBdr>
    </w:div>
    <w:div w:id="1033654359">
      <w:bodyDiv w:val="1"/>
      <w:marLeft w:val="0"/>
      <w:marRight w:val="0"/>
      <w:marTop w:val="0"/>
      <w:marBottom w:val="0"/>
      <w:divBdr>
        <w:top w:val="none" w:sz="0" w:space="0" w:color="auto"/>
        <w:left w:val="none" w:sz="0" w:space="0" w:color="auto"/>
        <w:bottom w:val="none" w:sz="0" w:space="0" w:color="auto"/>
        <w:right w:val="none" w:sz="0" w:space="0" w:color="auto"/>
      </w:divBdr>
    </w:div>
    <w:div w:id="1042246774">
      <w:bodyDiv w:val="1"/>
      <w:marLeft w:val="0"/>
      <w:marRight w:val="0"/>
      <w:marTop w:val="0"/>
      <w:marBottom w:val="0"/>
      <w:divBdr>
        <w:top w:val="none" w:sz="0" w:space="0" w:color="auto"/>
        <w:left w:val="none" w:sz="0" w:space="0" w:color="auto"/>
        <w:bottom w:val="none" w:sz="0" w:space="0" w:color="auto"/>
        <w:right w:val="none" w:sz="0" w:space="0" w:color="auto"/>
      </w:divBdr>
    </w:div>
    <w:div w:id="1048336082">
      <w:bodyDiv w:val="1"/>
      <w:marLeft w:val="0"/>
      <w:marRight w:val="0"/>
      <w:marTop w:val="0"/>
      <w:marBottom w:val="0"/>
      <w:divBdr>
        <w:top w:val="none" w:sz="0" w:space="0" w:color="auto"/>
        <w:left w:val="none" w:sz="0" w:space="0" w:color="auto"/>
        <w:bottom w:val="none" w:sz="0" w:space="0" w:color="auto"/>
        <w:right w:val="none" w:sz="0" w:space="0" w:color="auto"/>
      </w:divBdr>
    </w:div>
    <w:div w:id="1049648588">
      <w:bodyDiv w:val="1"/>
      <w:marLeft w:val="0"/>
      <w:marRight w:val="0"/>
      <w:marTop w:val="0"/>
      <w:marBottom w:val="0"/>
      <w:divBdr>
        <w:top w:val="none" w:sz="0" w:space="0" w:color="auto"/>
        <w:left w:val="none" w:sz="0" w:space="0" w:color="auto"/>
        <w:bottom w:val="none" w:sz="0" w:space="0" w:color="auto"/>
        <w:right w:val="none" w:sz="0" w:space="0" w:color="auto"/>
      </w:divBdr>
    </w:div>
    <w:div w:id="1054232317">
      <w:bodyDiv w:val="1"/>
      <w:marLeft w:val="0"/>
      <w:marRight w:val="0"/>
      <w:marTop w:val="0"/>
      <w:marBottom w:val="0"/>
      <w:divBdr>
        <w:top w:val="none" w:sz="0" w:space="0" w:color="auto"/>
        <w:left w:val="none" w:sz="0" w:space="0" w:color="auto"/>
        <w:bottom w:val="none" w:sz="0" w:space="0" w:color="auto"/>
        <w:right w:val="none" w:sz="0" w:space="0" w:color="auto"/>
      </w:divBdr>
    </w:div>
    <w:div w:id="1057632876">
      <w:bodyDiv w:val="1"/>
      <w:marLeft w:val="0"/>
      <w:marRight w:val="0"/>
      <w:marTop w:val="0"/>
      <w:marBottom w:val="0"/>
      <w:divBdr>
        <w:top w:val="none" w:sz="0" w:space="0" w:color="auto"/>
        <w:left w:val="none" w:sz="0" w:space="0" w:color="auto"/>
        <w:bottom w:val="none" w:sz="0" w:space="0" w:color="auto"/>
        <w:right w:val="none" w:sz="0" w:space="0" w:color="auto"/>
      </w:divBdr>
    </w:div>
    <w:div w:id="1074471863">
      <w:bodyDiv w:val="1"/>
      <w:marLeft w:val="0"/>
      <w:marRight w:val="0"/>
      <w:marTop w:val="0"/>
      <w:marBottom w:val="0"/>
      <w:divBdr>
        <w:top w:val="none" w:sz="0" w:space="0" w:color="auto"/>
        <w:left w:val="none" w:sz="0" w:space="0" w:color="auto"/>
        <w:bottom w:val="none" w:sz="0" w:space="0" w:color="auto"/>
        <w:right w:val="none" w:sz="0" w:space="0" w:color="auto"/>
      </w:divBdr>
    </w:div>
    <w:div w:id="1076512924">
      <w:bodyDiv w:val="1"/>
      <w:marLeft w:val="0"/>
      <w:marRight w:val="0"/>
      <w:marTop w:val="0"/>
      <w:marBottom w:val="0"/>
      <w:divBdr>
        <w:top w:val="none" w:sz="0" w:space="0" w:color="auto"/>
        <w:left w:val="none" w:sz="0" w:space="0" w:color="auto"/>
        <w:bottom w:val="none" w:sz="0" w:space="0" w:color="auto"/>
        <w:right w:val="none" w:sz="0" w:space="0" w:color="auto"/>
      </w:divBdr>
    </w:div>
    <w:div w:id="1087849039">
      <w:bodyDiv w:val="1"/>
      <w:marLeft w:val="0"/>
      <w:marRight w:val="0"/>
      <w:marTop w:val="0"/>
      <w:marBottom w:val="0"/>
      <w:divBdr>
        <w:top w:val="none" w:sz="0" w:space="0" w:color="auto"/>
        <w:left w:val="none" w:sz="0" w:space="0" w:color="auto"/>
        <w:bottom w:val="none" w:sz="0" w:space="0" w:color="auto"/>
        <w:right w:val="none" w:sz="0" w:space="0" w:color="auto"/>
      </w:divBdr>
    </w:div>
    <w:div w:id="1090538504">
      <w:bodyDiv w:val="1"/>
      <w:marLeft w:val="0"/>
      <w:marRight w:val="0"/>
      <w:marTop w:val="0"/>
      <w:marBottom w:val="0"/>
      <w:divBdr>
        <w:top w:val="none" w:sz="0" w:space="0" w:color="auto"/>
        <w:left w:val="none" w:sz="0" w:space="0" w:color="auto"/>
        <w:bottom w:val="none" w:sz="0" w:space="0" w:color="auto"/>
        <w:right w:val="none" w:sz="0" w:space="0" w:color="auto"/>
      </w:divBdr>
    </w:div>
    <w:div w:id="1093623648">
      <w:bodyDiv w:val="1"/>
      <w:marLeft w:val="0"/>
      <w:marRight w:val="0"/>
      <w:marTop w:val="0"/>
      <w:marBottom w:val="0"/>
      <w:divBdr>
        <w:top w:val="none" w:sz="0" w:space="0" w:color="auto"/>
        <w:left w:val="none" w:sz="0" w:space="0" w:color="auto"/>
        <w:bottom w:val="none" w:sz="0" w:space="0" w:color="auto"/>
        <w:right w:val="none" w:sz="0" w:space="0" w:color="auto"/>
      </w:divBdr>
    </w:div>
    <w:div w:id="1112088749">
      <w:bodyDiv w:val="1"/>
      <w:marLeft w:val="0"/>
      <w:marRight w:val="0"/>
      <w:marTop w:val="0"/>
      <w:marBottom w:val="0"/>
      <w:divBdr>
        <w:top w:val="none" w:sz="0" w:space="0" w:color="auto"/>
        <w:left w:val="none" w:sz="0" w:space="0" w:color="auto"/>
        <w:bottom w:val="none" w:sz="0" w:space="0" w:color="auto"/>
        <w:right w:val="none" w:sz="0" w:space="0" w:color="auto"/>
      </w:divBdr>
    </w:div>
    <w:div w:id="1124302269">
      <w:bodyDiv w:val="1"/>
      <w:marLeft w:val="0"/>
      <w:marRight w:val="0"/>
      <w:marTop w:val="0"/>
      <w:marBottom w:val="0"/>
      <w:divBdr>
        <w:top w:val="none" w:sz="0" w:space="0" w:color="auto"/>
        <w:left w:val="none" w:sz="0" w:space="0" w:color="auto"/>
        <w:bottom w:val="none" w:sz="0" w:space="0" w:color="auto"/>
        <w:right w:val="none" w:sz="0" w:space="0" w:color="auto"/>
      </w:divBdr>
    </w:div>
    <w:div w:id="1127235658">
      <w:bodyDiv w:val="1"/>
      <w:marLeft w:val="0"/>
      <w:marRight w:val="0"/>
      <w:marTop w:val="0"/>
      <w:marBottom w:val="0"/>
      <w:divBdr>
        <w:top w:val="none" w:sz="0" w:space="0" w:color="auto"/>
        <w:left w:val="none" w:sz="0" w:space="0" w:color="auto"/>
        <w:bottom w:val="none" w:sz="0" w:space="0" w:color="auto"/>
        <w:right w:val="none" w:sz="0" w:space="0" w:color="auto"/>
      </w:divBdr>
    </w:div>
    <w:div w:id="1140731503">
      <w:bodyDiv w:val="1"/>
      <w:marLeft w:val="0"/>
      <w:marRight w:val="0"/>
      <w:marTop w:val="0"/>
      <w:marBottom w:val="0"/>
      <w:divBdr>
        <w:top w:val="none" w:sz="0" w:space="0" w:color="auto"/>
        <w:left w:val="none" w:sz="0" w:space="0" w:color="auto"/>
        <w:bottom w:val="none" w:sz="0" w:space="0" w:color="auto"/>
        <w:right w:val="none" w:sz="0" w:space="0" w:color="auto"/>
      </w:divBdr>
    </w:div>
    <w:div w:id="1152716924">
      <w:bodyDiv w:val="1"/>
      <w:marLeft w:val="0"/>
      <w:marRight w:val="0"/>
      <w:marTop w:val="0"/>
      <w:marBottom w:val="0"/>
      <w:divBdr>
        <w:top w:val="none" w:sz="0" w:space="0" w:color="auto"/>
        <w:left w:val="none" w:sz="0" w:space="0" w:color="auto"/>
        <w:bottom w:val="none" w:sz="0" w:space="0" w:color="auto"/>
        <w:right w:val="none" w:sz="0" w:space="0" w:color="auto"/>
      </w:divBdr>
    </w:div>
    <w:div w:id="1159036096">
      <w:bodyDiv w:val="1"/>
      <w:marLeft w:val="0"/>
      <w:marRight w:val="0"/>
      <w:marTop w:val="0"/>
      <w:marBottom w:val="0"/>
      <w:divBdr>
        <w:top w:val="none" w:sz="0" w:space="0" w:color="auto"/>
        <w:left w:val="none" w:sz="0" w:space="0" w:color="auto"/>
        <w:bottom w:val="none" w:sz="0" w:space="0" w:color="auto"/>
        <w:right w:val="none" w:sz="0" w:space="0" w:color="auto"/>
      </w:divBdr>
    </w:div>
    <w:div w:id="1161392579">
      <w:bodyDiv w:val="1"/>
      <w:marLeft w:val="0"/>
      <w:marRight w:val="0"/>
      <w:marTop w:val="0"/>
      <w:marBottom w:val="0"/>
      <w:divBdr>
        <w:top w:val="none" w:sz="0" w:space="0" w:color="auto"/>
        <w:left w:val="none" w:sz="0" w:space="0" w:color="auto"/>
        <w:bottom w:val="none" w:sz="0" w:space="0" w:color="auto"/>
        <w:right w:val="none" w:sz="0" w:space="0" w:color="auto"/>
      </w:divBdr>
    </w:div>
    <w:div w:id="1166941647">
      <w:bodyDiv w:val="1"/>
      <w:marLeft w:val="0"/>
      <w:marRight w:val="0"/>
      <w:marTop w:val="0"/>
      <w:marBottom w:val="0"/>
      <w:divBdr>
        <w:top w:val="none" w:sz="0" w:space="0" w:color="auto"/>
        <w:left w:val="none" w:sz="0" w:space="0" w:color="auto"/>
        <w:bottom w:val="none" w:sz="0" w:space="0" w:color="auto"/>
        <w:right w:val="none" w:sz="0" w:space="0" w:color="auto"/>
      </w:divBdr>
    </w:div>
    <w:div w:id="1182282710">
      <w:bodyDiv w:val="1"/>
      <w:marLeft w:val="0"/>
      <w:marRight w:val="0"/>
      <w:marTop w:val="0"/>
      <w:marBottom w:val="0"/>
      <w:divBdr>
        <w:top w:val="none" w:sz="0" w:space="0" w:color="auto"/>
        <w:left w:val="none" w:sz="0" w:space="0" w:color="auto"/>
        <w:bottom w:val="none" w:sz="0" w:space="0" w:color="auto"/>
        <w:right w:val="none" w:sz="0" w:space="0" w:color="auto"/>
      </w:divBdr>
    </w:div>
    <w:div w:id="1188375375">
      <w:bodyDiv w:val="1"/>
      <w:marLeft w:val="0"/>
      <w:marRight w:val="0"/>
      <w:marTop w:val="0"/>
      <w:marBottom w:val="0"/>
      <w:divBdr>
        <w:top w:val="none" w:sz="0" w:space="0" w:color="auto"/>
        <w:left w:val="none" w:sz="0" w:space="0" w:color="auto"/>
        <w:bottom w:val="none" w:sz="0" w:space="0" w:color="auto"/>
        <w:right w:val="none" w:sz="0" w:space="0" w:color="auto"/>
      </w:divBdr>
    </w:div>
    <w:div w:id="1189101530">
      <w:bodyDiv w:val="1"/>
      <w:marLeft w:val="0"/>
      <w:marRight w:val="0"/>
      <w:marTop w:val="0"/>
      <w:marBottom w:val="0"/>
      <w:divBdr>
        <w:top w:val="none" w:sz="0" w:space="0" w:color="auto"/>
        <w:left w:val="none" w:sz="0" w:space="0" w:color="auto"/>
        <w:bottom w:val="none" w:sz="0" w:space="0" w:color="auto"/>
        <w:right w:val="none" w:sz="0" w:space="0" w:color="auto"/>
      </w:divBdr>
    </w:div>
    <w:div w:id="1189180073">
      <w:bodyDiv w:val="1"/>
      <w:marLeft w:val="0"/>
      <w:marRight w:val="0"/>
      <w:marTop w:val="0"/>
      <w:marBottom w:val="0"/>
      <w:divBdr>
        <w:top w:val="none" w:sz="0" w:space="0" w:color="auto"/>
        <w:left w:val="none" w:sz="0" w:space="0" w:color="auto"/>
        <w:bottom w:val="none" w:sz="0" w:space="0" w:color="auto"/>
        <w:right w:val="none" w:sz="0" w:space="0" w:color="auto"/>
      </w:divBdr>
    </w:div>
    <w:div w:id="1192961887">
      <w:bodyDiv w:val="1"/>
      <w:marLeft w:val="0"/>
      <w:marRight w:val="0"/>
      <w:marTop w:val="0"/>
      <w:marBottom w:val="0"/>
      <w:divBdr>
        <w:top w:val="none" w:sz="0" w:space="0" w:color="auto"/>
        <w:left w:val="none" w:sz="0" w:space="0" w:color="auto"/>
        <w:bottom w:val="none" w:sz="0" w:space="0" w:color="auto"/>
        <w:right w:val="none" w:sz="0" w:space="0" w:color="auto"/>
      </w:divBdr>
    </w:div>
    <w:div w:id="1194877943">
      <w:bodyDiv w:val="1"/>
      <w:marLeft w:val="0"/>
      <w:marRight w:val="0"/>
      <w:marTop w:val="0"/>
      <w:marBottom w:val="0"/>
      <w:divBdr>
        <w:top w:val="none" w:sz="0" w:space="0" w:color="auto"/>
        <w:left w:val="none" w:sz="0" w:space="0" w:color="auto"/>
        <w:bottom w:val="none" w:sz="0" w:space="0" w:color="auto"/>
        <w:right w:val="none" w:sz="0" w:space="0" w:color="auto"/>
      </w:divBdr>
    </w:div>
    <w:div w:id="1205484532">
      <w:bodyDiv w:val="1"/>
      <w:marLeft w:val="0"/>
      <w:marRight w:val="0"/>
      <w:marTop w:val="0"/>
      <w:marBottom w:val="0"/>
      <w:divBdr>
        <w:top w:val="none" w:sz="0" w:space="0" w:color="auto"/>
        <w:left w:val="none" w:sz="0" w:space="0" w:color="auto"/>
        <w:bottom w:val="none" w:sz="0" w:space="0" w:color="auto"/>
        <w:right w:val="none" w:sz="0" w:space="0" w:color="auto"/>
      </w:divBdr>
    </w:div>
    <w:div w:id="1207792710">
      <w:bodyDiv w:val="1"/>
      <w:marLeft w:val="0"/>
      <w:marRight w:val="0"/>
      <w:marTop w:val="0"/>
      <w:marBottom w:val="0"/>
      <w:divBdr>
        <w:top w:val="none" w:sz="0" w:space="0" w:color="auto"/>
        <w:left w:val="none" w:sz="0" w:space="0" w:color="auto"/>
        <w:bottom w:val="none" w:sz="0" w:space="0" w:color="auto"/>
        <w:right w:val="none" w:sz="0" w:space="0" w:color="auto"/>
      </w:divBdr>
    </w:div>
    <w:div w:id="1209996996">
      <w:bodyDiv w:val="1"/>
      <w:marLeft w:val="0"/>
      <w:marRight w:val="0"/>
      <w:marTop w:val="0"/>
      <w:marBottom w:val="0"/>
      <w:divBdr>
        <w:top w:val="none" w:sz="0" w:space="0" w:color="auto"/>
        <w:left w:val="none" w:sz="0" w:space="0" w:color="auto"/>
        <w:bottom w:val="none" w:sz="0" w:space="0" w:color="auto"/>
        <w:right w:val="none" w:sz="0" w:space="0" w:color="auto"/>
      </w:divBdr>
    </w:div>
    <w:div w:id="1223786470">
      <w:bodyDiv w:val="1"/>
      <w:marLeft w:val="0"/>
      <w:marRight w:val="0"/>
      <w:marTop w:val="0"/>
      <w:marBottom w:val="0"/>
      <w:divBdr>
        <w:top w:val="none" w:sz="0" w:space="0" w:color="auto"/>
        <w:left w:val="none" w:sz="0" w:space="0" w:color="auto"/>
        <w:bottom w:val="none" w:sz="0" w:space="0" w:color="auto"/>
        <w:right w:val="none" w:sz="0" w:space="0" w:color="auto"/>
      </w:divBdr>
    </w:div>
    <w:div w:id="1229224564">
      <w:bodyDiv w:val="1"/>
      <w:marLeft w:val="0"/>
      <w:marRight w:val="0"/>
      <w:marTop w:val="0"/>
      <w:marBottom w:val="0"/>
      <w:divBdr>
        <w:top w:val="none" w:sz="0" w:space="0" w:color="auto"/>
        <w:left w:val="none" w:sz="0" w:space="0" w:color="auto"/>
        <w:bottom w:val="none" w:sz="0" w:space="0" w:color="auto"/>
        <w:right w:val="none" w:sz="0" w:space="0" w:color="auto"/>
      </w:divBdr>
    </w:div>
    <w:div w:id="1230574256">
      <w:bodyDiv w:val="1"/>
      <w:marLeft w:val="0"/>
      <w:marRight w:val="0"/>
      <w:marTop w:val="0"/>
      <w:marBottom w:val="0"/>
      <w:divBdr>
        <w:top w:val="none" w:sz="0" w:space="0" w:color="auto"/>
        <w:left w:val="none" w:sz="0" w:space="0" w:color="auto"/>
        <w:bottom w:val="none" w:sz="0" w:space="0" w:color="auto"/>
        <w:right w:val="none" w:sz="0" w:space="0" w:color="auto"/>
      </w:divBdr>
    </w:div>
    <w:div w:id="1237546305">
      <w:bodyDiv w:val="1"/>
      <w:marLeft w:val="0"/>
      <w:marRight w:val="0"/>
      <w:marTop w:val="0"/>
      <w:marBottom w:val="0"/>
      <w:divBdr>
        <w:top w:val="none" w:sz="0" w:space="0" w:color="auto"/>
        <w:left w:val="none" w:sz="0" w:space="0" w:color="auto"/>
        <w:bottom w:val="none" w:sz="0" w:space="0" w:color="auto"/>
        <w:right w:val="none" w:sz="0" w:space="0" w:color="auto"/>
      </w:divBdr>
    </w:div>
    <w:div w:id="1240138669">
      <w:bodyDiv w:val="1"/>
      <w:marLeft w:val="0"/>
      <w:marRight w:val="0"/>
      <w:marTop w:val="0"/>
      <w:marBottom w:val="0"/>
      <w:divBdr>
        <w:top w:val="none" w:sz="0" w:space="0" w:color="auto"/>
        <w:left w:val="none" w:sz="0" w:space="0" w:color="auto"/>
        <w:bottom w:val="none" w:sz="0" w:space="0" w:color="auto"/>
        <w:right w:val="none" w:sz="0" w:space="0" w:color="auto"/>
      </w:divBdr>
    </w:div>
    <w:div w:id="1247615955">
      <w:bodyDiv w:val="1"/>
      <w:marLeft w:val="0"/>
      <w:marRight w:val="0"/>
      <w:marTop w:val="0"/>
      <w:marBottom w:val="0"/>
      <w:divBdr>
        <w:top w:val="none" w:sz="0" w:space="0" w:color="auto"/>
        <w:left w:val="none" w:sz="0" w:space="0" w:color="auto"/>
        <w:bottom w:val="none" w:sz="0" w:space="0" w:color="auto"/>
        <w:right w:val="none" w:sz="0" w:space="0" w:color="auto"/>
      </w:divBdr>
    </w:div>
    <w:div w:id="1267497048">
      <w:bodyDiv w:val="1"/>
      <w:marLeft w:val="0"/>
      <w:marRight w:val="0"/>
      <w:marTop w:val="0"/>
      <w:marBottom w:val="0"/>
      <w:divBdr>
        <w:top w:val="none" w:sz="0" w:space="0" w:color="auto"/>
        <w:left w:val="none" w:sz="0" w:space="0" w:color="auto"/>
        <w:bottom w:val="none" w:sz="0" w:space="0" w:color="auto"/>
        <w:right w:val="none" w:sz="0" w:space="0" w:color="auto"/>
      </w:divBdr>
    </w:div>
    <w:div w:id="1271623510">
      <w:bodyDiv w:val="1"/>
      <w:marLeft w:val="0"/>
      <w:marRight w:val="0"/>
      <w:marTop w:val="0"/>
      <w:marBottom w:val="0"/>
      <w:divBdr>
        <w:top w:val="none" w:sz="0" w:space="0" w:color="auto"/>
        <w:left w:val="none" w:sz="0" w:space="0" w:color="auto"/>
        <w:bottom w:val="none" w:sz="0" w:space="0" w:color="auto"/>
        <w:right w:val="none" w:sz="0" w:space="0" w:color="auto"/>
      </w:divBdr>
    </w:div>
    <w:div w:id="1273829917">
      <w:bodyDiv w:val="1"/>
      <w:marLeft w:val="0"/>
      <w:marRight w:val="0"/>
      <w:marTop w:val="0"/>
      <w:marBottom w:val="0"/>
      <w:divBdr>
        <w:top w:val="none" w:sz="0" w:space="0" w:color="auto"/>
        <w:left w:val="none" w:sz="0" w:space="0" w:color="auto"/>
        <w:bottom w:val="none" w:sz="0" w:space="0" w:color="auto"/>
        <w:right w:val="none" w:sz="0" w:space="0" w:color="auto"/>
      </w:divBdr>
    </w:div>
    <w:div w:id="1282762048">
      <w:bodyDiv w:val="1"/>
      <w:marLeft w:val="0"/>
      <w:marRight w:val="0"/>
      <w:marTop w:val="0"/>
      <w:marBottom w:val="0"/>
      <w:divBdr>
        <w:top w:val="none" w:sz="0" w:space="0" w:color="auto"/>
        <w:left w:val="none" w:sz="0" w:space="0" w:color="auto"/>
        <w:bottom w:val="none" w:sz="0" w:space="0" w:color="auto"/>
        <w:right w:val="none" w:sz="0" w:space="0" w:color="auto"/>
      </w:divBdr>
    </w:div>
    <w:div w:id="1299528939">
      <w:bodyDiv w:val="1"/>
      <w:marLeft w:val="0"/>
      <w:marRight w:val="0"/>
      <w:marTop w:val="0"/>
      <w:marBottom w:val="0"/>
      <w:divBdr>
        <w:top w:val="none" w:sz="0" w:space="0" w:color="auto"/>
        <w:left w:val="none" w:sz="0" w:space="0" w:color="auto"/>
        <w:bottom w:val="none" w:sz="0" w:space="0" w:color="auto"/>
        <w:right w:val="none" w:sz="0" w:space="0" w:color="auto"/>
      </w:divBdr>
    </w:div>
    <w:div w:id="1320691836">
      <w:bodyDiv w:val="1"/>
      <w:marLeft w:val="0"/>
      <w:marRight w:val="0"/>
      <w:marTop w:val="0"/>
      <w:marBottom w:val="0"/>
      <w:divBdr>
        <w:top w:val="none" w:sz="0" w:space="0" w:color="auto"/>
        <w:left w:val="none" w:sz="0" w:space="0" w:color="auto"/>
        <w:bottom w:val="none" w:sz="0" w:space="0" w:color="auto"/>
        <w:right w:val="none" w:sz="0" w:space="0" w:color="auto"/>
      </w:divBdr>
    </w:div>
    <w:div w:id="1323967998">
      <w:bodyDiv w:val="1"/>
      <w:marLeft w:val="0"/>
      <w:marRight w:val="0"/>
      <w:marTop w:val="0"/>
      <w:marBottom w:val="0"/>
      <w:divBdr>
        <w:top w:val="none" w:sz="0" w:space="0" w:color="auto"/>
        <w:left w:val="none" w:sz="0" w:space="0" w:color="auto"/>
        <w:bottom w:val="none" w:sz="0" w:space="0" w:color="auto"/>
        <w:right w:val="none" w:sz="0" w:space="0" w:color="auto"/>
      </w:divBdr>
    </w:div>
    <w:div w:id="1328049558">
      <w:bodyDiv w:val="1"/>
      <w:marLeft w:val="0"/>
      <w:marRight w:val="0"/>
      <w:marTop w:val="0"/>
      <w:marBottom w:val="0"/>
      <w:divBdr>
        <w:top w:val="none" w:sz="0" w:space="0" w:color="auto"/>
        <w:left w:val="none" w:sz="0" w:space="0" w:color="auto"/>
        <w:bottom w:val="none" w:sz="0" w:space="0" w:color="auto"/>
        <w:right w:val="none" w:sz="0" w:space="0" w:color="auto"/>
      </w:divBdr>
    </w:div>
    <w:div w:id="1329482500">
      <w:bodyDiv w:val="1"/>
      <w:marLeft w:val="0"/>
      <w:marRight w:val="0"/>
      <w:marTop w:val="0"/>
      <w:marBottom w:val="0"/>
      <w:divBdr>
        <w:top w:val="none" w:sz="0" w:space="0" w:color="auto"/>
        <w:left w:val="none" w:sz="0" w:space="0" w:color="auto"/>
        <w:bottom w:val="none" w:sz="0" w:space="0" w:color="auto"/>
        <w:right w:val="none" w:sz="0" w:space="0" w:color="auto"/>
      </w:divBdr>
    </w:div>
    <w:div w:id="1331058689">
      <w:bodyDiv w:val="1"/>
      <w:marLeft w:val="0"/>
      <w:marRight w:val="0"/>
      <w:marTop w:val="0"/>
      <w:marBottom w:val="0"/>
      <w:divBdr>
        <w:top w:val="none" w:sz="0" w:space="0" w:color="auto"/>
        <w:left w:val="none" w:sz="0" w:space="0" w:color="auto"/>
        <w:bottom w:val="none" w:sz="0" w:space="0" w:color="auto"/>
        <w:right w:val="none" w:sz="0" w:space="0" w:color="auto"/>
      </w:divBdr>
    </w:div>
    <w:div w:id="1332297755">
      <w:bodyDiv w:val="1"/>
      <w:marLeft w:val="0"/>
      <w:marRight w:val="0"/>
      <w:marTop w:val="0"/>
      <w:marBottom w:val="0"/>
      <w:divBdr>
        <w:top w:val="none" w:sz="0" w:space="0" w:color="auto"/>
        <w:left w:val="none" w:sz="0" w:space="0" w:color="auto"/>
        <w:bottom w:val="none" w:sz="0" w:space="0" w:color="auto"/>
        <w:right w:val="none" w:sz="0" w:space="0" w:color="auto"/>
      </w:divBdr>
    </w:div>
    <w:div w:id="1366565243">
      <w:bodyDiv w:val="1"/>
      <w:marLeft w:val="0"/>
      <w:marRight w:val="0"/>
      <w:marTop w:val="0"/>
      <w:marBottom w:val="0"/>
      <w:divBdr>
        <w:top w:val="none" w:sz="0" w:space="0" w:color="auto"/>
        <w:left w:val="none" w:sz="0" w:space="0" w:color="auto"/>
        <w:bottom w:val="none" w:sz="0" w:space="0" w:color="auto"/>
        <w:right w:val="none" w:sz="0" w:space="0" w:color="auto"/>
      </w:divBdr>
    </w:div>
    <w:div w:id="1374159227">
      <w:bodyDiv w:val="1"/>
      <w:marLeft w:val="0"/>
      <w:marRight w:val="0"/>
      <w:marTop w:val="0"/>
      <w:marBottom w:val="0"/>
      <w:divBdr>
        <w:top w:val="none" w:sz="0" w:space="0" w:color="auto"/>
        <w:left w:val="none" w:sz="0" w:space="0" w:color="auto"/>
        <w:bottom w:val="none" w:sz="0" w:space="0" w:color="auto"/>
        <w:right w:val="none" w:sz="0" w:space="0" w:color="auto"/>
      </w:divBdr>
    </w:div>
    <w:div w:id="1374429860">
      <w:bodyDiv w:val="1"/>
      <w:marLeft w:val="0"/>
      <w:marRight w:val="0"/>
      <w:marTop w:val="0"/>
      <w:marBottom w:val="0"/>
      <w:divBdr>
        <w:top w:val="none" w:sz="0" w:space="0" w:color="auto"/>
        <w:left w:val="none" w:sz="0" w:space="0" w:color="auto"/>
        <w:bottom w:val="none" w:sz="0" w:space="0" w:color="auto"/>
        <w:right w:val="none" w:sz="0" w:space="0" w:color="auto"/>
      </w:divBdr>
    </w:div>
    <w:div w:id="1381712116">
      <w:bodyDiv w:val="1"/>
      <w:marLeft w:val="0"/>
      <w:marRight w:val="0"/>
      <w:marTop w:val="0"/>
      <w:marBottom w:val="0"/>
      <w:divBdr>
        <w:top w:val="none" w:sz="0" w:space="0" w:color="auto"/>
        <w:left w:val="none" w:sz="0" w:space="0" w:color="auto"/>
        <w:bottom w:val="none" w:sz="0" w:space="0" w:color="auto"/>
        <w:right w:val="none" w:sz="0" w:space="0" w:color="auto"/>
      </w:divBdr>
    </w:div>
    <w:div w:id="1396001882">
      <w:bodyDiv w:val="1"/>
      <w:marLeft w:val="0"/>
      <w:marRight w:val="0"/>
      <w:marTop w:val="0"/>
      <w:marBottom w:val="0"/>
      <w:divBdr>
        <w:top w:val="none" w:sz="0" w:space="0" w:color="auto"/>
        <w:left w:val="none" w:sz="0" w:space="0" w:color="auto"/>
        <w:bottom w:val="none" w:sz="0" w:space="0" w:color="auto"/>
        <w:right w:val="none" w:sz="0" w:space="0" w:color="auto"/>
      </w:divBdr>
    </w:div>
    <w:div w:id="1400521268">
      <w:bodyDiv w:val="1"/>
      <w:marLeft w:val="0"/>
      <w:marRight w:val="0"/>
      <w:marTop w:val="0"/>
      <w:marBottom w:val="0"/>
      <w:divBdr>
        <w:top w:val="none" w:sz="0" w:space="0" w:color="auto"/>
        <w:left w:val="none" w:sz="0" w:space="0" w:color="auto"/>
        <w:bottom w:val="none" w:sz="0" w:space="0" w:color="auto"/>
        <w:right w:val="none" w:sz="0" w:space="0" w:color="auto"/>
      </w:divBdr>
    </w:div>
    <w:div w:id="1403987868">
      <w:bodyDiv w:val="1"/>
      <w:marLeft w:val="0"/>
      <w:marRight w:val="0"/>
      <w:marTop w:val="0"/>
      <w:marBottom w:val="0"/>
      <w:divBdr>
        <w:top w:val="none" w:sz="0" w:space="0" w:color="auto"/>
        <w:left w:val="none" w:sz="0" w:space="0" w:color="auto"/>
        <w:bottom w:val="none" w:sz="0" w:space="0" w:color="auto"/>
        <w:right w:val="none" w:sz="0" w:space="0" w:color="auto"/>
      </w:divBdr>
    </w:div>
    <w:div w:id="1418097116">
      <w:bodyDiv w:val="1"/>
      <w:marLeft w:val="0"/>
      <w:marRight w:val="0"/>
      <w:marTop w:val="0"/>
      <w:marBottom w:val="0"/>
      <w:divBdr>
        <w:top w:val="none" w:sz="0" w:space="0" w:color="auto"/>
        <w:left w:val="none" w:sz="0" w:space="0" w:color="auto"/>
        <w:bottom w:val="none" w:sz="0" w:space="0" w:color="auto"/>
        <w:right w:val="none" w:sz="0" w:space="0" w:color="auto"/>
      </w:divBdr>
    </w:div>
    <w:div w:id="1418675802">
      <w:bodyDiv w:val="1"/>
      <w:marLeft w:val="0"/>
      <w:marRight w:val="0"/>
      <w:marTop w:val="0"/>
      <w:marBottom w:val="0"/>
      <w:divBdr>
        <w:top w:val="none" w:sz="0" w:space="0" w:color="auto"/>
        <w:left w:val="none" w:sz="0" w:space="0" w:color="auto"/>
        <w:bottom w:val="none" w:sz="0" w:space="0" w:color="auto"/>
        <w:right w:val="none" w:sz="0" w:space="0" w:color="auto"/>
      </w:divBdr>
    </w:div>
    <w:div w:id="1429426756">
      <w:bodyDiv w:val="1"/>
      <w:marLeft w:val="0"/>
      <w:marRight w:val="0"/>
      <w:marTop w:val="0"/>
      <w:marBottom w:val="0"/>
      <w:divBdr>
        <w:top w:val="none" w:sz="0" w:space="0" w:color="auto"/>
        <w:left w:val="none" w:sz="0" w:space="0" w:color="auto"/>
        <w:bottom w:val="none" w:sz="0" w:space="0" w:color="auto"/>
        <w:right w:val="none" w:sz="0" w:space="0" w:color="auto"/>
      </w:divBdr>
    </w:div>
    <w:div w:id="1450277190">
      <w:bodyDiv w:val="1"/>
      <w:marLeft w:val="0"/>
      <w:marRight w:val="0"/>
      <w:marTop w:val="0"/>
      <w:marBottom w:val="0"/>
      <w:divBdr>
        <w:top w:val="none" w:sz="0" w:space="0" w:color="auto"/>
        <w:left w:val="none" w:sz="0" w:space="0" w:color="auto"/>
        <w:bottom w:val="none" w:sz="0" w:space="0" w:color="auto"/>
        <w:right w:val="none" w:sz="0" w:space="0" w:color="auto"/>
      </w:divBdr>
    </w:div>
    <w:div w:id="1450858286">
      <w:bodyDiv w:val="1"/>
      <w:marLeft w:val="0"/>
      <w:marRight w:val="0"/>
      <w:marTop w:val="0"/>
      <w:marBottom w:val="0"/>
      <w:divBdr>
        <w:top w:val="none" w:sz="0" w:space="0" w:color="auto"/>
        <w:left w:val="none" w:sz="0" w:space="0" w:color="auto"/>
        <w:bottom w:val="none" w:sz="0" w:space="0" w:color="auto"/>
        <w:right w:val="none" w:sz="0" w:space="0" w:color="auto"/>
      </w:divBdr>
    </w:div>
    <w:div w:id="1451513759">
      <w:bodyDiv w:val="1"/>
      <w:marLeft w:val="0"/>
      <w:marRight w:val="0"/>
      <w:marTop w:val="0"/>
      <w:marBottom w:val="0"/>
      <w:divBdr>
        <w:top w:val="none" w:sz="0" w:space="0" w:color="auto"/>
        <w:left w:val="none" w:sz="0" w:space="0" w:color="auto"/>
        <w:bottom w:val="none" w:sz="0" w:space="0" w:color="auto"/>
        <w:right w:val="none" w:sz="0" w:space="0" w:color="auto"/>
      </w:divBdr>
    </w:div>
    <w:div w:id="1476751527">
      <w:bodyDiv w:val="1"/>
      <w:marLeft w:val="0"/>
      <w:marRight w:val="0"/>
      <w:marTop w:val="0"/>
      <w:marBottom w:val="0"/>
      <w:divBdr>
        <w:top w:val="none" w:sz="0" w:space="0" w:color="auto"/>
        <w:left w:val="none" w:sz="0" w:space="0" w:color="auto"/>
        <w:bottom w:val="none" w:sz="0" w:space="0" w:color="auto"/>
        <w:right w:val="none" w:sz="0" w:space="0" w:color="auto"/>
      </w:divBdr>
    </w:div>
    <w:div w:id="1494906306">
      <w:bodyDiv w:val="1"/>
      <w:marLeft w:val="0"/>
      <w:marRight w:val="0"/>
      <w:marTop w:val="0"/>
      <w:marBottom w:val="0"/>
      <w:divBdr>
        <w:top w:val="none" w:sz="0" w:space="0" w:color="auto"/>
        <w:left w:val="none" w:sz="0" w:space="0" w:color="auto"/>
        <w:bottom w:val="none" w:sz="0" w:space="0" w:color="auto"/>
        <w:right w:val="none" w:sz="0" w:space="0" w:color="auto"/>
      </w:divBdr>
    </w:div>
    <w:div w:id="1496265019">
      <w:bodyDiv w:val="1"/>
      <w:marLeft w:val="0"/>
      <w:marRight w:val="0"/>
      <w:marTop w:val="0"/>
      <w:marBottom w:val="0"/>
      <w:divBdr>
        <w:top w:val="none" w:sz="0" w:space="0" w:color="auto"/>
        <w:left w:val="none" w:sz="0" w:space="0" w:color="auto"/>
        <w:bottom w:val="none" w:sz="0" w:space="0" w:color="auto"/>
        <w:right w:val="none" w:sz="0" w:space="0" w:color="auto"/>
      </w:divBdr>
    </w:div>
    <w:div w:id="1505243908">
      <w:bodyDiv w:val="1"/>
      <w:marLeft w:val="0"/>
      <w:marRight w:val="0"/>
      <w:marTop w:val="0"/>
      <w:marBottom w:val="0"/>
      <w:divBdr>
        <w:top w:val="none" w:sz="0" w:space="0" w:color="auto"/>
        <w:left w:val="none" w:sz="0" w:space="0" w:color="auto"/>
        <w:bottom w:val="none" w:sz="0" w:space="0" w:color="auto"/>
        <w:right w:val="none" w:sz="0" w:space="0" w:color="auto"/>
      </w:divBdr>
    </w:div>
    <w:div w:id="1519663182">
      <w:bodyDiv w:val="1"/>
      <w:marLeft w:val="0"/>
      <w:marRight w:val="0"/>
      <w:marTop w:val="0"/>
      <w:marBottom w:val="0"/>
      <w:divBdr>
        <w:top w:val="none" w:sz="0" w:space="0" w:color="auto"/>
        <w:left w:val="none" w:sz="0" w:space="0" w:color="auto"/>
        <w:bottom w:val="none" w:sz="0" w:space="0" w:color="auto"/>
        <w:right w:val="none" w:sz="0" w:space="0" w:color="auto"/>
      </w:divBdr>
    </w:div>
    <w:div w:id="1522861105">
      <w:bodyDiv w:val="1"/>
      <w:marLeft w:val="0"/>
      <w:marRight w:val="0"/>
      <w:marTop w:val="0"/>
      <w:marBottom w:val="0"/>
      <w:divBdr>
        <w:top w:val="none" w:sz="0" w:space="0" w:color="auto"/>
        <w:left w:val="none" w:sz="0" w:space="0" w:color="auto"/>
        <w:bottom w:val="none" w:sz="0" w:space="0" w:color="auto"/>
        <w:right w:val="none" w:sz="0" w:space="0" w:color="auto"/>
      </w:divBdr>
    </w:div>
    <w:div w:id="1524661774">
      <w:bodyDiv w:val="1"/>
      <w:marLeft w:val="0"/>
      <w:marRight w:val="0"/>
      <w:marTop w:val="0"/>
      <w:marBottom w:val="0"/>
      <w:divBdr>
        <w:top w:val="none" w:sz="0" w:space="0" w:color="auto"/>
        <w:left w:val="none" w:sz="0" w:space="0" w:color="auto"/>
        <w:bottom w:val="none" w:sz="0" w:space="0" w:color="auto"/>
        <w:right w:val="none" w:sz="0" w:space="0" w:color="auto"/>
      </w:divBdr>
    </w:div>
    <w:div w:id="1528911050">
      <w:bodyDiv w:val="1"/>
      <w:marLeft w:val="0"/>
      <w:marRight w:val="0"/>
      <w:marTop w:val="0"/>
      <w:marBottom w:val="0"/>
      <w:divBdr>
        <w:top w:val="none" w:sz="0" w:space="0" w:color="auto"/>
        <w:left w:val="none" w:sz="0" w:space="0" w:color="auto"/>
        <w:bottom w:val="none" w:sz="0" w:space="0" w:color="auto"/>
        <w:right w:val="none" w:sz="0" w:space="0" w:color="auto"/>
      </w:divBdr>
    </w:div>
    <w:div w:id="1529638778">
      <w:bodyDiv w:val="1"/>
      <w:marLeft w:val="0"/>
      <w:marRight w:val="0"/>
      <w:marTop w:val="0"/>
      <w:marBottom w:val="0"/>
      <w:divBdr>
        <w:top w:val="none" w:sz="0" w:space="0" w:color="auto"/>
        <w:left w:val="none" w:sz="0" w:space="0" w:color="auto"/>
        <w:bottom w:val="none" w:sz="0" w:space="0" w:color="auto"/>
        <w:right w:val="none" w:sz="0" w:space="0" w:color="auto"/>
      </w:divBdr>
    </w:div>
    <w:div w:id="1530600674">
      <w:bodyDiv w:val="1"/>
      <w:marLeft w:val="0"/>
      <w:marRight w:val="0"/>
      <w:marTop w:val="0"/>
      <w:marBottom w:val="0"/>
      <w:divBdr>
        <w:top w:val="none" w:sz="0" w:space="0" w:color="auto"/>
        <w:left w:val="none" w:sz="0" w:space="0" w:color="auto"/>
        <w:bottom w:val="none" w:sz="0" w:space="0" w:color="auto"/>
        <w:right w:val="none" w:sz="0" w:space="0" w:color="auto"/>
      </w:divBdr>
    </w:div>
    <w:div w:id="1551720981">
      <w:bodyDiv w:val="1"/>
      <w:marLeft w:val="0"/>
      <w:marRight w:val="0"/>
      <w:marTop w:val="0"/>
      <w:marBottom w:val="0"/>
      <w:divBdr>
        <w:top w:val="none" w:sz="0" w:space="0" w:color="auto"/>
        <w:left w:val="none" w:sz="0" w:space="0" w:color="auto"/>
        <w:bottom w:val="none" w:sz="0" w:space="0" w:color="auto"/>
        <w:right w:val="none" w:sz="0" w:space="0" w:color="auto"/>
      </w:divBdr>
    </w:div>
    <w:div w:id="1555769561">
      <w:bodyDiv w:val="1"/>
      <w:marLeft w:val="0"/>
      <w:marRight w:val="0"/>
      <w:marTop w:val="0"/>
      <w:marBottom w:val="0"/>
      <w:divBdr>
        <w:top w:val="none" w:sz="0" w:space="0" w:color="auto"/>
        <w:left w:val="none" w:sz="0" w:space="0" w:color="auto"/>
        <w:bottom w:val="none" w:sz="0" w:space="0" w:color="auto"/>
        <w:right w:val="none" w:sz="0" w:space="0" w:color="auto"/>
      </w:divBdr>
    </w:div>
    <w:div w:id="1565985555">
      <w:bodyDiv w:val="1"/>
      <w:marLeft w:val="0"/>
      <w:marRight w:val="0"/>
      <w:marTop w:val="0"/>
      <w:marBottom w:val="0"/>
      <w:divBdr>
        <w:top w:val="none" w:sz="0" w:space="0" w:color="auto"/>
        <w:left w:val="none" w:sz="0" w:space="0" w:color="auto"/>
        <w:bottom w:val="none" w:sz="0" w:space="0" w:color="auto"/>
        <w:right w:val="none" w:sz="0" w:space="0" w:color="auto"/>
      </w:divBdr>
    </w:div>
    <w:div w:id="1569805500">
      <w:bodyDiv w:val="1"/>
      <w:marLeft w:val="0"/>
      <w:marRight w:val="0"/>
      <w:marTop w:val="0"/>
      <w:marBottom w:val="0"/>
      <w:divBdr>
        <w:top w:val="none" w:sz="0" w:space="0" w:color="auto"/>
        <w:left w:val="none" w:sz="0" w:space="0" w:color="auto"/>
        <w:bottom w:val="none" w:sz="0" w:space="0" w:color="auto"/>
        <w:right w:val="none" w:sz="0" w:space="0" w:color="auto"/>
      </w:divBdr>
    </w:div>
    <w:div w:id="1582446703">
      <w:bodyDiv w:val="1"/>
      <w:marLeft w:val="0"/>
      <w:marRight w:val="0"/>
      <w:marTop w:val="0"/>
      <w:marBottom w:val="0"/>
      <w:divBdr>
        <w:top w:val="none" w:sz="0" w:space="0" w:color="auto"/>
        <w:left w:val="none" w:sz="0" w:space="0" w:color="auto"/>
        <w:bottom w:val="none" w:sz="0" w:space="0" w:color="auto"/>
        <w:right w:val="none" w:sz="0" w:space="0" w:color="auto"/>
      </w:divBdr>
    </w:div>
    <w:div w:id="1584609134">
      <w:bodyDiv w:val="1"/>
      <w:marLeft w:val="0"/>
      <w:marRight w:val="0"/>
      <w:marTop w:val="0"/>
      <w:marBottom w:val="0"/>
      <w:divBdr>
        <w:top w:val="none" w:sz="0" w:space="0" w:color="auto"/>
        <w:left w:val="none" w:sz="0" w:space="0" w:color="auto"/>
        <w:bottom w:val="none" w:sz="0" w:space="0" w:color="auto"/>
        <w:right w:val="none" w:sz="0" w:space="0" w:color="auto"/>
      </w:divBdr>
    </w:div>
    <w:div w:id="1586650060">
      <w:bodyDiv w:val="1"/>
      <w:marLeft w:val="0"/>
      <w:marRight w:val="0"/>
      <w:marTop w:val="0"/>
      <w:marBottom w:val="0"/>
      <w:divBdr>
        <w:top w:val="none" w:sz="0" w:space="0" w:color="auto"/>
        <w:left w:val="none" w:sz="0" w:space="0" w:color="auto"/>
        <w:bottom w:val="none" w:sz="0" w:space="0" w:color="auto"/>
        <w:right w:val="none" w:sz="0" w:space="0" w:color="auto"/>
      </w:divBdr>
    </w:div>
    <w:div w:id="1588494070">
      <w:bodyDiv w:val="1"/>
      <w:marLeft w:val="0"/>
      <w:marRight w:val="0"/>
      <w:marTop w:val="0"/>
      <w:marBottom w:val="0"/>
      <w:divBdr>
        <w:top w:val="none" w:sz="0" w:space="0" w:color="auto"/>
        <w:left w:val="none" w:sz="0" w:space="0" w:color="auto"/>
        <w:bottom w:val="none" w:sz="0" w:space="0" w:color="auto"/>
        <w:right w:val="none" w:sz="0" w:space="0" w:color="auto"/>
      </w:divBdr>
    </w:div>
    <w:div w:id="1590960788">
      <w:bodyDiv w:val="1"/>
      <w:marLeft w:val="0"/>
      <w:marRight w:val="0"/>
      <w:marTop w:val="0"/>
      <w:marBottom w:val="0"/>
      <w:divBdr>
        <w:top w:val="none" w:sz="0" w:space="0" w:color="auto"/>
        <w:left w:val="none" w:sz="0" w:space="0" w:color="auto"/>
        <w:bottom w:val="none" w:sz="0" w:space="0" w:color="auto"/>
        <w:right w:val="none" w:sz="0" w:space="0" w:color="auto"/>
      </w:divBdr>
    </w:div>
    <w:div w:id="1593004536">
      <w:bodyDiv w:val="1"/>
      <w:marLeft w:val="0"/>
      <w:marRight w:val="0"/>
      <w:marTop w:val="0"/>
      <w:marBottom w:val="0"/>
      <w:divBdr>
        <w:top w:val="none" w:sz="0" w:space="0" w:color="auto"/>
        <w:left w:val="none" w:sz="0" w:space="0" w:color="auto"/>
        <w:bottom w:val="none" w:sz="0" w:space="0" w:color="auto"/>
        <w:right w:val="none" w:sz="0" w:space="0" w:color="auto"/>
      </w:divBdr>
    </w:div>
    <w:div w:id="1601913959">
      <w:bodyDiv w:val="1"/>
      <w:marLeft w:val="0"/>
      <w:marRight w:val="0"/>
      <w:marTop w:val="0"/>
      <w:marBottom w:val="0"/>
      <w:divBdr>
        <w:top w:val="none" w:sz="0" w:space="0" w:color="auto"/>
        <w:left w:val="none" w:sz="0" w:space="0" w:color="auto"/>
        <w:bottom w:val="none" w:sz="0" w:space="0" w:color="auto"/>
        <w:right w:val="none" w:sz="0" w:space="0" w:color="auto"/>
      </w:divBdr>
    </w:div>
    <w:div w:id="1622371420">
      <w:bodyDiv w:val="1"/>
      <w:marLeft w:val="0"/>
      <w:marRight w:val="0"/>
      <w:marTop w:val="0"/>
      <w:marBottom w:val="0"/>
      <w:divBdr>
        <w:top w:val="none" w:sz="0" w:space="0" w:color="auto"/>
        <w:left w:val="none" w:sz="0" w:space="0" w:color="auto"/>
        <w:bottom w:val="none" w:sz="0" w:space="0" w:color="auto"/>
        <w:right w:val="none" w:sz="0" w:space="0" w:color="auto"/>
      </w:divBdr>
    </w:div>
    <w:div w:id="1623030258">
      <w:bodyDiv w:val="1"/>
      <w:marLeft w:val="0"/>
      <w:marRight w:val="0"/>
      <w:marTop w:val="0"/>
      <w:marBottom w:val="0"/>
      <w:divBdr>
        <w:top w:val="none" w:sz="0" w:space="0" w:color="auto"/>
        <w:left w:val="none" w:sz="0" w:space="0" w:color="auto"/>
        <w:bottom w:val="none" w:sz="0" w:space="0" w:color="auto"/>
        <w:right w:val="none" w:sz="0" w:space="0" w:color="auto"/>
      </w:divBdr>
    </w:div>
    <w:div w:id="1623346029">
      <w:bodyDiv w:val="1"/>
      <w:marLeft w:val="0"/>
      <w:marRight w:val="0"/>
      <w:marTop w:val="0"/>
      <w:marBottom w:val="0"/>
      <w:divBdr>
        <w:top w:val="none" w:sz="0" w:space="0" w:color="auto"/>
        <w:left w:val="none" w:sz="0" w:space="0" w:color="auto"/>
        <w:bottom w:val="none" w:sz="0" w:space="0" w:color="auto"/>
        <w:right w:val="none" w:sz="0" w:space="0" w:color="auto"/>
      </w:divBdr>
    </w:div>
    <w:div w:id="1632250920">
      <w:bodyDiv w:val="1"/>
      <w:marLeft w:val="0"/>
      <w:marRight w:val="0"/>
      <w:marTop w:val="0"/>
      <w:marBottom w:val="0"/>
      <w:divBdr>
        <w:top w:val="none" w:sz="0" w:space="0" w:color="auto"/>
        <w:left w:val="none" w:sz="0" w:space="0" w:color="auto"/>
        <w:bottom w:val="none" w:sz="0" w:space="0" w:color="auto"/>
        <w:right w:val="none" w:sz="0" w:space="0" w:color="auto"/>
      </w:divBdr>
    </w:div>
    <w:div w:id="1634477789">
      <w:bodyDiv w:val="1"/>
      <w:marLeft w:val="0"/>
      <w:marRight w:val="0"/>
      <w:marTop w:val="0"/>
      <w:marBottom w:val="0"/>
      <w:divBdr>
        <w:top w:val="none" w:sz="0" w:space="0" w:color="auto"/>
        <w:left w:val="none" w:sz="0" w:space="0" w:color="auto"/>
        <w:bottom w:val="none" w:sz="0" w:space="0" w:color="auto"/>
        <w:right w:val="none" w:sz="0" w:space="0" w:color="auto"/>
      </w:divBdr>
    </w:div>
    <w:div w:id="1634870618">
      <w:bodyDiv w:val="1"/>
      <w:marLeft w:val="0"/>
      <w:marRight w:val="0"/>
      <w:marTop w:val="0"/>
      <w:marBottom w:val="0"/>
      <w:divBdr>
        <w:top w:val="none" w:sz="0" w:space="0" w:color="auto"/>
        <w:left w:val="none" w:sz="0" w:space="0" w:color="auto"/>
        <w:bottom w:val="none" w:sz="0" w:space="0" w:color="auto"/>
        <w:right w:val="none" w:sz="0" w:space="0" w:color="auto"/>
      </w:divBdr>
    </w:div>
    <w:div w:id="1641305809">
      <w:bodyDiv w:val="1"/>
      <w:marLeft w:val="0"/>
      <w:marRight w:val="0"/>
      <w:marTop w:val="0"/>
      <w:marBottom w:val="0"/>
      <w:divBdr>
        <w:top w:val="none" w:sz="0" w:space="0" w:color="auto"/>
        <w:left w:val="none" w:sz="0" w:space="0" w:color="auto"/>
        <w:bottom w:val="none" w:sz="0" w:space="0" w:color="auto"/>
        <w:right w:val="none" w:sz="0" w:space="0" w:color="auto"/>
      </w:divBdr>
    </w:div>
    <w:div w:id="1647737275">
      <w:bodyDiv w:val="1"/>
      <w:marLeft w:val="0"/>
      <w:marRight w:val="0"/>
      <w:marTop w:val="0"/>
      <w:marBottom w:val="0"/>
      <w:divBdr>
        <w:top w:val="none" w:sz="0" w:space="0" w:color="auto"/>
        <w:left w:val="none" w:sz="0" w:space="0" w:color="auto"/>
        <w:bottom w:val="none" w:sz="0" w:space="0" w:color="auto"/>
        <w:right w:val="none" w:sz="0" w:space="0" w:color="auto"/>
      </w:divBdr>
    </w:div>
    <w:div w:id="1651711291">
      <w:bodyDiv w:val="1"/>
      <w:marLeft w:val="0"/>
      <w:marRight w:val="0"/>
      <w:marTop w:val="0"/>
      <w:marBottom w:val="0"/>
      <w:divBdr>
        <w:top w:val="none" w:sz="0" w:space="0" w:color="auto"/>
        <w:left w:val="none" w:sz="0" w:space="0" w:color="auto"/>
        <w:bottom w:val="none" w:sz="0" w:space="0" w:color="auto"/>
        <w:right w:val="none" w:sz="0" w:space="0" w:color="auto"/>
      </w:divBdr>
    </w:div>
    <w:div w:id="1652631541">
      <w:bodyDiv w:val="1"/>
      <w:marLeft w:val="0"/>
      <w:marRight w:val="0"/>
      <w:marTop w:val="0"/>
      <w:marBottom w:val="0"/>
      <w:divBdr>
        <w:top w:val="none" w:sz="0" w:space="0" w:color="auto"/>
        <w:left w:val="none" w:sz="0" w:space="0" w:color="auto"/>
        <w:bottom w:val="none" w:sz="0" w:space="0" w:color="auto"/>
        <w:right w:val="none" w:sz="0" w:space="0" w:color="auto"/>
      </w:divBdr>
    </w:div>
    <w:div w:id="1654065473">
      <w:bodyDiv w:val="1"/>
      <w:marLeft w:val="0"/>
      <w:marRight w:val="0"/>
      <w:marTop w:val="0"/>
      <w:marBottom w:val="0"/>
      <w:divBdr>
        <w:top w:val="none" w:sz="0" w:space="0" w:color="auto"/>
        <w:left w:val="none" w:sz="0" w:space="0" w:color="auto"/>
        <w:bottom w:val="none" w:sz="0" w:space="0" w:color="auto"/>
        <w:right w:val="none" w:sz="0" w:space="0" w:color="auto"/>
      </w:divBdr>
    </w:div>
    <w:div w:id="1655723671">
      <w:bodyDiv w:val="1"/>
      <w:marLeft w:val="0"/>
      <w:marRight w:val="0"/>
      <w:marTop w:val="0"/>
      <w:marBottom w:val="0"/>
      <w:divBdr>
        <w:top w:val="none" w:sz="0" w:space="0" w:color="auto"/>
        <w:left w:val="none" w:sz="0" w:space="0" w:color="auto"/>
        <w:bottom w:val="none" w:sz="0" w:space="0" w:color="auto"/>
        <w:right w:val="none" w:sz="0" w:space="0" w:color="auto"/>
      </w:divBdr>
    </w:div>
    <w:div w:id="1669408332">
      <w:bodyDiv w:val="1"/>
      <w:marLeft w:val="0"/>
      <w:marRight w:val="0"/>
      <w:marTop w:val="0"/>
      <w:marBottom w:val="0"/>
      <w:divBdr>
        <w:top w:val="none" w:sz="0" w:space="0" w:color="auto"/>
        <w:left w:val="none" w:sz="0" w:space="0" w:color="auto"/>
        <w:bottom w:val="none" w:sz="0" w:space="0" w:color="auto"/>
        <w:right w:val="none" w:sz="0" w:space="0" w:color="auto"/>
      </w:divBdr>
    </w:div>
    <w:div w:id="1670794797">
      <w:bodyDiv w:val="1"/>
      <w:marLeft w:val="0"/>
      <w:marRight w:val="0"/>
      <w:marTop w:val="0"/>
      <w:marBottom w:val="0"/>
      <w:divBdr>
        <w:top w:val="none" w:sz="0" w:space="0" w:color="auto"/>
        <w:left w:val="none" w:sz="0" w:space="0" w:color="auto"/>
        <w:bottom w:val="none" w:sz="0" w:space="0" w:color="auto"/>
        <w:right w:val="none" w:sz="0" w:space="0" w:color="auto"/>
      </w:divBdr>
    </w:div>
    <w:div w:id="1674532380">
      <w:bodyDiv w:val="1"/>
      <w:marLeft w:val="0"/>
      <w:marRight w:val="0"/>
      <w:marTop w:val="0"/>
      <w:marBottom w:val="0"/>
      <w:divBdr>
        <w:top w:val="none" w:sz="0" w:space="0" w:color="auto"/>
        <w:left w:val="none" w:sz="0" w:space="0" w:color="auto"/>
        <w:bottom w:val="none" w:sz="0" w:space="0" w:color="auto"/>
        <w:right w:val="none" w:sz="0" w:space="0" w:color="auto"/>
      </w:divBdr>
    </w:div>
    <w:div w:id="1679118629">
      <w:bodyDiv w:val="1"/>
      <w:marLeft w:val="0"/>
      <w:marRight w:val="0"/>
      <w:marTop w:val="0"/>
      <w:marBottom w:val="0"/>
      <w:divBdr>
        <w:top w:val="none" w:sz="0" w:space="0" w:color="auto"/>
        <w:left w:val="none" w:sz="0" w:space="0" w:color="auto"/>
        <w:bottom w:val="none" w:sz="0" w:space="0" w:color="auto"/>
        <w:right w:val="none" w:sz="0" w:space="0" w:color="auto"/>
      </w:divBdr>
    </w:div>
    <w:div w:id="1685549946">
      <w:bodyDiv w:val="1"/>
      <w:marLeft w:val="0"/>
      <w:marRight w:val="0"/>
      <w:marTop w:val="0"/>
      <w:marBottom w:val="0"/>
      <w:divBdr>
        <w:top w:val="none" w:sz="0" w:space="0" w:color="auto"/>
        <w:left w:val="none" w:sz="0" w:space="0" w:color="auto"/>
        <w:bottom w:val="none" w:sz="0" w:space="0" w:color="auto"/>
        <w:right w:val="none" w:sz="0" w:space="0" w:color="auto"/>
      </w:divBdr>
    </w:div>
    <w:div w:id="1691683349">
      <w:bodyDiv w:val="1"/>
      <w:marLeft w:val="0"/>
      <w:marRight w:val="0"/>
      <w:marTop w:val="0"/>
      <w:marBottom w:val="0"/>
      <w:divBdr>
        <w:top w:val="none" w:sz="0" w:space="0" w:color="auto"/>
        <w:left w:val="none" w:sz="0" w:space="0" w:color="auto"/>
        <w:bottom w:val="none" w:sz="0" w:space="0" w:color="auto"/>
        <w:right w:val="none" w:sz="0" w:space="0" w:color="auto"/>
      </w:divBdr>
    </w:div>
    <w:div w:id="1699164181">
      <w:bodyDiv w:val="1"/>
      <w:marLeft w:val="0"/>
      <w:marRight w:val="0"/>
      <w:marTop w:val="0"/>
      <w:marBottom w:val="0"/>
      <w:divBdr>
        <w:top w:val="none" w:sz="0" w:space="0" w:color="auto"/>
        <w:left w:val="none" w:sz="0" w:space="0" w:color="auto"/>
        <w:bottom w:val="none" w:sz="0" w:space="0" w:color="auto"/>
        <w:right w:val="none" w:sz="0" w:space="0" w:color="auto"/>
      </w:divBdr>
    </w:div>
    <w:div w:id="1722824468">
      <w:bodyDiv w:val="1"/>
      <w:marLeft w:val="0"/>
      <w:marRight w:val="0"/>
      <w:marTop w:val="0"/>
      <w:marBottom w:val="0"/>
      <w:divBdr>
        <w:top w:val="none" w:sz="0" w:space="0" w:color="auto"/>
        <w:left w:val="none" w:sz="0" w:space="0" w:color="auto"/>
        <w:bottom w:val="none" w:sz="0" w:space="0" w:color="auto"/>
        <w:right w:val="none" w:sz="0" w:space="0" w:color="auto"/>
      </w:divBdr>
    </w:div>
    <w:div w:id="1730689446">
      <w:bodyDiv w:val="1"/>
      <w:marLeft w:val="0"/>
      <w:marRight w:val="0"/>
      <w:marTop w:val="0"/>
      <w:marBottom w:val="0"/>
      <w:divBdr>
        <w:top w:val="none" w:sz="0" w:space="0" w:color="auto"/>
        <w:left w:val="none" w:sz="0" w:space="0" w:color="auto"/>
        <w:bottom w:val="none" w:sz="0" w:space="0" w:color="auto"/>
        <w:right w:val="none" w:sz="0" w:space="0" w:color="auto"/>
      </w:divBdr>
    </w:div>
    <w:div w:id="1732195190">
      <w:bodyDiv w:val="1"/>
      <w:marLeft w:val="0"/>
      <w:marRight w:val="0"/>
      <w:marTop w:val="0"/>
      <w:marBottom w:val="0"/>
      <w:divBdr>
        <w:top w:val="none" w:sz="0" w:space="0" w:color="auto"/>
        <w:left w:val="none" w:sz="0" w:space="0" w:color="auto"/>
        <w:bottom w:val="none" w:sz="0" w:space="0" w:color="auto"/>
        <w:right w:val="none" w:sz="0" w:space="0" w:color="auto"/>
      </w:divBdr>
    </w:div>
    <w:div w:id="1735933017">
      <w:bodyDiv w:val="1"/>
      <w:marLeft w:val="0"/>
      <w:marRight w:val="0"/>
      <w:marTop w:val="0"/>
      <w:marBottom w:val="0"/>
      <w:divBdr>
        <w:top w:val="none" w:sz="0" w:space="0" w:color="auto"/>
        <w:left w:val="none" w:sz="0" w:space="0" w:color="auto"/>
        <w:bottom w:val="none" w:sz="0" w:space="0" w:color="auto"/>
        <w:right w:val="none" w:sz="0" w:space="0" w:color="auto"/>
      </w:divBdr>
    </w:div>
    <w:div w:id="1747067617">
      <w:bodyDiv w:val="1"/>
      <w:marLeft w:val="0"/>
      <w:marRight w:val="0"/>
      <w:marTop w:val="0"/>
      <w:marBottom w:val="0"/>
      <w:divBdr>
        <w:top w:val="none" w:sz="0" w:space="0" w:color="auto"/>
        <w:left w:val="none" w:sz="0" w:space="0" w:color="auto"/>
        <w:bottom w:val="none" w:sz="0" w:space="0" w:color="auto"/>
        <w:right w:val="none" w:sz="0" w:space="0" w:color="auto"/>
      </w:divBdr>
    </w:div>
    <w:div w:id="1754550824">
      <w:bodyDiv w:val="1"/>
      <w:marLeft w:val="0"/>
      <w:marRight w:val="0"/>
      <w:marTop w:val="0"/>
      <w:marBottom w:val="0"/>
      <w:divBdr>
        <w:top w:val="none" w:sz="0" w:space="0" w:color="auto"/>
        <w:left w:val="none" w:sz="0" w:space="0" w:color="auto"/>
        <w:bottom w:val="none" w:sz="0" w:space="0" w:color="auto"/>
        <w:right w:val="none" w:sz="0" w:space="0" w:color="auto"/>
      </w:divBdr>
    </w:div>
    <w:div w:id="1757744189">
      <w:bodyDiv w:val="1"/>
      <w:marLeft w:val="0"/>
      <w:marRight w:val="0"/>
      <w:marTop w:val="0"/>
      <w:marBottom w:val="0"/>
      <w:divBdr>
        <w:top w:val="none" w:sz="0" w:space="0" w:color="auto"/>
        <w:left w:val="none" w:sz="0" w:space="0" w:color="auto"/>
        <w:bottom w:val="none" w:sz="0" w:space="0" w:color="auto"/>
        <w:right w:val="none" w:sz="0" w:space="0" w:color="auto"/>
      </w:divBdr>
    </w:div>
    <w:div w:id="1771198571">
      <w:bodyDiv w:val="1"/>
      <w:marLeft w:val="0"/>
      <w:marRight w:val="0"/>
      <w:marTop w:val="0"/>
      <w:marBottom w:val="0"/>
      <w:divBdr>
        <w:top w:val="none" w:sz="0" w:space="0" w:color="auto"/>
        <w:left w:val="none" w:sz="0" w:space="0" w:color="auto"/>
        <w:bottom w:val="none" w:sz="0" w:space="0" w:color="auto"/>
        <w:right w:val="none" w:sz="0" w:space="0" w:color="auto"/>
      </w:divBdr>
    </w:div>
    <w:div w:id="1772898674">
      <w:bodyDiv w:val="1"/>
      <w:marLeft w:val="0"/>
      <w:marRight w:val="0"/>
      <w:marTop w:val="0"/>
      <w:marBottom w:val="0"/>
      <w:divBdr>
        <w:top w:val="none" w:sz="0" w:space="0" w:color="auto"/>
        <w:left w:val="none" w:sz="0" w:space="0" w:color="auto"/>
        <w:bottom w:val="none" w:sz="0" w:space="0" w:color="auto"/>
        <w:right w:val="none" w:sz="0" w:space="0" w:color="auto"/>
      </w:divBdr>
    </w:div>
    <w:div w:id="1785035755">
      <w:bodyDiv w:val="1"/>
      <w:marLeft w:val="0"/>
      <w:marRight w:val="0"/>
      <w:marTop w:val="0"/>
      <w:marBottom w:val="0"/>
      <w:divBdr>
        <w:top w:val="none" w:sz="0" w:space="0" w:color="auto"/>
        <w:left w:val="none" w:sz="0" w:space="0" w:color="auto"/>
        <w:bottom w:val="none" w:sz="0" w:space="0" w:color="auto"/>
        <w:right w:val="none" w:sz="0" w:space="0" w:color="auto"/>
      </w:divBdr>
    </w:div>
    <w:div w:id="1787768306">
      <w:bodyDiv w:val="1"/>
      <w:marLeft w:val="0"/>
      <w:marRight w:val="0"/>
      <w:marTop w:val="0"/>
      <w:marBottom w:val="0"/>
      <w:divBdr>
        <w:top w:val="none" w:sz="0" w:space="0" w:color="auto"/>
        <w:left w:val="none" w:sz="0" w:space="0" w:color="auto"/>
        <w:bottom w:val="none" w:sz="0" w:space="0" w:color="auto"/>
        <w:right w:val="none" w:sz="0" w:space="0" w:color="auto"/>
      </w:divBdr>
    </w:div>
    <w:div w:id="1803229973">
      <w:bodyDiv w:val="1"/>
      <w:marLeft w:val="0"/>
      <w:marRight w:val="0"/>
      <w:marTop w:val="0"/>
      <w:marBottom w:val="0"/>
      <w:divBdr>
        <w:top w:val="none" w:sz="0" w:space="0" w:color="auto"/>
        <w:left w:val="none" w:sz="0" w:space="0" w:color="auto"/>
        <w:bottom w:val="none" w:sz="0" w:space="0" w:color="auto"/>
        <w:right w:val="none" w:sz="0" w:space="0" w:color="auto"/>
      </w:divBdr>
    </w:div>
    <w:div w:id="1803422127">
      <w:bodyDiv w:val="1"/>
      <w:marLeft w:val="0"/>
      <w:marRight w:val="0"/>
      <w:marTop w:val="0"/>
      <w:marBottom w:val="0"/>
      <w:divBdr>
        <w:top w:val="none" w:sz="0" w:space="0" w:color="auto"/>
        <w:left w:val="none" w:sz="0" w:space="0" w:color="auto"/>
        <w:bottom w:val="none" w:sz="0" w:space="0" w:color="auto"/>
        <w:right w:val="none" w:sz="0" w:space="0" w:color="auto"/>
      </w:divBdr>
    </w:div>
    <w:div w:id="1809391515">
      <w:bodyDiv w:val="1"/>
      <w:marLeft w:val="0"/>
      <w:marRight w:val="0"/>
      <w:marTop w:val="0"/>
      <w:marBottom w:val="0"/>
      <w:divBdr>
        <w:top w:val="none" w:sz="0" w:space="0" w:color="auto"/>
        <w:left w:val="none" w:sz="0" w:space="0" w:color="auto"/>
        <w:bottom w:val="none" w:sz="0" w:space="0" w:color="auto"/>
        <w:right w:val="none" w:sz="0" w:space="0" w:color="auto"/>
      </w:divBdr>
    </w:div>
    <w:div w:id="1812211182">
      <w:bodyDiv w:val="1"/>
      <w:marLeft w:val="0"/>
      <w:marRight w:val="0"/>
      <w:marTop w:val="0"/>
      <w:marBottom w:val="0"/>
      <w:divBdr>
        <w:top w:val="none" w:sz="0" w:space="0" w:color="auto"/>
        <w:left w:val="none" w:sz="0" w:space="0" w:color="auto"/>
        <w:bottom w:val="none" w:sz="0" w:space="0" w:color="auto"/>
        <w:right w:val="none" w:sz="0" w:space="0" w:color="auto"/>
      </w:divBdr>
    </w:div>
    <w:div w:id="1815754392">
      <w:bodyDiv w:val="1"/>
      <w:marLeft w:val="0"/>
      <w:marRight w:val="0"/>
      <w:marTop w:val="0"/>
      <w:marBottom w:val="0"/>
      <w:divBdr>
        <w:top w:val="none" w:sz="0" w:space="0" w:color="auto"/>
        <w:left w:val="none" w:sz="0" w:space="0" w:color="auto"/>
        <w:bottom w:val="none" w:sz="0" w:space="0" w:color="auto"/>
        <w:right w:val="none" w:sz="0" w:space="0" w:color="auto"/>
      </w:divBdr>
    </w:div>
    <w:div w:id="1831023916">
      <w:bodyDiv w:val="1"/>
      <w:marLeft w:val="0"/>
      <w:marRight w:val="0"/>
      <w:marTop w:val="0"/>
      <w:marBottom w:val="0"/>
      <w:divBdr>
        <w:top w:val="none" w:sz="0" w:space="0" w:color="auto"/>
        <w:left w:val="none" w:sz="0" w:space="0" w:color="auto"/>
        <w:bottom w:val="none" w:sz="0" w:space="0" w:color="auto"/>
        <w:right w:val="none" w:sz="0" w:space="0" w:color="auto"/>
      </w:divBdr>
    </w:div>
    <w:div w:id="1832325882">
      <w:bodyDiv w:val="1"/>
      <w:marLeft w:val="0"/>
      <w:marRight w:val="0"/>
      <w:marTop w:val="0"/>
      <w:marBottom w:val="0"/>
      <w:divBdr>
        <w:top w:val="none" w:sz="0" w:space="0" w:color="auto"/>
        <w:left w:val="none" w:sz="0" w:space="0" w:color="auto"/>
        <w:bottom w:val="none" w:sz="0" w:space="0" w:color="auto"/>
        <w:right w:val="none" w:sz="0" w:space="0" w:color="auto"/>
      </w:divBdr>
    </w:div>
    <w:div w:id="1833644506">
      <w:bodyDiv w:val="1"/>
      <w:marLeft w:val="0"/>
      <w:marRight w:val="0"/>
      <w:marTop w:val="0"/>
      <w:marBottom w:val="0"/>
      <w:divBdr>
        <w:top w:val="none" w:sz="0" w:space="0" w:color="auto"/>
        <w:left w:val="none" w:sz="0" w:space="0" w:color="auto"/>
        <w:bottom w:val="none" w:sz="0" w:space="0" w:color="auto"/>
        <w:right w:val="none" w:sz="0" w:space="0" w:color="auto"/>
      </w:divBdr>
    </w:div>
    <w:div w:id="1835683072">
      <w:bodyDiv w:val="1"/>
      <w:marLeft w:val="0"/>
      <w:marRight w:val="0"/>
      <w:marTop w:val="0"/>
      <w:marBottom w:val="0"/>
      <w:divBdr>
        <w:top w:val="none" w:sz="0" w:space="0" w:color="auto"/>
        <w:left w:val="none" w:sz="0" w:space="0" w:color="auto"/>
        <w:bottom w:val="none" w:sz="0" w:space="0" w:color="auto"/>
        <w:right w:val="none" w:sz="0" w:space="0" w:color="auto"/>
      </w:divBdr>
    </w:div>
    <w:div w:id="1839496990">
      <w:bodyDiv w:val="1"/>
      <w:marLeft w:val="0"/>
      <w:marRight w:val="0"/>
      <w:marTop w:val="0"/>
      <w:marBottom w:val="0"/>
      <w:divBdr>
        <w:top w:val="none" w:sz="0" w:space="0" w:color="auto"/>
        <w:left w:val="none" w:sz="0" w:space="0" w:color="auto"/>
        <w:bottom w:val="none" w:sz="0" w:space="0" w:color="auto"/>
        <w:right w:val="none" w:sz="0" w:space="0" w:color="auto"/>
      </w:divBdr>
    </w:div>
    <w:div w:id="1861971851">
      <w:bodyDiv w:val="1"/>
      <w:marLeft w:val="0"/>
      <w:marRight w:val="0"/>
      <w:marTop w:val="0"/>
      <w:marBottom w:val="0"/>
      <w:divBdr>
        <w:top w:val="none" w:sz="0" w:space="0" w:color="auto"/>
        <w:left w:val="none" w:sz="0" w:space="0" w:color="auto"/>
        <w:bottom w:val="none" w:sz="0" w:space="0" w:color="auto"/>
        <w:right w:val="none" w:sz="0" w:space="0" w:color="auto"/>
      </w:divBdr>
    </w:div>
    <w:div w:id="1863277925">
      <w:bodyDiv w:val="1"/>
      <w:marLeft w:val="0"/>
      <w:marRight w:val="0"/>
      <w:marTop w:val="0"/>
      <w:marBottom w:val="0"/>
      <w:divBdr>
        <w:top w:val="none" w:sz="0" w:space="0" w:color="auto"/>
        <w:left w:val="none" w:sz="0" w:space="0" w:color="auto"/>
        <w:bottom w:val="none" w:sz="0" w:space="0" w:color="auto"/>
        <w:right w:val="none" w:sz="0" w:space="0" w:color="auto"/>
      </w:divBdr>
    </w:div>
    <w:div w:id="1870029511">
      <w:bodyDiv w:val="1"/>
      <w:marLeft w:val="0"/>
      <w:marRight w:val="0"/>
      <w:marTop w:val="0"/>
      <w:marBottom w:val="0"/>
      <w:divBdr>
        <w:top w:val="none" w:sz="0" w:space="0" w:color="auto"/>
        <w:left w:val="none" w:sz="0" w:space="0" w:color="auto"/>
        <w:bottom w:val="none" w:sz="0" w:space="0" w:color="auto"/>
        <w:right w:val="none" w:sz="0" w:space="0" w:color="auto"/>
      </w:divBdr>
    </w:div>
    <w:div w:id="1871794488">
      <w:bodyDiv w:val="1"/>
      <w:marLeft w:val="0"/>
      <w:marRight w:val="0"/>
      <w:marTop w:val="0"/>
      <w:marBottom w:val="0"/>
      <w:divBdr>
        <w:top w:val="none" w:sz="0" w:space="0" w:color="auto"/>
        <w:left w:val="none" w:sz="0" w:space="0" w:color="auto"/>
        <w:bottom w:val="none" w:sz="0" w:space="0" w:color="auto"/>
        <w:right w:val="none" w:sz="0" w:space="0" w:color="auto"/>
      </w:divBdr>
    </w:div>
    <w:div w:id="1874154625">
      <w:bodyDiv w:val="1"/>
      <w:marLeft w:val="0"/>
      <w:marRight w:val="0"/>
      <w:marTop w:val="0"/>
      <w:marBottom w:val="0"/>
      <w:divBdr>
        <w:top w:val="none" w:sz="0" w:space="0" w:color="auto"/>
        <w:left w:val="none" w:sz="0" w:space="0" w:color="auto"/>
        <w:bottom w:val="none" w:sz="0" w:space="0" w:color="auto"/>
        <w:right w:val="none" w:sz="0" w:space="0" w:color="auto"/>
      </w:divBdr>
    </w:div>
    <w:div w:id="1880311191">
      <w:bodyDiv w:val="1"/>
      <w:marLeft w:val="0"/>
      <w:marRight w:val="0"/>
      <w:marTop w:val="0"/>
      <w:marBottom w:val="0"/>
      <w:divBdr>
        <w:top w:val="none" w:sz="0" w:space="0" w:color="auto"/>
        <w:left w:val="none" w:sz="0" w:space="0" w:color="auto"/>
        <w:bottom w:val="none" w:sz="0" w:space="0" w:color="auto"/>
        <w:right w:val="none" w:sz="0" w:space="0" w:color="auto"/>
      </w:divBdr>
    </w:div>
    <w:div w:id="1882206351">
      <w:bodyDiv w:val="1"/>
      <w:marLeft w:val="0"/>
      <w:marRight w:val="0"/>
      <w:marTop w:val="0"/>
      <w:marBottom w:val="0"/>
      <w:divBdr>
        <w:top w:val="none" w:sz="0" w:space="0" w:color="auto"/>
        <w:left w:val="none" w:sz="0" w:space="0" w:color="auto"/>
        <w:bottom w:val="none" w:sz="0" w:space="0" w:color="auto"/>
        <w:right w:val="none" w:sz="0" w:space="0" w:color="auto"/>
      </w:divBdr>
    </w:div>
    <w:div w:id="1882940778">
      <w:bodyDiv w:val="1"/>
      <w:marLeft w:val="0"/>
      <w:marRight w:val="0"/>
      <w:marTop w:val="0"/>
      <w:marBottom w:val="0"/>
      <w:divBdr>
        <w:top w:val="none" w:sz="0" w:space="0" w:color="auto"/>
        <w:left w:val="none" w:sz="0" w:space="0" w:color="auto"/>
        <w:bottom w:val="none" w:sz="0" w:space="0" w:color="auto"/>
        <w:right w:val="none" w:sz="0" w:space="0" w:color="auto"/>
      </w:divBdr>
    </w:div>
    <w:div w:id="1890992833">
      <w:bodyDiv w:val="1"/>
      <w:marLeft w:val="0"/>
      <w:marRight w:val="0"/>
      <w:marTop w:val="0"/>
      <w:marBottom w:val="0"/>
      <w:divBdr>
        <w:top w:val="none" w:sz="0" w:space="0" w:color="auto"/>
        <w:left w:val="none" w:sz="0" w:space="0" w:color="auto"/>
        <w:bottom w:val="none" w:sz="0" w:space="0" w:color="auto"/>
        <w:right w:val="none" w:sz="0" w:space="0" w:color="auto"/>
      </w:divBdr>
    </w:div>
    <w:div w:id="1908607326">
      <w:bodyDiv w:val="1"/>
      <w:marLeft w:val="0"/>
      <w:marRight w:val="0"/>
      <w:marTop w:val="0"/>
      <w:marBottom w:val="0"/>
      <w:divBdr>
        <w:top w:val="none" w:sz="0" w:space="0" w:color="auto"/>
        <w:left w:val="none" w:sz="0" w:space="0" w:color="auto"/>
        <w:bottom w:val="none" w:sz="0" w:space="0" w:color="auto"/>
        <w:right w:val="none" w:sz="0" w:space="0" w:color="auto"/>
      </w:divBdr>
    </w:div>
    <w:div w:id="1918635980">
      <w:bodyDiv w:val="1"/>
      <w:marLeft w:val="0"/>
      <w:marRight w:val="0"/>
      <w:marTop w:val="0"/>
      <w:marBottom w:val="0"/>
      <w:divBdr>
        <w:top w:val="none" w:sz="0" w:space="0" w:color="auto"/>
        <w:left w:val="none" w:sz="0" w:space="0" w:color="auto"/>
        <w:bottom w:val="none" w:sz="0" w:space="0" w:color="auto"/>
        <w:right w:val="none" w:sz="0" w:space="0" w:color="auto"/>
      </w:divBdr>
    </w:div>
    <w:div w:id="1925911781">
      <w:bodyDiv w:val="1"/>
      <w:marLeft w:val="0"/>
      <w:marRight w:val="0"/>
      <w:marTop w:val="0"/>
      <w:marBottom w:val="0"/>
      <w:divBdr>
        <w:top w:val="none" w:sz="0" w:space="0" w:color="auto"/>
        <w:left w:val="none" w:sz="0" w:space="0" w:color="auto"/>
        <w:bottom w:val="none" w:sz="0" w:space="0" w:color="auto"/>
        <w:right w:val="none" w:sz="0" w:space="0" w:color="auto"/>
      </w:divBdr>
    </w:div>
    <w:div w:id="1930625889">
      <w:bodyDiv w:val="1"/>
      <w:marLeft w:val="0"/>
      <w:marRight w:val="0"/>
      <w:marTop w:val="0"/>
      <w:marBottom w:val="0"/>
      <w:divBdr>
        <w:top w:val="none" w:sz="0" w:space="0" w:color="auto"/>
        <w:left w:val="none" w:sz="0" w:space="0" w:color="auto"/>
        <w:bottom w:val="none" w:sz="0" w:space="0" w:color="auto"/>
        <w:right w:val="none" w:sz="0" w:space="0" w:color="auto"/>
      </w:divBdr>
    </w:div>
    <w:div w:id="1932657521">
      <w:bodyDiv w:val="1"/>
      <w:marLeft w:val="0"/>
      <w:marRight w:val="0"/>
      <w:marTop w:val="0"/>
      <w:marBottom w:val="0"/>
      <w:divBdr>
        <w:top w:val="none" w:sz="0" w:space="0" w:color="auto"/>
        <w:left w:val="none" w:sz="0" w:space="0" w:color="auto"/>
        <w:bottom w:val="none" w:sz="0" w:space="0" w:color="auto"/>
        <w:right w:val="none" w:sz="0" w:space="0" w:color="auto"/>
      </w:divBdr>
    </w:div>
    <w:div w:id="1934510599">
      <w:bodyDiv w:val="1"/>
      <w:marLeft w:val="0"/>
      <w:marRight w:val="0"/>
      <w:marTop w:val="0"/>
      <w:marBottom w:val="0"/>
      <w:divBdr>
        <w:top w:val="none" w:sz="0" w:space="0" w:color="auto"/>
        <w:left w:val="none" w:sz="0" w:space="0" w:color="auto"/>
        <w:bottom w:val="none" w:sz="0" w:space="0" w:color="auto"/>
        <w:right w:val="none" w:sz="0" w:space="0" w:color="auto"/>
      </w:divBdr>
    </w:div>
    <w:div w:id="1945770904">
      <w:bodyDiv w:val="1"/>
      <w:marLeft w:val="0"/>
      <w:marRight w:val="0"/>
      <w:marTop w:val="0"/>
      <w:marBottom w:val="0"/>
      <w:divBdr>
        <w:top w:val="none" w:sz="0" w:space="0" w:color="auto"/>
        <w:left w:val="none" w:sz="0" w:space="0" w:color="auto"/>
        <w:bottom w:val="none" w:sz="0" w:space="0" w:color="auto"/>
        <w:right w:val="none" w:sz="0" w:space="0" w:color="auto"/>
      </w:divBdr>
    </w:div>
    <w:div w:id="1954290642">
      <w:bodyDiv w:val="1"/>
      <w:marLeft w:val="0"/>
      <w:marRight w:val="0"/>
      <w:marTop w:val="0"/>
      <w:marBottom w:val="0"/>
      <w:divBdr>
        <w:top w:val="none" w:sz="0" w:space="0" w:color="auto"/>
        <w:left w:val="none" w:sz="0" w:space="0" w:color="auto"/>
        <w:bottom w:val="none" w:sz="0" w:space="0" w:color="auto"/>
        <w:right w:val="none" w:sz="0" w:space="0" w:color="auto"/>
      </w:divBdr>
    </w:div>
    <w:div w:id="1978994695">
      <w:bodyDiv w:val="1"/>
      <w:marLeft w:val="0"/>
      <w:marRight w:val="0"/>
      <w:marTop w:val="0"/>
      <w:marBottom w:val="0"/>
      <w:divBdr>
        <w:top w:val="none" w:sz="0" w:space="0" w:color="auto"/>
        <w:left w:val="none" w:sz="0" w:space="0" w:color="auto"/>
        <w:bottom w:val="none" w:sz="0" w:space="0" w:color="auto"/>
        <w:right w:val="none" w:sz="0" w:space="0" w:color="auto"/>
      </w:divBdr>
    </w:div>
    <w:div w:id="1979649790">
      <w:bodyDiv w:val="1"/>
      <w:marLeft w:val="0"/>
      <w:marRight w:val="0"/>
      <w:marTop w:val="0"/>
      <w:marBottom w:val="0"/>
      <w:divBdr>
        <w:top w:val="none" w:sz="0" w:space="0" w:color="auto"/>
        <w:left w:val="none" w:sz="0" w:space="0" w:color="auto"/>
        <w:bottom w:val="none" w:sz="0" w:space="0" w:color="auto"/>
        <w:right w:val="none" w:sz="0" w:space="0" w:color="auto"/>
      </w:divBdr>
    </w:div>
    <w:div w:id="1979919752">
      <w:bodyDiv w:val="1"/>
      <w:marLeft w:val="0"/>
      <w:marRight w:val="0"/>
      <w:marTop w:val="0"/>
      <w:marBottom w:val="0"/>
      <w:divBdr>
        <w:top w:val="none" w:sz="0" w:space="0" w:color="auto"/>
        <w:left w:val="none" w:sz="0" w:space="0" w:color="auto"/>
        <w:bottom w:val="none" w:sz="0" w:space="0" w:color="auto"/>
        <w:right w:val="none" w:sz="0" w:space="0" w:color="auto"/>
      </w:divBdr>
    </w:div>
    <w:div w:id="1984042013">
      <w:bodyDiv w:val="1"/>
      <w:marLeft w:val="0"/>
      <w:marRight w:val="0"/>
      <w:marTop w:val="0"/>
      <w:marBottom w:val="0"/>
      <w:divBdr>
        <w:top w:val="none" w:sz="0" w:space="0" w:color="auto"/>
        <w:left w:val="none" w:sz="0" w:space="0" w:color="auto"/>
        <w:bottom w:val="none" w:sz="0" w:space="0" w:color="auto"/>
        <w:right w:val="none" w:sz="0" w:space="0" w:color="auto"/>
      </w:divBdr>
    </w:div>
    <w:div w:id="1986398630">
      <w:bodyDiv w:val="1"/>
      <w:marLeft w:val="0"/>
      <w:marRight w:val="0"/>
      <w:marTop w:val="0"/>
      <w:marBottom w:val="0"/>
      <w:divBdr>
        <w:top w:val="none" w:sz="0" w:space="0" w:color="auto"/>
        <w:left w:val="none" w:sz="0" w:space="0" w:color="auto"/>
        <w:bottom w:val="none" w:sz="0" w:space="0" w:color="auto"/>
        <w:right w:val="none" w:sz="0" w:space="0" w:color="auto"/>
      </w:divBdr>
    </w:div>
    <w:div w:id="1986540353">
      <w:bodyDiv w:val="1"/>
      <w:marLeft w:val="0"/>
      <w:marRight w:val="0"/>
      <w:marTop w:val="0"/>
      <w:marBottom w:val="0"/>
      <w:divBdr>
        <w:top w:val="none" w:sz="0" w:space="0" w:color="auto"/>
        <w:left w:val="none" w:sz="0" w:space="0" w:color="auto"/>
        <w:bottom w:val="none" w:sz="0" w:space="0" w:color="auto"/>
        <w:right w:val="none" w:sz="0" w:space="0" w:color="auto"/>
      </w:divBdr>
    </w:div>
    <w:div w:id="1993875187">
      <w:bodyDiv w:val="1"/>
      <w:marLeft w:val="0"/>
      <w:marRight w:val="0"/>
      <w:marTop w:val="0"/>
      <w:marBottom w:val="0"/>
      <w:divBdr>
        <w:top w:val="none" w:sz="0" w:space="0" w:color="auto"/>
        <w:left w:val="none" w:sz="0" w:space="0" w:color="auto"/>
        <w:bottom w:val="none" w:sz="0" w:space="0" w:color="auto"/>
        <w:right w:val="none" w:sz="0" w:space="0" w:color="auto"/>
      </w:divBdr>
    </w:div>
    <w:div w:id="1996376306">
      <w:bodyDiv w:val="1"/>
      <w:marLeft w:val="0"/>
      <w:marRight w:val="0"/>
      <w:marTop w:val="0"/>
      <w:marBottom w:val="0"/>
      <w:divBdr>
        <w:top w:val="none" w:sz="0" w:space="0" w:color="auto"/>
        <w:left w:val="none" w:sz="0" w:space="0" w:color="auto"/>
        <w:bottom w:val="none" w:sz="0" w:space="0" w:color="auto"/>
        <w:right w:val="none" w:sz="0" w:space="0" w:color="auto"/>
      </w:divBdr>
    </w:div>
    <w:div w:id="2001955335">
      <w:bodyDiv w:val="1"/>
      <w:marLeft w:val="0"/>
      <w:marRight w:val="0"/>
      <w:marTop w:val="0"/>
      <w:marBottom w:val="0"/>
      <w:divBdr>
        <w:top w:val="none" w:sz="0" w:space="0" w:color="auto"/>
        <w:left w:val="none" w:sz="0" w:space="0" w:color="auto"/>
        <w:bottom w:val="none" w:sz="0" w:space="0" w:color="auto"/>
        <w:right w:val="none" w:sz="0" w:space="0" w:color="auto"/>
      </w:divBdr>
    </w:div>
    <w:div w:id="2011371444">
      <w:bodyDiv w:val="1"/>
      <w:marLeft w:val="0"/>
      <w:marRight w:val="0"/>
      <w:marTop w:val="0"/>
      <w:marBottom w:val="0"/>
      <w:divBdr>
        <w:top w:val="none" w:sz="0" w:space="0" w:color="auto"/>
        <w:left w:val="none" w:sz="0" w:space="0" w:color="auto"/>
        <w:bottom w:val="none" w:sz="0" w:space="0" w:color="auto"/>
        <w:right w:val="none" w:sz="0" w:space="0" w:color="auto"/>
      </w:divBdr>
    </w:div>
    <w:div w:id="2019965348">
      <w:bodyDiv w:val="1"/>
      <w:marLeft w:val="0"/>
      <w:marRight w:val="0"/>
      <w:marTop w:val="0"/>
      <w:marBottom w:val="0"/>
      <w:divBdr>
        <w:top w:val="none" w:sz="0" w:space="0" w:color="auto"/>
        <w:left w:val="none" w:sz="0" w:space="0" w:color="auto"/>
        <w:bottom w:val="none" w:sz="0" w:space="0" w:color="auto"/>
        <w:right w:val="none" w:sz="0" w:space="0" w:color="auto"/>
      </w:divBdr>
    </w:div>
    <w:div w:id="2020039110">
      <w:bodyDiv w:val="1"/>
      <w:marLeft w:val="0"/>
      <w:marRight w:val="0"/>
      <w:marTop w:val="0"/>
      <w:marBottom w:val="0"/>
      <w:divBdr>
        <w:top w:val="none" w:sz="0" w:space="0" w:color="auto"/>
        <w:left w:val="none" w:sz="0" w:space="0" w:color="auto"/>
        <w:bottom w:val="none" w:sz="0" w:space="0" w:color="auto"/>
        <w:right w:val="none" w:sz="0" w:space="0" w:color="auto"/>
      </w:divBdr>
    </w:div>
    <w:div w:id="2032142632">
      <w:bodyDiv w:val="1"/>
      <w:marLeft w:val="0"/>
      <w:marRight w:val="0"/>
      <w:marTop w:val="0"/>
      <w:marBottom w:val="0"/>
      <w:divBdr>
        <w:top w:val="none" w:sz="0" w:space="0" w:color="auto"/>
        <w:left w:val="none" w:sz="0" w:space="0" w:color="auto"/>
        <w:bottom w:val="none" w:sz="0" w:space="0" w:color="auto"/>
        <w:right w:val="none" w:sz="0" w:space="0" w:color="auto"/>
      </w:divBdr>
    </w:div>
    <w:div w:id="2034763337">
      <w:bodyDiv w:val="1"/>
      <w:marLeft w:val="0"/>
      <w:marRight w:val="0"/>
      <w:marTop w:val="0"/>
      <w:marBottom w:val="0"/>
      <w:divBdr>
        <w:top w:val="none" w:sz="0" w:space="0" w:color="auto"/>
        <w:left w:val="none" w:sz="0" w:space="0" w:color="auto"/>
        <w:bottom w:val="none" w:sz="0" w:space="0" w:color="auto"/>
        <w:right w:val="none" w:sz="0" w:space="0" w:color="auto"/>
      </w:divBdr>
    </w:div>
    <w:div w:id="2036491529">
      <w:bodyDiv w:val="1"/>
      <w:marLeft w:val="0"/>
      <w:marRight w:val="0"/>
      <w:marTop w:val="0"/>
      <w:marBottom w:val="0"/>
      <w:divBdr>
        <w:top w:val="none" w:sz="0" w:space="0" w:color="auto"/>
        <w:left w:val="none" w:sz="0" w:space="0" w:color="auto"/>
        <w:bottom w:val="none" w:sz="0" w:space="0" w:color="auto"/>
        <w:right w:val="none" w:sz="0" w:space="0" w:color="auto"/>
      </w:divBdr>
    </w:div>
    <w:div w:id="2058775762">
      <w:bodyDiv w:val="1"/>
      <w:marLeft w:val="0"/>
      <w:marRight w:val="0"/>
      <w:marTop w:val="0"/>
      <w:marBottom w:val="0"/>
      <w:divBdr>
        <w:top w:val="none" w:sz="0" w:space="0" w:color="auto"/>
        <w:left w:val="none" w:sz="0" w:space="0" w:color="auto"/>
        <w:bottom w:val="none" w:sz="0" w:space="0" w:color="auto"/>
        <w:right w:val="none" w:sz="0" w:space="0" w:color="auto"/>
      </w:divBdr>
    </w:div>
    <w:div w:id="2063357515">
      <w:bodyDiv w:val="1"/>
      <w:marLeft w:val="0"/>
      <w:marRight w:val="0"/>
      <w:marTop w:val="0"/>
      <w:marBottom w:val="0"/>
      <w:divBdr>
        <w:top w:val="none" w:sz="0" w:space="0" w:color="auto"/>
        <w:left w:val="none" w:sz="0" w:space="0" w:color="auto"/>
        <w:bottom w:val="none" w:sz="0" w:space="0" w:color="auto"/>
        <w:right w:val="none" w:sz="0" w:space="0" w:color="auto"/>
      </w:divBdr>
    </w:div>
    <w:div w:id="2064205973">
      <w:bodyDiv w:val="1"/>
      <w:marLeft w:val="0"/>
      <w:marRight w:val="0"/>
      <w:marTop w:val="0"/>
      <w:marBottom w:val="0"/>
      <w:divBdr>
        <w:top w:val="none" w:sz="0" w:space="0" w:color="auto"/>
        <w:left w:val="none" w:sz="0" w:space="0" w:color="auto"/>
        <w:bottom w:val="none" w:sz="0" w:space="0" w:color="auto"/>
        <w:right w:val="none" w:sz="0" w:space="0" w:color="auto"/>
      </w:divBdr>
    </w:div>
    <w:div w:id="2067102055">
      <w:bodyDiv w:val="1"/>
      <w:marLeft w:val="0"/>
      <w:marRight w:val="0"/>
      <w:marTop w:val="0"/>
      <w:marBottom w:val="0"/>
      <w:divBdr>
        <w:top w:val="none" w:sz="0" w:space="0" w:color="auto"/>
        <w:left w:val="none" w:sz="0" w:space="0" w:color="auto"/>
        <w:bottom w:val="none" w:sz="0" w:space="0" w:color="auto"/>
        <w:right w:val="none" w:sz="0" w:space="0" w:color="auto"/>
      </w:divBdr>
    </w:div>
    <w:div w:id="2067533963">
      <w:bodyDiv w:val="1"/>
      <w:marLeft w:val="0"/>
      <w:marRight w:val="0"/>
      <w:marTop w:val="0"/>
      <w:marBottom w:val="0"/>
      <w:divBdr>
        <w:top w:val="none" w:sz="0" w:space="0" w:color="auto"/>
        <w:left w:val="none" w:sz="0" w:space="0" w:color="auto"/>
        <w:bottom w:val="none" w:sz="0" w:space="0" w:color="auto"/>
        <w:right w:val="none" w:sz="0" w:space="0" w:color="auto"/>
      </w:divBdr>
    </w:div>
    <w:div w:id="2069910381">
      <w:bodyDiv w:val="1"/>
      <w:marLeft w:val="0"/>
      <w:marRight w:val="0"/>
      <w:marTop w:val="0"/>
      <w:marBottom w:val="0"/>
      <w:divBdr>
        <w:top w:val="none" w:sz="0" w:space="0" w:color="auto"/>
        <w:left w:val="none" w:sz="0" w:space="0" w:color="auto"/>
        <w:bottom w:val="none" w:sz="0" w:space="0" w:color="auto"/>
        <w:right w:val="none" w:sz="0" w:space="0" w:color="auto"/>
      </w:divBdr>
    </w:div>
    <w:div w:id="2096318551">
      <w:bodyDiv w:val="1"/>
      <w:marLeft w:val="0"/>
      <w:marRight w:val="0"/>
      <w:marTop w:val="0"/>
      <w:marBottom w:val="0"/>
      <w:divBdr>
        <w:top w:val="none" w:sz="0" w:space="0" w:color="auto"/>
        <w:left w:val="none" w:sz="0" w:space="0" w:color="auto"/>
        <w:bottom w:val="none" w:sz="0" w:space="0" w:color="auto"/>
        <w:right w:val="none" w:sz="0" w:space="0" w:color="auto"/>
      </w:divBdr>
    </w:div>
    <w:div w:id="2099517900">
      <w:bodyDiv w:val="1"/>
      <w:marLeft w:val="0"/>
      <w:marRight w:val="0"/>
      <w:marTop w:val="0"/>
      <w:marBottom w:val="0"/>
      <w:divBdr>
        <w:top w:val="none" w:sz="0" w:space="0" w:color="auto"/>
        <w:left w:val="none" w:sz="0" w:space="0" w:color="auto"/>
        <w:bottom w:val="none" w:sz="0" w:space="0" w:color="auto"/>
        <w:right w:val="none" w:sz="0" w:space="0" w:color="auto"/>
      </w:divBdr>
    </w:div>
    <w:div w:id="2105152087">
      <w:bodyDiv w:val="1"/>
      <w:marLeft w:val="0"/>
      <w:marRight w:val="0"/>
      <w:marTop w:val="0"/>
      <w:marBottom w:val="0"/>
      <w:divBdr>
        <w:top w:val="none" w:sz="0" w:space="0" w:color="auto"/>
        <w:left w:val="none" w:sz="0" w:space="0" w:color="auto"/>
        <w:bottom w:val="none" w:sz="0" w:space="0" w:color="auto"/>
        <w:right w:val="none" w:sz="0" w:space="0" w:color="auto"/>
      </w:divBdr>
    </w:div>
    <w:div w:id="2118408447">
      <w:bodyDiv w:val="1"/>
      <w:marLeft w:val="0"/>
      <w:marRight w:val="0"/>
      <w:marTop w:val="0"/>
      <w:marBottom w:val="0"/>
      <w:divBdr>
        <w:top w:val="none" w:sz="0" w:space="0" w:color="auto"/>
        <w:left w:val="none" w:sz="0" w:space="0" w:color="auto"/>
        <w:bottom w:val="none" w:sz="0" w:space="0" w:color="auto"/>
        <w:right w:val="none" w:sz="0" w:space="0" w:color="auto"/>
      </w:divBdr>
    </w:div>
    <w:div w:id="2122141759">
      <w:bodyDiv w:val="1"/>
      <w:marLeft w:val="0"/>
      <w:marRight w:val="0"/>
      <w:marTop w:val="0"/>
      <w:marBottom w:val="0"/>
      <w:divBdr>
        <w:top w:val="none" w:sz="0" w:space="0" w:color="auto"/>
        <w:left w:val="none" w:sz="0" w:space="0" w:color="auto"/>
        <w:bottom w:val="none" w:sz="0" w:space="0" w:color="auto"/>
        <w:right w:val="none" w:sz="0" w:space="0" w:color="auto"/>
      </w:divBdr>
    </w:div>
    <w:div w:id="2123918374">
      <w:bodyDiv w:val="1"/>
      <w:marLeft w:val="0"/>
      <w:marRight w:val="0"/>
      <w:marTop w:val="0"/>
      <w:marBottom w:val="0"/>
      <w:divBdr>
        <w:top w:val="none" w:sz="0" w:space="0" w:color="auto"/>
        <w:left w:val="none" w:sz="0" w:space="0" w:color="auto"/>
        <w:bottom w:val="none" w:sz="0" w:space="0" w:color="auto"/>
        <w:right w:val="none" w:sz="0" w:space="0" w:color="auto"/>
      </w:divBdr>
    </w:div>
    <w:div w:id="213058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chart" Target="charts/chart5.xml"/><Relationship Id="rId21" Type="http://schemas.openxmlformats.org/officeDocument/2006/relationships/image" Target="media/image12.emf"/><Relationship Id="rId34" Type="http://schemas.openxmlformats.org/officeDocument/2006/relationships/image" Target="media/image24.png"/><Relationship Id="rId42" Type="http://schemas.openxmlformats.org/officeDocument/2006/relationships/chart" Target="charts/chart8.xml"/><Relationship Id="rId47" Type="http://schemas.openxmlformats.org/officeDocument/2006/relationships/image" Target="media/image30.emf"/><Relationship Id="rId50" Type="http://schemas.openxmlformats.org/officeDocument/2006/relationships/image" Target="media/image32.png"/><Relationship Id="rId55" Type="http://schemas.openxmlformats.org/officeDocument/2006/relationships/chart" Target="charts/chart13.xml"/><Relationship Id="rId63" Type="http://schemas.openxmlformats.org/officeDocument/2006/relationships/chart" Target="charts/chart15.xml"/><Relationship Id="rId68" Type="http://schemas.openxmlformats.org/officeDocument/2006/relationships/theme" Target="theme/theme1.xml"/><Relationship Id="rId7" Type="http://schemas.openxmlformats.org/officeDocument/2006/relationships/webSettings" Target="webSettings.xml"/><Relationship Id="rId71"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2.png"/><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image" Target="media/image28.emf"/><Relationship Id="rId53" Type="http://schemas.openxmlformats.org/officeDocument/2006/relationships/chart" Target="charts/chart12.xml"/><Relationship Id="rId58" Type="http://schemas.openxmlformats.org/officeDocument/2006/relationships/image" Target="media/image36.emf"/><Relationship Id="rId66"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chart" Target="charts/chart2.xml"/><Relationship Id="rId49" Type="http://schemas.openxmlformats.org/officeDocument/2006/relationships/image" Target="media/image31.png"/><Relationship Id="rId57" Type="http://schemas.openxmlformats.org/officeDocument/2006/relationships/image" Target="media/image35.emf"/><Relationship Id="rId61" Type="http://schemas.openxmlformats.org/officeDocument/2006/relationships/image" Target="media/image39.emf"/><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chart" Target="charts/chart1.xml"/><Relationship Id="rId44" Type="http://schemas.openxmlformats.org/officeDocument/2006/relationships/image" Target="media/image27.emf"/><Relationship Id="rId52" Type="http://schemas.openxmlformats.org/officeDocument/2006/relationships/chart" Target="charts/chart11.xml"/><Relationship Id="rId60" Type="http://schemas.openxmlformats.org/officeDocument/2006/relationships/image" Target="media/image38.emf"/><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5.emf"/><Relationship Id="rId43" Type="http://schemas.openxmlformats.org/officeDocument/2006/relationships/image" Target="media/image26.emf"/><Relationship Id="rId48" Type="http://schemas.openxmlformats.org/officeDocument/2006/relationships/chart" Target="charts/chart9.xml"/><Relationship Id="rId56" Type="http://schemas.openxmlformats.org/officeDocument/2006/relationships/image" Target="media/image34.emf"/><Relationship Id="rId64" Type="http://schemas.openxmlformats.org/officeDocument/2006/relationships/image" Target="media/image40.emf"/><Relationship Id="rId8" Type="http://schemas.openxmlformats.org/officeDocument/2006/relationships/footnotes" Target="footnotes.xml"/><Relationship Id="rId51" Type="http://schemas.openxmlformats.org/officeDocument/2006/relationships/chart" Target="charts/chart10.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3.png"/><Relationship Id="rId38" Type="http://schemas.openxmlformats.org/officeDocument/2006/relationships/chart" Target="charts/chart4.xml"/><Relationship Id="rId46" Type="http://schemas.openxmlformats.org/officeDocument/2006/relationships/image" Target="media/image29.emf"/><Relationship Id="rId59" Type="http://schemas.openxmlformats.org/officeDocument/2006/relationships/image" Target="media/image37.emf"/><Relationship Id="rId67" Type="http://schemas.openxmlformats.org/officeDocument/2006/relationships/fontTable" Target="fontTable.xml"/><Relationship Id="rId20" Type="http://schemas.openxmlformats.org/officeDocument/2006/relationships/image" Target="media/image11.emf"/><Relationship Id="rId41" Type="http://schemas.openxmlformats.org/officeDocument/2006/relationships/chart" Target="charts/chart7.xml"/><Relationship Id="rId54" Type="http://schemas.openxmlformats.org/officeDocument/2006/relationships/image" Target="media/image33.emf"/><Relationship Id="rId62" Type="http://schemas.openxmlformats.org/officeDocument/2006/relationships/chart" Target="charts/chart14.xml"/><Relationship Id="rId7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F:\PRESUPUESTO%202019\EJECUCION%20DE%20INGRESOS%202017%20%20PARA%20MFMP2019.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H:\MFMP%202019\2019\INFORME%20DEUDA%20PUBLICA%20MUNICIPIO%20DE%20PASTO%20DICIEMBRE%2031%20DE%202017.xlsx" TargetMode="External"/><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oleObject" Target="file:///G:\MFMP\2019\INFORME%20DEUDA%20PUBLICA%20MUNICIPIO%20DE%20PASTO%20DICIEMBRE%2031%20DE%20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MFMP\2019\INFORME%20DEUDA%20PUBLICA%20MUNICIPIO%20DE%20PASTO%20DICIEMBRE%2031%20DE%202017.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MFMP\2019\INFORME%20DEUDA%20PUBLICA%20MUNICIPIO%20DE%20PASTO%20DICIEMBRE%2031%20DE%202017.xlsx" TargetMode="Externa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9.xml.rels><?xml version="1.0" encoding="UTF-8" standalone="yes"?>
<Relationships xmlns="http://schemas.openxmlformats.org/package/2006/relationships"><Relationship Id="rId1" Type="http://schemas.openxmlformats.org/officeDocument/2006/relationships/oleObject" Target="file:///G:\marce\marco%201\POAI%20PARA%20DECRETO%202019%20completo%2027%20sept%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1"/>
          <c:tx>
            <c:strRef>
              <c:f>'gatos mfmp'!$D$19</c:f>
              <c:strCache>
                <c:ptCount val="1"/>
                <c:pt idx="0">
                  <c:v>PRESUPUESTO DEFINITIVO</c:v>
                </c:pt>
              </c:strCache>
            </c:strRef>
          </c:tx>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574-471F-8283-186340253C06}"/>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574-471F-8283-186340253C06}"/>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C574-471F-8283-186340253C06}"/>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C574-471F-8283-186340253C06}"/>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0DA9-45A3-AB7C-F6D311B57638}"/>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9-C574-471F-8283-186340253C06}"/>
              </c:ext>
            </c:extLst>
          </c:dPt>
          <c:dLbls>
            <c:dLbl>
              <c:idx val="0"/>
              <c:layout>
                <c:manualLayout>
                  <c:x val="-2.2671150481189853E-2"/>
                  <c:y val="1.20494313210848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574-471F-8283-186340253C06}"/>
                </c:ext>
              </c:extLst>
            </c:dLbl>
            <c:dLbl>
              <c:idx val="1"/>
              <c:layout>
                <c:manualLayout>
                  <c:x val="-7.6824146981627293E-3"/>
                  <c:y val="-9.47178477690288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574-471F-8283-186340253C06}"/>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574-471F-8283-186340253C06}"/>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574-471F-8283-186340253C06}"/>
                </c:ext>
              </c:extLst>
            </c:dLbl>
            <c:dLbl>
              <c:idx val="5"/>
              <c:layout>
                <c:manualLayout>
                  <c:x val="6.4858923884514438E-3"/>
                  <c:y val="6.400554097404490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574-471F-8283-186340253C06}"/>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E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'gatos mfmp'!$B$20:$B$25</c:f>
              <c:strCache>
                <c:ptCount val="6"/>
                <c:pt idx="0">
                  <c:v>Transferencias entes de control</c:v>
                </c:pt>
                <c:pt idx="1">
                  <c:v>Sector central</c:v>
                </c:pt>
                <c:pt idx="2">
                  <c:v>Fondo Local de Salud</c:v>
                </c:pt>
                <c:pt idx="3">
                  <c:v>Tránsito y Transporte</c:v>
                </c:pt>
                <c:pt idx="4">
                  <c:v>Otros </c:v>
                </c:pt>
                <c:pt idx="5">
                  <c:v>Total</c:v>
                </c:pt>
              </c:strCache>
            </c:strRef>
          </c:cat>
          <c:val>
            <c:numRef>
              <c:f>'gatos mfmp'!$D$20:$D$25</c:f>
              <c:numCache>
                <c:formatCode>_(* #,##0_);_(* \(#,##0\);_(* "-"??_);_(@_)</c:formatCode>
                <c:ptCount val="6"/>
                <c:pt idx="0">
                  <c:v>6072.8028754400002</c:v>
                </c:pt>
                <c:pt idx="1">
                  <c:v>51643.798503080005</c:v>
                </c:pt>
                <c:pt idx="2">
                  <c:v>1825.769481</c:v>
                </c:pt>
                <c:pt idx="3">
                  <c:v>2871</c:v>
                </c:pt>
                <c:pt idx="4">
                  <c:v>309.91116</c:v>
                </c:pt>
                <c:pt idx="5" formatCode="_-* #,##0_-;\-* #,##0_-;_-* &quot;-&quot;??_-;_-@_-">
                  <c:v>62723.282019520011</c:v>
                </c:pt>
              </c:numCache>
            </c:numRef>
          </c:val>
          <c:extLst xmlns:c16r2="http://schemas.microsoft.com/office/drawing/2015/06/chart">
            <c:ext xmlns:c16="http://schemas.microsoft.com/office/drawing/2014/chart" uri="{C3380CC4-5D6E-409C-BE32-E72D297353CC}">
              <c16:uniqueId val="{0000000A-C574-471F-8283-186340253C06}"/>
            </c:ext>
          </c:extLst>
        </c:ser>
        <c:ser>
          <c:idx val="0"/>
          <c:order val="0"/>
          <c:tx>
            <c:strRef>
              <c:f>'gatos mfmp'!$C$19</c:f>
              <c:strCache>
                <c:ptCount val="1"/>
                <c:pt idx="0">
                  <c:v>PRESUPUESTO INICIAL</c:v>
                </c:pt>
              </c:strCache>
            </c:strRef>
          </c:tx>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D-0DA9-45A3-AB7C-F6D311B57638}"/>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F-0DA9-45A3-AB7C-F6D311B57638}"/>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11-0DA9-45A3-AB7C-F6D311B57638}"/>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13-0DA9-45A3-AB7C-F6D311B57638}"/>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15-0DA9-45A3-AB7C-F6D311B57638}"/>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17-0DA9-45A3-AB7C-F6D311B57638}"/>
              </c:ext>
            </c:extLst>
          </c:dPt>
          <c:cat>
            <c:strRef>
              <c:f>'gatos mfmp'!$B$20:$B$25</c:f>
              <c:strCache>
                <c:ptCount val="6"/>
                <c:pt idx="0">
                  <c:v>Transferencias entes de control</c:v>
                </c:pt>
                <c:pt idx="1">
                  <c:v>Sector central</c:v>
                </c:pt>
                <c:pt idx="2">
                  <c:v>Fondo Local de Salud</c:v>
                </c:pt>
                <c:pt idx="3">
                  <c:v>Tránsito y Transporte</c:v>
                </c:pt>
                <c:pt idx="4">
                  <c:v>Otros </c:v>
                </c:pt>
                <c:pt idx="5">
                  <c:v>Total</c:v>
                </c:pt>
              </c:strCache>
            </c:strRef>
          </c:cat>
          <c:val>
            <c:numRef>
              <c:f>'gatos mfmp'!$C$20:$C$25</c:f>
              <c:numCache>
                <c:formatCode>_(* #,##0_);_(* \(#,##0\);_(* "-"??_);_(@_)</c:formatCode>
                <c:ptCount val="6"/>
                <c:pt idx="0">
                  <c:v>6100.6689460600001</c:v>
                </c:pt>
                <c:pt idx="1">
                  <c:v>51213.956768849996</c:v>
                </c:pt>
                <c:pt idx="2">
                  <c:v>1825.769481</c:v>
                </c:pt>
                <c:pt idx="3">
                  <c:v>2871.277959</c:v>
                </c:pt>
                <c:pt idx="4">
                  <c:v>309.91116</c:v>
                </c:pt>
                <c:pt idx="5" formatCode="_-* #,##0_-;\-* #,##0_-;_-* &quot;-&quot;??_-;_-@_-">
                  <c:v>62321.584314910004</c:v>
                </c:pt>
              </c:numCache>
            </c:numRef>
          </c:val>
          <c:extLst xmlns:c16r2="http://schemas.microsoft.com/office/drawing/2015/06/chart">
            <c:ext xmlns:c16="http://schemas.microsoft.com/office/drawing/2014/chart" uri="{C3380CC4-5D6E-409C-BE32-E72D297353CC}">
              <c16:uniqueId val="{0000000B-C574-471F-8283-186340253C0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8477777777777782"/>
          <c:y val="0.21773840769903763"/>
          <c:w val="0.31522222222222224"/>
          <c:h val="0.782261592300962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prstDash val="solid"/>
      <a:round/>
    </a:ln>
    <a:effectLst/>
  </c:spPr>
  <c:txPr>
    <a:bodyPr/>
    <a:lstStyle/>
    <a:p>
      <a:pPr>
        <a:defRPr i="0"/>
      </a:pPr>
      <a:endParaRPr lang="es-E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7"/>
    </mc:Choice>
    <mc:Fallback>
      <c:style val="37"/>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8307195975503063"/>
          <c:y val="5.1400554097404488E-2"/>
          <c:w val="0.74646664856548117"/>
          <c:h val="0.63530815169842891"/>
        </c:manualLayout>
      </c:layout>
      <c:bar3DChart>
        <c:barDir val="col"/>
        <c:grouping val="stacked"/>
        <c:varyColors val="0"/>
        <c:ser>
          <c:idx val="0"/>
          <c:order val="0"/>
          <c:tx>
            <c:strRef>
              <c:f>'diciembre 2017'!$B$14</c:f>
              <c:strCache>
                <c:ptCount val="1"/>
                <c:pt idx="0">
                  <c:v>DESEMBOLSOS</c:v>
                </c:pt>
              </c:strCache>
            </c:strRef>
          </c:tx>
          <c:invertIfNegative val="0"/>
          <c:cat>
            <c:strRef>
              <c:f>'diciembre 2017'!$A$15:$A$17</c:f>
              <c:strCache>
                <c:ptCount val="3"/>
                <c:pt idx="0">
                  <c:v>BANCOLOMBIA</c:v>
                </c:pt>
                <c:pt idx="1">
                  <c:v>BANCO DE OCCIDENTE</c:v>
                </c:pt>
                <c:pt idx="2">
                  <c:v>BBVA</c:v>
                </c:pt>
              </c:strCache>
            </c:strRef>
          </c:cat>
          <c:val>
            <c:numRef>
              <c:f>'diciembre 2017'!$B$15:$B$17</c:f>
              <c:numCache>
                <c:formatCode>_ * #,##0_ ;_ * \-#,##0_ ;_ * "-"??_ ;_ @_ </c:formatCode>
                <c:ptCount val="3"/>
                <c:pt idx="0">
                  <c:v>33040000</c:v>
                </c:pt>
                <c:pt idx="1">
                  <c:v>17940041</c:v>
                </c:pt>
                <c:pt idx="2">
                  <c:v>39300000</c:v>
                </c:pt>
              </c:numCache>
            </c:numRef>
          </c:val>
          <c:extLst xmlns:c16r2="http://schemas.microsoft.com/office/drawing/2015/06/chart">
            <c:ext xmlns:c16="http://schemas.microsoft.com/office/drawing/2014/chart" uri="{C3380CC4-5D6E-409C-BE32-E72D297353CC}">
              <c16:uniqueId val="{00000000-E983-4505-A99D-149561D57507}"/>
            </c:ext>
          </c:extLst>
        </c:ser>
        <c:ser>
          <c:idx val="1"/>
          <c:order val="1"/>
          <c:tx>
            <c:strRef>
              <c:f>'diciembre 2017'!$C$14</c:f>
              <c:strCache>
                <c:ptCount val="1"/>
                <c:pt idx="0">
                  <c:v>SALDO</c:v>
                </c:pt>
              </c:strCache>
            </c:strRef>
          </c:tx>
          <c:invertIfNegative val="0"/>
          <c:cat>
            <c:strRef>
              <c:f>'diciembre 2017'!$A$15:$A$17</c:f>
              <c:strCache>
                <c:ptCount val="3"/>
                <c:pt idx="0">
                  <c:v>BANCOLOMBIA</c:v>
                </c:pt>
                <c:pt idx="1">
                  <c:v>BANCO DE OCCIDENTE</c:v>
                </c:pt>
                <c:pt idx="2">
                  <c:v>BBVA</c:v>
                </c:pt>
              </c:strCache>
            </c:strRef>
          </c:cat>
          <c:val>
            <c:numRef>
              <c:f>'diciembre 2017'!$C$15:$C$17</c:f>
              <c:numCache>
                <c:formatCode>_ * #,##0_ ;_ * \-#,##0_ ;_ * "-"??_ ;_ @_ </c:formatCode>
                <c:ptCount val="3"/>
                <c:pt idx="0">
                  <c:v>8405330</c:v>
                </c:pt>
                <c:pt idx="1">
                  <c:v>12472564</c:v>
                </c:pt>
                <c:pt idx="2">
                  <c:v>34780000</c:v>
                </c:pt>
              </c:numCache>
            </c:numRef>
          </c:val>
          <c:extLst xmlns:c16r2="http://schemas.microsoft.com/office/drawing/2015/06/chart">
            <c:ext xmlns:c16="http://schemas.microsoft.com/office/drawing/2014/chart" uri="{C3380CC4-5D6E-409C-BE32-E72D297353CC}">
              <c16:uniqueId val="{00000001-E983-4505-A99D-149561D57507}"/>
            </c:ext>
          </c:extLst>
        </c:ser>
        <c:dLbls>
          <c:showLegendKey val="0"/>
          <c:showVal val="0"/>
          <c:showCatName val="0"/>
          <c:showSerName val="0"/>
          <c:showPercent val="0"/>
          <c:showBubbleSize val="0"/>
        </c:dLbls>
        <c:gapWidth val="150"/>
        <c:shape val="cylinder"/>
        <c:axId val="217931136"/>
        <c:axId val="217932928"/>
        <c:axId val="0"/>
      </c:bar3DChart>
      <c:catAx>
        <c:axId val="217931136"/>
        <c:scaling>
          <c:orientation val="minMax"/>
        </c:scaling>
        <c:delete val="0"/>
        <c:axPos val="b"/>
        <c:numFmt formatCode="General" sourceLinked="0"/>
        <c:majorTickMark val="out"/>
        <c:minorTickMark val="none"/>
        <c:tickLblPos val="nextTo"/>
        <c:crossAx val="217932928"/>
        <c:crosses val="autoZero"/>
        <c:auto val="1"/>
        <c:lblAlgn val="ctr"/>
        <c:lblOffset val="100"/>
        <c:noMultiLvlLbl val="0"/>
      </c:catAx>
      <c:valAx>
        <c:axId val="217932928"/>
        <c:scaling>
          <c:orientation val="minMax"/>
        </c:scaling>
        <c:delete val="0"/>
        <c:axPos val="l"/>
        <c:majorGridlines/>
        <c:numFmt formatCode="_ * #,##0_ ;_ * \-#,##0_ ;_ * &quot;-&quot;??_ ;_ @_ " sourceLinked="1"/>
        <c:majorTickMark val="out"/>
        <c:minorTickMark val="none"/>
        <c:tickLblPos val="nextTo"/>
        <c:spPr>
          <a:ln>
            <a:noFill/>
          </a:ln>
        </c:spPr>
        <c:txPr>
          <a:bodyPr/>
          <a:lstStyle/>
          <a:p>
            <a:pPr>
              <a:defRPr b="0"/>
            </a:pPr>
            <a:endParaRPr lang="es-ES"/>
          </a:p>
        </c:txPr>
        <c:crossAx val="217931136"/>
        <c:crosses val="autoZero"/>
        <c:crossBetween val="between"/>
      </c:valAx>
      <c:dTable>
        <c:showHorzBorder val="1"/>
        <c:showVertBorder val="1"/>
        <c:showOutline val="1"/>
        <c:showKeys val="1"/>
        <c:txPr>
          <a:bodyPr/>
          <a:lstStyle/>
          <a:p>
            <a:pPr rtl="0">
              <a:defRPr b="0"/>
            </a:pPr>
            <a:endParaRPr lang="es-ES"/>
          </a:p>
        </c:txPr>
      </c:dTable>
    </c:plotArea>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view3D>
      <c:rotX val="30"/>
      <c:rotY val="32"/>
      <c:rAngAx val="0"/>
      <c:perspective val="90"/>
    </c:view3D>
    <c:floor>
      <c:thickness val="0"/>
    </c:floor>
    <c:sideWall>
      <c:thickness val="0"/>
    </c:sideWall>
    <c:backWall>
      <c:thickness val="0"/>
    </c:backWall>
    <c:plotArea>
      <c:layout>
        <c:manualLayout>
          <c:layoutTarget val="inner"/>
          <c:xMode val="edge"/>
          <c:yMode val="edge"/>
          <c:x val="0.11805555555555555"/>
          <c:y val="0.24323636628754738"/>
          <c:w val="0.78558024196020082"/>
          <c:h val="0.62369002435846599"/>
        </c:manualLayout>
      </c:layout>
      <c:pie3DChart>
        <c:varyColors val="1"/>
        <c:ser>
          <c:idx val="0"/>
          <c:order val="0"/>
          <c:explosion val="25"/>
          <c:dLbls>
            <c:dLbl>
              <c:idx val="0"/>
              <c:layout>
                <c:manualLayout>
                  <c:x val="-1.8389016114021602E-2"/>
                  <c:y val="-0.16496734836473087"/>
                </c:manualLayout>
              </c:layout>
              <c:tx>
                <c:rich>
                  <a:bodyPr/>
                  <a:lstStyle/>
                  <a:p>
                    <a:r>
                      <a:rPr lang="en-US" b="1"/>
                      <a:t>BANCOLOMBIA
37%</a:t>
                    </a:r>
                    <a:endParaRPr lang="en-US"/>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FF8-496F-A52E-4E51526400FD}"/>
                </c:ext>
              </c:extLst>
            </c:dLbl>
            <c:dLbl>
              <c:idx val="1"/>
              <c:layout>
                <c:manualLayout>
                  <c:x val="-8.1004155730533683E-2"/>
                  <c:y val="-1.6828521434820731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F8-496F-A52E-4E51526400FD}"/>
                </c:ext>
              </c:extLst>
            </c:dLbl>
            <c:dLbl>
              <c:idx val="2"/>
              <c:layout>
                <c:manualLayout>
                  <c:x val="-6.1635170603674544E-2"/>
                  <c:y val="-5.0018591426071742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FF8-496F-A52E-4E51526400FD}"/>
                </c:ext>
              </c:extLst>
            </c:dLbl>
            <c:spPr>
              <a:noFill/>
              <a:ln>
                <a:noFill/>
              </a:ln>
              <a:effectLst/>
            </c:spPr>
            <c:txPr>
              <a:bodyPr/>
              <a:lstStyle/>
              <a:p>
                <a:pPr>
                  <a:defRPr b="1"/>
                </a:pPr>
                <a:endParaRPr lang="es-E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'[INFORME DEUDA PUBLICA MUNICIPIO DE PASTO DICIEMBRE 31 DE 2017.xlsx]diciembre 2017'!$A$27:$A$29</c:f>
              <c:strCache>
                <c:ptCount val="3"/>
                <c:pt idx="0">
                  <c:v>BANCOLOMBIA</c:v>
                </c:pt>
                <c:pt idx="1">
                  <c:v>BANCO DE OCCIDENTE</c:v>
                </c:pt>
                <c:pt idx="2">
                  <c:v>BBVA</c:v>
                </c:pt>
              </c:strCache>
            </c:strRef>
          </c:cat>
          <c:val>
            <c:numRef>
              <c:f>'[INFORME DEUDA PUBLICA MUNICIPIO DE PASTO DICIEMBRE 31 DE 2017.xlsx]diciembre 2017'!$B$27:$B$29</c:f>
              <c:numCache>
                <c:formatCode>0%</c:formatCode>
                <c:ptCount val="3"/>
                <c:pt idx="0">
                  <c:v>0.36597236370329073</c:v>
                </c:pt>
                <c:pt idx="1">
                  <c:v>0.19871547244866669</c:v>
                </c:pt>
                <c:pt idx="2">
                  <c:v>0.43531216384804255</c:v>
                </c:pt>
              </c:numCache>
            </c:numRef>
          </c:val>
          <c:extLst xmlns:c16r2="http://schemas.microsoft.com/office/drawing/2015/06/chart">
            <c:ext xmlns:c16="http://schemas.microsoft.com/office/drawing/2014/chart" uri="{C3380CC4-5D6E-409C-BE32-E72D297353CC}">
              <c16:uniqueId val="{00000003-8FF8-496F-A52E-4E51526400FD}"/>
            </c:ext>
          </c:extLst>
        </c:ser>
        <c:dLbls>
          <c:showLegendKey val="0"/>
          <c:showVal val="0"/>
          <c:showCatName val="1"/>
          <c:showSerName val="0"/>
          <c:showPercent val="1"/>
          <c:showBubbleSize val="0"/>
          <c:showLeaderLines val="1"/>
        </c:dLbls>
      </c:pie3DChart>
    </c:plotArea>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31310713026543324"/>
          <c:y val="3.3422441411905361E-2"/>
          <c:w val="0.71281315821839319"/>
          <c:h val="0.55125982828262343"/>
        </c:manualLayout>
      </c:layout>
      <c:bar3DChart>
        <c:barDir val="col"/>
        <c:grouping val="clustered"/>
        <c:varyColors val="0"/>
        <c:ser>
          <c:idx val="0"/>
          <c:order val="0"/>
          <c:tx>
            <c:strRef>
              <c:f>'[INFORME DEUDA PUBLICA MUNICIPIO DE PASTO DICIEMBRE 31 DE 2017.xlsx]diciembre 2017'!$A$15</c:f>
              <c:strCache>
                <c:ptCount val="1"/>
                <c:pt idx="0">
                  <c:v>BANCOLOMBIA</c:v>
                </c:pt>
              </c:strCache>
            </c:strRef>
          </c:tx>
          <c:invertIfNegative val="0"/>
          <c:cat>
            <c:strRef>
              <c:f>'[INFORME DEUDA PUBLICA MUNICIPIO DE PASTO DICIEMBRE 31 DE 2017.xlsx]diciembre 2017'!$B$14:$D$14</c:f>
              <c:strCache>
                <c:ptCount val="3"/>
                <c:pt idx="0">
                  <c:v>DESEMBOLSOS</c:v>
                </c:pt>
                <c:pt idx="1">
                  <c:v>SALDO</c:v>
                </c:pt>
                <c:pt idx="2">
                  <c:v>AMORTIZACION</c:v>
                </c:pt>
              </c:strCache>
            </c:strRef>
          </c:cat>
          <c:val>
            <c:numRef>
              <c:f>'[INFORME DEUDA PUBLICA MUNICIPIO DE PASTO DICIEMBRE 31 DE 2017.xlsx]diciembre 2017'!$B$15:$D$15</c:f>
              <c:numCache>
                <c:formatCode>_ * #,##0_ ;_ * \-#,##0_ ;_ * "-"??_ ;_ @_ </c:formatCode>
                <c:ptCount val="3"/>
                <c:pt idx="0">
                  <c:v>33040000</c:v>
                </c:pt>
                <c:pt idx="1">
                  <c:v>8405330</c:v>
                </c:pt>
                <c:pt idx="2">
                  <c:v>24634670</c:v>
                </c:pt>
              </c:numCache>
            </c:numRef>
          </c:val>
          <c:extLst xmlns:c16r2="http://schemas.microsoft.com/office/drawing/2015/06/chart">
            <c:ext xmlns:c16="http://schemas.microsoft.com/office/drawing/2014/chart" uri="{C3380CC4-5D6E-409C-BE32-E72D297353CC}">
              <c16:uniqueId val="{00000000-64D4-43D5-AAED-CEA4E15CF469}"/>
            </c:ext>
          </c:extLst>
        </c:ser>
        <c:ser>
          <c:idx val="1"/>
          <c:order val="1"/>
          <c:tx>
            <c:strRef>
              <c:f>'[INFORME DEUDA PUBLICA MUNICIPIO DE PASTO DICIEMBRE 31 DE 2017.xlsx]diciembre 2017'!$A$16</c:f>
              <c:strCache>
                <c:ptCount val="1"/>
                <c:pt idx="0">
                  <c:v>BANCO DE OCCIDENTE</c:v>
                </c:pt>
              </c:strCache>
            </c:strRef>
          </c:tx>
          <c:invertIfNegative val="0"/>
          <c:cat>
            <c:strRef>
              <c:f>'[INFORME DEUDA PUBLICA MUNICIPIO DE PASTO DICIEMBRE 31 DE 2017.xlsx]diciembre 2017'!$B$14:$D$14</c:f>
              <c:strCache>
                <c:ptCount val="3"/>
                <c:pt idx="0">
                  <c:v>DESEMBOLSOS</c:v>
                </c:pt>
                <c:pt idx="1">
                  <c:v>SALDO</c:v>
                </c:pt>
                <c:pt idx="2">
                  <c:v>AMORTIZACION</c:v>
                </c:pt>
              </c:strCache>
            </c:strRef>
          </c:cat>
          <c:val>
            <c:numRef>
              <c:f>'[INFORME DEUDA PUBLICA MUNICIPIO DE PASTO DICIEMBRE 31 DE 2017.xlsx]diciembre 2017'!$B$16:$D$16</c:f>
              <c:numCache>
                <c:formatCode>_ * #,##0_ ;_ * \-#,##0_ ;_ * "-"??_ ;_ @_ </c:formatCode>
                <c:ptCount val="3"/>
                <c:pt idx="0">
                  <c:v>17940041</c:v>
                </c:pt>
                <c:pt idx="1">
                  <c:v>12472564</c:v>
                </c:pt>
                <c:pt idx="2">
                  <c:v>5467477</c:v>
                </c:pt>
              </c:numCache>
            </c:numRef>
          </c:val>
          <c:extLst xmlns:c16r2="http://schemas.microsoft.com/office/drawing/2015/06/chart">
            <c:ext xmlns:c16="http://schemas.microsoft.com/office/drawing/2014/chart" uri="{C3380CC4-5D6E-409C-BE32-E72D297353CC}">
              <c16:uniqueId val="{00000001-64D4-43D5-AAED-CEA4E15CF469}"/>
            </c:ext>
          </c:extLst>
        </c:ser>
        <c:ser>
          <c:idx val="2"/>
          <c:order val="2"/>
          <c:tx>
            <c:strRef>
              <c:f>'[INFORME DEUDA PUBLICA MUNICIPIO DE PASTO DICIEMBRE 31 DE 2017.xlsx]diciembre 2017'!$A$17</c:f>
              <c:strCache>
                <c:ptCount val="1"/>
                <c:pt idx="0">
                  <c:v>BBVA</c:v>
                </c:pt>
              </c:strCache>
            </c:strRef>
          </c:tx>
          <c:invertIfNegative val="0"/>
          <c:cat>
            <c:strRef>
              <c:f>'[INFORME DEUDA PUBLICA MUNICIPIO DE PASTO DICIEMBRE 31 DE 2017.xlsx]diciembre 2017'!$B$14:$D$14</c:f>
              <c:strCache>
                <c:ptCount val="3"/>
                <c:pt idx="0">
                  <c:v>DESEMBOLSOS</c:v>
                </c:pt>
                <c:pt idx="1">
                  <c:v>SALDO</c:v>
                </c:pt>
                <c:pt idx="2">
                  <c:v>AMORTIZACION</c:v>
                </c:pt>
              </c:strCache>
            </c:strRef>
          </c:cat>
          <c:val>
            <c:numRef>
              <c:f>'[INFORME DEUDA PUBLICA MUNICIPIO DE PASTO DICIEMBRE 31 DE 2017.xlsx]diciembre 2017'!$B$17:$D$17</c:f>
              <c:numCache>
                <c:formatCode>_ * #,##0_ ;_ * \-#,##0_ ;_ * "-"??_ ;_ @_ </c:formatCode>
                <c:ptCount val="3"/>
                <c:pt idx="0">
                  <c:v>39300000</c:v>
                </c:pt>
                <c:pt idx="1">
                  <c:v>34780000</c:v>
                </c:pt>
                <c:pt idx="2">
                  <c:v>4520000</c:v>
                </c:pt>
              </c:numCache>
            </c:numRef>
          </c:val>
          <c:extLst xmlns:c16r2="http://schemas.microsoft.com/office/drawing/2015/06/chart">
            <c:ext xmlns:c16="http://schemas.microsoft.com/office/drawing/2014/chart" uri="{C3380CC4-5D6E-409C-BE32-E72D297353CC}">
              <c16:uniqueId val="{00000002-64D4-43D5-AAED-CEA4E15CF469}"/>
            </c:ext>
          </c:extLst>
        </c:ser>
        <c:dLbls>
          <c:showLegendKey val="0"/>
          <c:showVal val="0"/>
          <c:showCatName val="0"/>
          <c:showSerName val="0"/>
          <c:showPercent val="0"/>
          <c:showBubbleSize val="0"/>
        </c:dLbls>
        <c:gapWidth val="150"/>
        <c:shape val="cylinder"/>
        <c:axId val="219296512"/>
        <c:axId val="219298048"/>
        <c:axId val="0"/>
      </c:bar3DChart>
      <c:catAx>
        <c:axId val="219296512"/>
        <c:scaling>
          <c:orientation val="minMax"/>
        </c:scaling>
        <c:delete val="0"/>
        <c:axPos val="b"/>
        <c:numFmt formatCode="General" sourceLinked="0"/>
        <c:majorTickMark val="out"/>
        <c:minorTickMark val="none"/>
        <c:tickLblPos val="nextTo"/>
        <c:crossAx val="219298048"/>
        <c:crosses val="autoZero"/>
        <c:auto val="1"/>
        <c:lblAlgn val="ctr"/>
        <c:lblOffset val="100"/>
        <c:noMultiLvlLbl val="0"/>
      </c:catAx>
      <c:valAx>
        <c:axId val="219298048"/>
        <c:scaling>
          <c:orientation val="minMax"/>
        </c:scaling>
        <c:delete val="0"/>
        <c:axPos val="l"/>
        <c:majorGridlines/>
        <c:numFmt formatCode="_ * #,##0_ ;_ * \-#,##0_ ;_ * &quot;-&quot;??_ ;_ @_ " sourceLinked="1"/>
        <c:majorTickMark val="out"/>
        <c:minorTickMark val="none"/>
        <c:tickLblPos val="nextTo"/>
        <c:txPr>
          <a:bodyPr/>
          <a:lstStyle/>
          <a:p>
            <a:pPr>
              <a:defRPr b="1"/>
            </a:pPr>
            <a:endParaRPr lang="es-ES"/>
          </a:p>
        </c:txPr>
        <c:crossAx val="219296512"/>
        <c:crosses val="autoZero"/>
        <c:crossBetween val="between"/>
      </c:valAx>
      <c:dTable>
        <c:showHorzBorder val="1"/>
        <c:showVertBorder val="1"/>
        <c:showOutline val="1"/>
        <c:showKeys val="0"/>
        <c:txPr>
          <a:bodyPr/>
          <a:lstStyle/>
          <a:p>
            <a:pPr rtl="0">
              <a:defRPr b="1"/>
            </a:pPr>
            <a:endParaRPr lang="es-ES"/>
          </a:p>
        </c:txPr>
      </c:dTable>
      <c:spPr>
        <a:solidFill>
          <a:schemeClr val="lt1"/>
        </a:solidFill>
        <a:ln w="25400" cap="flat" cmpd="sng" algn="ctr">
          <a:noFill/>
          <a:prstDash val="solid"/>
        </a:ln>
        <a:effectLst/>
      </c:spPr>
    </c:plotArea>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9715529308836396"/>
          <c:y val="0.25130796150481188"/>
          <c:w val="0.79173359580052483"/>
          <c:h val="0.54899496937882764"/>
        </c:manualLayout>
      </c:layout>
      <c:bar3DChart>
        <c:barDir val="col"/>
        <c:grouping val="clustered"/>
        <c:varyColors val="0"/>
        <c:ser>
          <c:idx val="0"/>
          <c:order val="0"/>
          <c:tx>
            <c:strRef>
              <c:f>'junio 2018'!$B$22</c:f>
              <c:strCache>
                <c:ptCount val="1"/>
                <c:pt idx="0">
                  <c:v>DESEMBOLSO</c:v>
                </c:pt>
              </c:strCache>
            </c:strRef>
          </c:tx>
          <c:invertIfNegative val="0"/>
          <c:cat>
            <c:strRef>
              <c:f>'junio 2018'!$A$23:$A$25</c:f>
              <c:strCache>
                <c:ptCount val="3"/>
                <c:pt idx="0">
                  <c:v>BANCOLOMBIA</c:v>
                </c:pt>
                <c:pt idx="1">
                  <c:v>BANCO DE OCCIDENTE</c:v>
                </c:pt>
                <c:pt idx="2">
                  <c:v>BBVA</c:v>
                </c:pt>
              </c:strCache>
            </c:strRef>
          </c:cat>
          <c:val>
            <c:numRef>
              <c:f>'junio 2018'!$B$23:$B$25</c:f>
              <c:numCache>
                <c:formatCode>_ * #,##0_ ;_ * \-#,##0_ ;_ * "-"??_ ;_ @_ </c:formatCode>
                <c:ptCount val="3"/>
                <c:pt idx="0">
                  <c:v>33040000</c:v>
                </c:pt>
                <c:pt idx="1">
                  <c:v>17940000</c:v>
                </c:pt>
                <c:pt idx="2">
                  <c:v>39300000</c:v>
                </c:pt>
              </c:numCache>
            </c:numRef>
          </c:val>
          <c:extLst xmlns:c16r2="http://schemas.microsoft.com/office/drawing/2015/06/chart">
            <c:ext xmlns:c16="http://schemas.microsoft.com/office/drawing/2014/chart" uri="{C3380CC4-5D6E-409C-BE32-E72D297353CC}">
              <c16:uniqueId val="{00000000-95FF-4F6F-B7A4-5229490398D6}"/>
            </c:ext>
          </c:extLst>
        </c:ser>
        <c:ser>
          <c:idx val="1"/>
          <c:order val="1"/>
          <c:tx>
            <c:strRef>
              <c:f>'junio 2018'!$C$22</c:f>
              <c:strCache>
                <c:ptCount val="1"/>
                <c:pt idx="0">
                  <c:v>SALDO</c:v>
                </c:pt>
              </c:strCache>
            </c:strRef>
          </c:tx>
          <c:invertIfNegative val="0"/>
          <c:cat>
            <c:strRef>
              <c:f>'junio 2018'!$A$23:$A$25</c:f>
              <c:strCache>
                <c:ptCount val="3"/>
                <c:pt idx="0">
                  <c:v>BANCOLOMBIA</c:v>
                </c:pt>
                <c:pt idx="1">
                  <c:v>BANCO DE OCCIDENTE</c:v>
                </c:pt>
                <c:pt idx="2">
                  <c:v>BBVA</c:v>
                </c:pt>
              </c:strCache>
            </c:strRef>
          </c:cat>
          <c:val>
            <c:numRef>
              <c:f>'junio 2018'!$C$23:$C$25</c:f>
              <c:numCache>
                <c:formatCode>_ * #,##0_ ;_ * \-#,##0_ ;_ * "-"??_ ;_ @_ </c:formatCode>
                <c:ptCount val="3"/>
                <c:pt idx="0">
                  <c:v>11826330</c:v>
                </c:pt>
                <c:pt idx="1">
                  <c:v>11181447</c:v>
                </c:pt>
                <c:pt idx="2">
                  <c:v>32706250</c:v>
                </c:pt>
              </c:numCache>
            </c:numRef>
          </c:val>
          <c:extLst xmlns:c16r2="http://schemas.microsoft.com/office/drawing/2015/06/chart">
            <c:ext xmlns:c16="http://schemas.microsoft.com/office/drawing/2014/chart" uri="{C3380CC4-5D6E-409C-BE32-E72D297353CC}">
              <c16:uniqueId val="{00000001-95FF-4F6F-B7A4-5229490398D6}"/>
            </c:ext>
          </c:extLst>
        </c:ser>
        <c:ser>
          <c:idx val="2"/>
          <c:order val="2"/>
          <c:tx>
            <c:strRef>
              <c:f>'junio 2018'!$D$22</c:f>
              <c:strCache>
                <c:ptCount val="1"/>
                <c:pt idx="0">
                  <c:v>AMORTIZACION</c:v>
                </c:pt>
              </c:strCache>
            </c:strRef>
          </c:tx>
          <c:invertIfNegative val="0"/>
          <c:cat>
            <c:strRef>
              <c:f>'junio 2018'!$A$23:$A$25</c:f>
              <c:strCache>
                <c:ptCount val="3"/>
                <c:pt idx="0">
                  <c:v>BANCOLOMBIA</c:v>
                </c:pt>
                <c:pt idx="1">
                  <c:v>BANCO DE OCCIDENTE</c:v>
                </c:pt>
                <c:pt idx="2">
                  <c:v>BBVA</c:v>
                </c:pt>
              </c:strCache>
            </c:strRef>
          </c:cat>
          <c:val>
            <c:numRef>
              <c:f>'junio 2018'!$D$23:$D$25</c:f>
              <c:numCache>
                <c:formatCode>_ * #,##0_ ;_ * \-#,##0_ ;_ * "-"??_ ;_ @_ </c:formatCode>
                <c:ptCount val="3"/>
                <c:pt idx="0">
                  <c:v>21213670</c:v>
                </c:pt>
                <c:pt idx="1">
                  <c:v>6758594</c:v>
                </c:pt>
                <c:pt idx="2">
                  <c:v>6593750</c:v>
                </c:pt>
              </c:numCache>
            </c:numRef>
          </c:val>
          <c:extLst xmlns:c16r2="http://schemas.microsoft.com/office/drawing/2015/06/chart">
            <c:ext xmlns:c16="http://schemas.microsoft.com/office/drawing/2014/chart" uri="{C3380CC4-5D6E-409C-BE32-E72D297353CC}">
              <c16:uniqueId val="{00000002-95FF-4F6F-B7A4-5229490398D6}"/>
            </c:ext>
          </c:extLst>
        </c:ser>
        <c:dLbls>
          <c:showLegendKey val="0"/>
          <c:showVal val="0"/>
          <c:showCatName val="0"/>
          <c:showSerName val="0"/>
          <c:showPercent val="0"/>
          <c:showBubbleSize val="0"/>
        </c:dLbls>
        <c:gapWidth val="75"/>
        <c:shape val="cylinder"/>
        <c:axId val="219379968"/>
        <c:axId val="219381760"/>
        <c:axId val="0"/>
      </c:bar3DChart>
      <c:catAx>
        <c:axId val="219379968"/>
        <c:scaling>
          <c:orientation val="minMax"/>
        </c:scaling>
        <c:delete val="0"/>
        <c:axPos val="b"/>
        <c:numFmt formatCode="General" sourceLinked="0"/>
        <c:majorTickMark val="none"/>
        <c:minorTickMark val="none"/>
        <c:tickLblPos val="nextTo"/>
        <c:crossAx val="219381760"/>
        <c:crosses val="autoZero"/>
        <c:auto val="1"/>
        <c:lblAlgn val="ctr"/>
        <c:lblOffset val="100"/>
        <c:noMultiLvlLbl val="0"/>
      </c:catAx>
      <c:valAx>
        <c:axId val="219381760"/>
        <c:scaling>
          <c:orientation val="minMax"/>
        </c:scaling>
        <c:delete val="0"/>
        <c:axPos val="l"/>
        <c:majorGridlines/>
        <c:numFmt formatCode="_ * #,##0_ ;_ * \-#,##0_ ;_ * &quot;-&quot;??_ ;_ @_ " sourceLinked="1"/>
        <c:majorTickMark val="none"/>
        <c:minorTickMark val="none"/>
        <c:tickLblPos val="nextTo"/>
        <c:crossAx val="219379968"/>
        <c:crosses val="autoZero"/>
        <c:crossBetween val="between"/>
      </c:valAx>
      <c:dTable>
        <c:showHorzBorder val="1"/>
        <c:showVertBorder val="1"/>
        <c:showOutline val="1"/>
        <c:showKeys val="1"/>
        <c:spPr>
          <a:noFill/>
          <a:ln w="9525" cap="flat" cmpd="sng" algn="ctr">
            <a:solidFill>
              <a:schemeClr val="accent3">
                <a:shade val="95000"/>
                <a:satMod val="105000"/>
              </a:schemeClr>
            </a:solidFill>
            <a:prstDash val="solid"/>
          </a:ln>
          <a:effectLst/>
        </c:spPr>
        <c:txPr>
          <a:bodyPr/>
          <a:lstStyle/>
          <a:p>
            <a:pPr rtl="0">
              <a:defRPr b="1"/>
            </a:pPr>
            <a:endParaRPr lang="es-ES"/>
          </a:p>
        </c:txPr>
      </c:dTable>
    </c:plotArea>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48"/>
    </mc:Choice>
    <mc:Fallback>
      <c:style val="4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152937278189066E-2"/>
          <c:y val="0.18051603500422397"/>
          <c:w val="0.8861338844272364"/>
          <c:h val="0.6573844854159816"/>
        </c:manualLayout>
      </c:layout>
      <c:areaChart>
        <c:grouping val="stacked"/>
        <c:varyColors val="0"/>
        <c:ser>
          <c:idx val="1"/>
          <c:order val="1"/>
          <c:tx>
            <c:strRef>
              <c:f>INDICADORES!$D$15</c:f>
              <c:strCache>
                <c:ptCount val="1"/>
                <c:pt idx="0">
                  <c:v>Valor del indicador</c:v>
                </c:pt>
              </c:strCache>
            </c:strRef>
          </c:tx>
          <c:dLbls>
            <c:dLbl>
              <c:idx val="0"/>
              <c:layout>
                <c:manualLayout>
                  <c:x val="1.4765596160944998E-3"/>
                  <c:y val="-5.8968058968058956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973-416E-B767-9122DB2FF85E}"/>
                </c:ext>
              </c:extLst>
            </c:dLbl>
            <c:dLbl>
              <c:idx val="1"/>
              <c:layout>
                <c:manualLayout>
                  <c:x val="1.4765596160945269E-3"/>
                  <c:y val="-6.5520065520065507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973-416E-B767-9122DB2FF85E}"/>
                </c:ext>
              </c:extLst>
            </c:dLbl>
            <c:dLbl>
              <c:idx val="2"/>
              <c:layout>
                <c:manualLayout>
                  <c:x val="0"/>
                  <c:y val="-5.8968058968058956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973-416E-B767-9122DB2FF85E}"/>
                </c:ext>
              </c:extLst>
            </c:dLbl>
            <c:dLbl>
              <c:idx val="3"/>
              <c:layout>
                <c:manualLayout>
                  <c:x val="-1.476559616094554E-3"/>
                  <c:y val="-5.2416052416052419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973-416E-B767-9122DB2FF85E}"/>
                </c:ext>
              </c:extLst>
            </c:dLbl>
            <c:dLbl>
              <c:idx val="4"/>
              <c:layout>
                <c:manualLayout>
                  <c:x val="0"/>
                  <c:y val="-5.5692055692055695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973-416E-B767-9122DB2FF85E}"/>
                </c:ext>
              </c:extLst>
            </c:dLbl>
            <c:dLbl>
              <c:idx val="5"/>
              <c:layout>
                <c:manualLayout>
                  <c:x val="-1.4765596160944998E-3"/>
                  <c:y val="-5.2416052416052419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973-416E-B767-9122DB2FF85E}"/>
                </c:ext>
              </c:extLst>
            </c:dLbl>
            <c:dLbl>
              <c:idx val="6"/>
              <c:layout>
                <c:manualLayout>
                  <c:x val="5.9062384643780077E-3"/>
                  <c:y val="-4.2588042588042566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973-416E-B767-9122DB2FF85E}"/>
                </c:ext>
              </c:extLst>
            </c:dLbl>
            <c:dLbl>
              <c:idx val="7"/>
              <c:layout>
                <c:manualLayout>
                  <c:x val="0"/>
                  <c:y val="-4.9140049140049137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973-416E-B767-9122DB2FF85E}"/>
                </c:ext>
              </c:extLst>
            </c:dLbl>
            <c:dLbl>
              <c:idx val="8"/>
              <c:layout>
                <c:manualLayout>
                  <c:x val="-1.4765596160944998E-3"/>
                  <c:y val="-5.2416052416052419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973-416E-B767-9122DB2FF85E}"/>
                </c:ext>
              </c:extLst>
            </c:dLbl>
            <c:dLbl>
              <c:idx val="9"/>
              <c:layout>
                <c:manualLayout>
                  <c:x val="-4.4297951128200912E-3"/>
                  <c:y val="-6.2244062244062245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973-416E-B767-9122DB2FF85E}"/>
                </c:ext>
              </c:extLst>
            </c:dLbl>
            <c:dLbl>
              <c:idx val="10"/>
              <c:layout>
                <c:manualLayout>
                  <c:x val="-1.4765596160944998E-3"/>
                  <c:y val="-6.55200655200655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973-416E-B767-9122DB2FF85E}"/>
                </c:ext>
              </c:extLst>
            </c:dLbl>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INDICADORES!$D$16:$D$26</c:f>
              <c:numCache>
                <c:formatCode>General</c:formatCode>
                <c:ptCount val="11"/>
                <c:pt idx="0">
                  <c:v>3.36</c:v>
                </c:pt>
                <c:pt idx="1">
                  <c:v>5.64</c:v>
                </c:pt>
                <c:pt idx="2">
                  <c:v>3.08</c:v>
                </c:pt>
                <c:pt idx="3">
                  <c:v>3.46</c:v>
                </c:pt>
                <c:pt idx="4">
                  <c:v>2.2999999999999998</c:v>
                </c:pt>
                <c:pt idx="5">
                  <c:v>2.84</c:v>
                </c:pt>
                <c:pt idx="6">
                  <c:v>2.48</c:v>
                </c:pt>
                <c:pt idx="7">
                  <c:v>3.4</c:v>
                </c:pt>
                <c:pt idx="8">
                  <c:v>4.58</c:v>
                </c:pt>
                <c:pt idx="9">
                  <c:v>6.24</c:v>
                </c:pt>
                <c:pt idx="10">
                  <c:v>6.4</c:v>
                </c:pt>
              </c:numCache>
            </c:numRef>
          </c:val>
          <c:extLst xmlns:c16r2="http://schemas.microsoft.com/office/drawing/2015/06/chart">
            <c:ext xmlns:c16="http://schemas.microsoft.com/office/drawing/2014/chart" uri="{C3380CC4-5D6E-409C-BE32-E72D297353CC}">
              <c16:uniqueId val="{0000000B-9973-416E-B767-9122DB2FF85E}"/>
            </c:ext>
          </c:extLst>
        </c:ser>
        <c:dLbls>
          <c:showLegendKey val="0"/>
          <c:showVal val="0"/>
          <c:showCatName val="0"/>
          <c:showSerName val="0"/>
          <c:showPercent val="0"/>
          <c:showBubbleSize val="0"/>
        </c:dLbls>
        <c:axId val="221720576"/>
        <c:axId val="221722112"/>
      </c:areaChart>
      <c:lineChart>
        <c:grouping val="standard"/>
        <c:varyColors val="0"/>
        <c:ser>
          <c:idx val="0"/>
          <c:order val="0"/>
          <c:tx>
            <c:strRef>
              <c:f>INDICADORES!$B$15</c:f>
              <c:strCache>
                <c:ptCount val="1"/>
                <c:pt idx="0">
                  <c:v>Valor máximo</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973-416E-B767-9122DB2FF85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973-416E-B767-9122DB2FF85E}"/>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973-416E-B767-9122DB2FF85E}"/>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973-416E-B767-9122DB2FF85E}"/>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973-416E-B767-9122DB2FF85E}"/>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973-416E-B767-9122DB2FF85E}"/>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9973-416E-B767-9122DB2FF85E}"/>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9973-416E-B767-9122DB2FF85E}"/>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9973-416E-B767-9122DB2FF85E}"/>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9973-416E-B767-9122DB2FF85E}"/>
                </c:ext>
              </c:extLst>
            </c:dLbl>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INDICADORES!$A$16:$A$26</c:f>
              <c:numCache>
                <c:formatCode>#,##0</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INDICADORES!$B$16:$B$26</c:f>
              <c:numCache>
                <c:formatCode>General</c:formatCode>
                <c:ptCount val="11"/>
                <c:pt idx="0">
                  <c:v>40</c:v>
                </c:pt>
                <c:pt idx="1">
                  <c:v>40</c:v>
                </c:pt>
                <c:pt idx="2">
                  <c:v>40</c:v>
                </c:pt>
                <c:pt idx="3">
                  <c:v>40</c:v>
                </c:pt>
                <c:pt idx="4">
                  <c:v>40</c:v>
                </c:pt>
                <c:pt idx="5">
                  <c:v>40</c:v>
                </c:pt>
                <c:pt idx="6">
                  <c:v>40</c:v>
                </c:pt>
                <c:pt idx="7">
                  <c:v>40</c:v>
                </c:pt>
                <c:pt idx="8">
                  <c:v>40</c:v>
                </c:pt>
                <c:pt idx="9">
                  <c:v>40</c:v>
                </c:pt>
                <c:pt idx="10">
                  <c:v>40</c:v>
                </c:pt>
              </c:numCache>
            </c:numRef>
          </c:val>
          <c:smooth val="0"/>
          <c:extLst xmlns:c16r2="http://schemas.microsoft.com/office/drawing/2015/06/chart">
            <c:ext xmlns:c16="http://schemas.microsoft.com/office/drawing/2014/chart" uri="{C3380CC4-5D6E-409C-BE32-E72D297353CC}">
              <c16:uniqueId val="{00000016-9973-416E-B767-9122DB2FF85E}"/>
            </c:ext>
          </c:extLst>
        </c:ser>
        <c:dLbls>
          <c:showLegendKey val="0"/>
          <c:showVal val="0"/>
          <c:showCatName val="0"/>
          <c:showSerName val="0"/>
          <c:showPercent val="0"/>
          <c:showBubbleSize val="0"/>
        </c:dLbls>
        <c:marker val="1"/>
        <c:smooth val="0"/>
        <c:axId val="221720576"/>
        <c:axId val="221722112"/>
      </c:lineChart>
      <c:catAx>
        <c:axId val="221720576"/>
        <c:scaling>
          <c:orientation val="minMax"/>
        </c:scaling>
        <c:delete val="0"/>
        <c:axPos val="b"/>
        <c:majorGridlines/>
        <c:numFmt formatCode="General" sourceLinked="1"/>
        <c:majorTickMark val="out"/>
        <c:minorTickMark val="none"/>
        <c:tickLblPos val="nextTo"/>
        <c:crossAx val="221722112"/>
        <c:crosses val="autoZero"/>
        <c:auto val="1"/>
        <c:lblAlgn val="ctr"/>
        <c:lblOffset val="100"/>
        <c:noMultiLvlLbl val="0"/>
      </c:catAx>
      <c:valAx>
        <c:axId val="221722112"/>
        <c:scaling>
          <c:orientation val="minMax"/>
        </c:scaling>
        <c:delete val="0"/>
        <c:axPos val="l"/>
        <c:majorGridlines/>
        <c:numFmt formatCode="General" sourceLinked="1"/>
        <c:majorTickMark val="out"/>
        <c:minorTickMark val="none"/>
        <c:tickLblPos val="nextTo"/>
        <c:crossAx val="221720576"/>
        <c:crosses val="autoZero"/>
        <c:crossBetween val="between"/>
        <c:majorUnit val="10"/>
      </c:valAx>
      <c:spPr>
        <a:noFill/>
      </c:spPr>
    </c:plotArea>
    <c:legend>
      <c:legendPos val="r"/>
      <c:layout>
        <c:manualLayout>
          <c:xMode val="edge"/>
          <c:yMode val="edge"/>
          <c:x val="7.7519379844961239E-3"/>
          <c:y val="0.90171990171990168"/>
          <c:w val="0.98338870431893688"/>
          <c:h val="8.3538083538083563E-2"/>
        </c:manualLayout>
      </c:layout>
      <c:overlay val="0"/>
    </c:legend>
    <c:plotVisOnly val="1"/>
    <c:dispBlanksAs val="zero"/>
    <c:showDLblsOverMax val="0"/>
  </c:chart>
  <c:spPr>
    <a:noFill/>
    <a:ln>
      <a:noFill/>
    </a:ln>
  </c:spPr>
  <c:txPr>
    <a:bodyPr/>
    <a:lstStyle/>
    <a:p>
      <a:pPr>
        <a:defRPr>
          <a:solidFill>
            <a:schemeClr val="tx1"/>
          </a:solidFill>
        </a:defRPr>
      </a:pPr>
      <a:endParaRPr lang="es-E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48"/>
    </mc:Choice>
    <mc:Fallback>
      <c:style val="4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645622526582838E-2"/>
          <c:y val="0.18674738238365365"/>
          <c:w val="0.92855853486020246"/>
          <c:h val="0.62156492535207297"/>
        </c:manualLayout>
      </c:layout>
      <c:areaChart>
        <c:grouping val="stacked"/>
        <c:varyColors val="0"/>
        <c:ser>
          <c:idx val="2"/>
          <c:order val="2"/>
          <c:tx>
            <c:strRef>
              <c:f>INDICADORES!$A$32:$D$32</c:f>
              <c:strCache>
                <c:ptCount val="1"/>
                <c:pt idx="0">
                  <c:v>AÑO Valor máximo Promedio Valor anual</c:v>
                </c:pt>
              </c:strCache>
            </c:strRef>
          </c:tx>
          <c:dLbls>
            <c:dLbl>
              <c:idx val="0"/>
              <c:layout>
                <c:manualLayout>
                  <c:x val="7.4239049740163323E-3"/>
                  <c:y val="-0.1218637992831541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858-4E63-990B-88BB7F942D4E}"/>
                </c:ext>
              </c:extLst>
            </c:dLbl>
            <c:dLbl>
              <c:idx val="1"/>
              <c:layout>
                <c:manualLayout>
                  <c:x val="-2.9695619896065359E-3"/>
                  <c:y val="-0.12903225806451607"/>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858-4E63-990B-88BB7F942D4E}"/>
                </c:ext>
              </c:extLst>
            </c:dLbl>
            <c:dLbl>
              <c:idx val="2"/>
              <c:layout>
                <c:manualLayout>
                  <c:x val="-1.4847809948032665E-3"/>
                  <c:y val="-0.1111111111111111"/>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858-4E63-990B-88BB7F942D4E}"/>
                </c:ext>
              </c:extLst>
            </c:dLbl>
            <c:dLbl>
              <c:idx val="3"/>
              <c:layout>
                <c:manualLayout>
                  <c:x val="2.9695619896065876E-3"/>
                  <c:y val="-0.20071684587813621"/>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858-4E63-990B-88BB7F942D4E}"/>
                </c:ext>
              </c:extLst>
            </c:dLbl>
            <c:dLbl>
              <c:idx val="4"/>
              <c:layout>
                <c:manualLayout>
                  <c:x val="1.4847809948032688E-3"/>
                  <c:y val="-0.12903225806451618"/>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858-4E63-990B-88BB7F942D4E}"/>
                </c:ext>
              </c:extLst>
            </c:dLbl>
            <c:dLbl>
              <c:idx val="5"/>
              <c:layout>
                <c:manualLayout>
                  <c:x val="0"/>
                  <c:y val="-9.6774193548387205E-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858-4E63-990B-88BB7F942D4E}"/>
                </c:ext>
              </c:extLst>
            </c:dLbl>
            <c:dLbl>
              <c:idx val="6"/>
              <c:layout>
                <c:manualLayout>
                  <c:x val="-2.9695619896065329E-3"/>
                  <c:y val="-0.10752688172043011"/>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858-4E63-990B-88BB7F942D4E}"/>
                </c:ext>
              </c:extLst>
            </c:dLbl>
            <c:dLbl>
              <c:idx val="7"/>
              <c:layout>
                <c:manualLayout>
                  <c:x val="-1.4847809948032665E-3"/>
                  <c:y val="-0.186379928315412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858-4E63-990B-88BB7F942D4E}"/>
                </c:ext>
              </c:extLst>
            </c:dLbl>
            <c:dLbl>
              <c:idx val="8"/>
              <c:layout>
                <c:manualLayout>
                  <c:x val="1.0888268179687477E-16"/>
                  <c:y val="-0.21863799283154123"/>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858-4E63-990B-88BB7F942D4E}"/>
                </c:ext>
              </c:extLst>
            </c:dLbl>
            <c:dLbl>
              <c:idx val="9"/>
              <c:layout>
                <c:manualLayout>
                  <c:x val="1.4847809948032665E-3"/>
                  <c:y val="-0.18996415770609312"/>
                </c:manualLayout>
              </c:layout>
              <c:spPr/>
              <c:txPr>
                <a:bodyPr/>
                <a:lstStyle/>
                <a:p>
                  <a:pPr>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858-4E63-990B-88BB7F942D4E}"/>
                </c:ext>
              </c:extLst>
            </c:dLbl>
            <c:dLbl>
              <c:idx val="10"/>
              <c:layout>
                <c:manualLayout>
                  <c:x val="2.9695619896064241E-3"/>
                  <c:y val="-0.1644900316281500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858-4E63-990B-88BB7F942D4E}"/>
                </c:ext>
              </c:extLst>
            </c:dLbl>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INDICADORES!$D$33:$D$43</c:f>
              <c:numCache>
                <c:formatCode>General</c:formatCode>
                <c:ptCount val="11"/>
                <c:pt idx="0">
                  <c:v>26.28</c:v>
                </c:pt>
                <c:pt idx="1">
                  <c:v>32.06</c:v>
                </c:pt>
                <c:pt idx="2">
                  <c:v>20.64</c:v>
                </c:pt>
                <c:pt idx="3">
                  <c:v>48.67</c:v>
                </c:pt>
                <c:pt idx="4">
                  <c:v>27.8</c:v>
                </c:pt>
                <c:pt idx="5">
                  <c:v>19.850000000000001</c:v>
                </c:pt>
                <c:pt idx="6">
                  <c:v>23.77</c:v>
                </c:pt>
                <c:pt idx="7">
                  <c:v>44.35</c:v>
                </c:pt>
                <c:pt idx="8">
                  <c:v>54.58</c:v>
                </c:pt>
                <c:pt idx="9">
                  <c:v>43.32</c:v>
                </c:pt>
                <c:pt idx="10">
                  <c:v>42.13</c:v>
                </c:pt>
              </c:numCache>
            </c:numRef>
          </c:val>
          <c:extLst xmlns:c16r2="http://schemas.microsoft.com/office/drawing/2015/06/chart">
            <c:ext xmlns:c16="http://schemas.microsoft.com/office/drawing/2014/chart" uri="{C3380CC4-5D6E-409C-BE32-E72D297353CC}">
              <c16:uniqueId val="{0000000B-9858-4E63-990B-88BB7F942D4E}"/>
            </c:ext>
          </c:extLst>
        </c:ser>
        <c:dLbls>
          <c:showLegendKey val="0"/>
          <c:showVal val="0"/>
          <c:showCatName val="0"/>
          <c:showSerName val="0"/>
          <c:showPercent val="0"/>
          <c:showBubbleSize val="0"/>
        </c:dLbls>
        <c:axId val="223540352"/>
        <c:axId val="223541888"/>
      </c:areaChart>
      <c:lineChart>
        <c:grouping val="standard"/>
        <c:varyColors val="0"/>
        <c:ser>
          <c:idx val="0"/>
          <c:order val="0"/>
          <c:tx>
            <c:strRef>
              <c:f>INDICADORES!$B$32</c:f>
              <c:strCache>
                <c:ptCount val="1"/>
                <c:pt idx="0">
                  <c:v>Valor máximo</c:v>
                </c:pt>
              </c:strCache>
            </c:strRef>
          </c:tx>
          <c:cat>
            <c:numRef>
              <c:f>INDICADORES!$A$33:$A$43</c:f>
              <c:numCache>
                <c:formatCode>#,##0</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INDICADORES!$B$33:$B$43</c:f>
              <c:numCache>
                <c:formatCode>General</c:formatCode>
                <c:ptCount val="11"/>
                <c:pt idx="0">
                  <c:v>80</c:v>
                </c:pt>
                <c:pt idx="1">
                  <c:v>80</c:v>
                </c:pt>
                <c:pt idx="2">
                  <c:v>80</c:v>
                </c:pt>
                <c:pt idx="3">
                  <c:v>80</c:v>
                </c:pt>
                <c:pt idx="4">
                  <c:v>80</c:v>
                </c:pt>
                <c:pt idx="5">
                  <c:v>80</c:v>
                </c:pt>
                <c:pt idx="6">
                  <c:v>80</c:v>
                </c:pt>
                <c:pt idx="7">
                  <c:v>80</c:v>
                </c:pt>
                <c:pt idx="8">
                  <c:v>80</c:v>
                </c:pt>
                <c:pt idx="9">
                  <c:v>80</c:v>
                </c:pt>
                <c:pt idx="10">
                  <c:v>80</c:v>
                </c:pt>
              </c:numCache>
            </c:numRef>
          </c:val>
          <c:smooth val="0"/>
          <c:extLst xmlns:c16r2="http://schemas.microsoft.com/office/drawing/2015/06/chart">
            <c:ext xmlns:c16="http://schemas.microsoft.com/office/drawing/2014/chart" uri="{C3380CC4-5D6E-409C-BE32-E72D297353CC}">
              <c16:uniqueId val="{0000000C-9858-4E63-990B-88BB7F942D4E}"/>
            </c:ext>
          </c:extLst>
        </c:ser>
        <c:ser>
          <c:idx val="1"/>
          <c:order val="1"/>
          <c:tx>
            <c:strRef>
              <c:f>INDICADORES!$C$32</c:f>
              <c:strCache>
                <c:ptCount val="1"/>
                <c:pt idx="0">
                  <c:v>Promedio</c:v>
                </c:pt>
              </c:strCache>
            </c:strRef>
          </c:tx>
          <c:marker>
            <c:symbol val="none"/>
          </c:marker>
          <c:cat>
            <c:numRef>
              <c:f>INDICADORES!$A$33:$A$43</c:f>
              <c:numCache>
                <c:formatCode>#,##0</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INDICADORES!$C$33:$C$39</c:f>
              <c:numCache>
                <c:formatCode>General</c:formatCode>
                <c:ptCount val="7"/>
              </c:numCache>
            </c:numRef>
          </c:val>
          <c:smooth val="1"/>
          <c:extLst xmlns:c16r2="http://schemas.microsoft.com/office/drawing/2015/06/chart">
            <c:ext xmlns:c16="http://schemas.microsoft.com/office/drawing/2014/chart" uri="{C3380CC4-5D6E-409C-BE32-E72D297353CC}">
              <c16:uniqueId val="{0000000D-9858-4E63-990B-88BB7F942D4E}"/>
            </c:ext>
          </c:extLst>
        </c:ser>
        <c:dLbls>
          <c:showLegendKey val="0"/>
          <c:showVal val="0"/>
          <c:showCatName val="0"/>
          <c:showSerName val="0"/>
          <c:showPercent val="0"/>
          <c:showBubbleSize val="0"/>
        </c:dLbls>
        <c:marker val="1"/>
        <c:smooth val="0"/>
        <c:axId val="223540352"/>
        <c:axId val="223541888"/>
      </c:lineChart>
      <c:catAx>
        <c:axId val="223540352"/>
        <c:scaling>
          <c:orientation val="minMax"/>
        </c:scaling>
        <c:delete val="0"/>
        <c:axPos val="b"/>
        <c:majorGridlines/>
        <c:minorGridlines/>
        <c:numFmt formatCode="General" sourceLinked="1"/>
        <c:majorTickMark val="out"/>
        <c:minorTickMark val="none"/>
        <c:tickLblPos val="nextTo"/>
        <c:crossAx val="223541888"/>
        <c:crosses val="autoZero"/>
        <c:auto val="1"/>
        <c:lblAlgn val="ctr"/>
        <c:lblOffset val="100"/>
        <c:noMultiLvlLbl val="0"/>
      </c:catAx>
      <c:valAx>
        <c:axId val="223541888"/>
        <c:scaling>
          <c:orientation val="minMax"/>
        </c:scaling>
        <c:delete val="0"/>
        <c:axPos val="l"/>
        <c:majorGridlines/>
        <c:numFmt formatCode="#,##0" sourceLinked="0"/>
        <c:majorTickMark val="out"/>
        <c:minorTickMark val="none"/>
        <c:tickLblPos val="nextTo"/>
        <c:crossAx val="223540352"/>
        <c:crosses val="autoZero"/>
        <c:crossBetween val="between"/>
        <c:majorUnit val="22.5"/>
      </c:valAx>
      <c:spPr>
        <a:noFill/>
      </c:spPr>
    </c:plotArea>
    <c:legend>
      <c:legendPos val="r"/>
      <c:legendEntry>
        <c:idx val="2"/>
        <c:delete val="1"/>
      </c:legendEntry>
      <c:layout>
        <c:manualLayout>
          <c:xMode val="edge"/>
          <c:yMode val="edge"/>
          <c:x val="1.9040591063638267E-2"/>
          <c:y val="0.9126552331643476"/>
          <c:w val="0.97884245538350023"/>
          <c:h val="4.8387096774193505E-2"/>
        </c:manualLayout>
      </c:layout>
      <c:overlay val="0"/>
    </c:legend>
    <c:plotVisOnly val="1"/>
    <c:dispBlanksAs val="zero"/>
    <c:showDLblsOverMax val="0"/>
  </c:chart>
  <c:spPr>
    <a:noFill/>
    <a:ln>
      <a:noFill/>
    </a:ln>
  </c:spPr>
  <c:txPr>
    <a:bodyPr/>
    <a:lstStyle/>
    <a:p>
      <a:pPr>
        <a:defRPr>
          <a:solidFill>
            <a:schemeClr val="tx1"/>
          </a:solidFill>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013888888888889"/>
          <c:w val="0.72222222222222221"/>
          <c:h val="0.68518518518518523"/>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DA1C-49BD-B86F-90CFFF5F763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DA1C-49BD-B86F-90CFFF5F763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DA1C-49BD-B86F-90CFFF5F763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DA1C-49BD-B86F-90CFFF5F7636}"/>
              </c:ext>
            </c:extLst>
          </c:dPt>
          <c:dLbls>
            <c:dLbl>
              <c:idx val="0"/>
              <c:layout>
                <c:manualLayout>
                  <c:x val="2.7777777777777779E-3"/>
                  <c:y val="2.314814814814814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s-E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30408333333333332"/>
                      <c:h val="0.18898148148148147"/>
                    </c:manualLayout>
                  </c15:layout>
                </c:ext>
                <c:ext xmlns:c16="http://schemas.microsoft.com/office/drawing/2014/chart" uri="{C3380CC4-5D6E-409C-BE32-E72D297353CC}">
                  <c16:uniqueId val="{00000001-DA1C-49BD-B86F-90CFFF5F7636}"/>
                </c:ext>
              </c:extLst>
            </c:dLbl>
            <c:dLbl>
              <c:idx val="1"/>
              <c:layout>
                <c:manualLayout>
                  <c:x val="-3.4883720930232558E-2"/>
                  <c:y val="0"/>
                </c:manualLayout>
              </c:layout>
              <c:dLblPos val="bestFit"/>
              <c:showLegendKey val="0"/>
              <c:showVal val="0"/>
              <c:showCatName val="1"/>
              <c:showSerName val="0"/>
              <c:showPercent val="1"/>
              <c:showBubbleSize val="0"/>
            </c:dLbl>
            <c:dLbl>
              <c:idx val="2"/>
              <c:layout>
                <c:manualLayout>
                  <c:x val="-1.1111111111111112E-2"/>
                  <c:y val="0"/>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s-E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5295822397200352"/>
                      <c:h val="0.14173629337999416"/>
                    </c:manualLayout>
                  </c15:layout>
                </c:ext>
                <c:ext xmlns:c16="http://schemas.microsoft.com/office/drawing/2014/chart" uri="{C3380CC4-5D6E-409C-BE32-E72D297353CC}">
                  <c16:uniqueId val="{00000005-DA1C-49BD-B86F-90CFFF5F7636}"/>
                </c:ext>
              </c:extLst>
            </c:dLbl>
            <c:dLbl>
              <c:idx val="3"/>
              <c:layout>
                <c:manualLayout>
                  <c:x val="8.3333333333333332E-3"/>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11308333333333333"/>
                      <c:h val="0.12689814814814815"/>
                    </c:manualLayout>
                  </c15:layout>
                </c:ext>
                <c:ext xmlns:c16="http://schemas.microsoft.com/office/drawing/2014/chart" uri="{C3380CC4-5D6E-409C-BE32-E72D297353CC}">
                  <c16:uniqueId val="{00000007-DA1C-49BD-B86F-90CFFF5F763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Hoja1!$A$13:$A$16</c:f>
              <c:strCache>
                <c:ptCount val="4"/>
                <c:pt idx="0">
                  <c:v>Acciones constitucionales</c:v>
                </c:pt>
                <c:pt idx="1">
                  <c:v>Demandas administrativas</c:v>
                </c:pt>
                <c:pt idx="2">
                  <c:v>Demandas laborales</c:v>
                </c:pt>
                <c:pt idx="3">
                  <c:v>Otras</c:v>
                </c:pt>
              </c:strCache>
            </c:strRef>
          </c:cat>
          <c:val>
            <c:numRef>
              <c:f>Hoja1!$B$13:$B$16</c:f>
              <c:numCache>
                <c:formatCode>General</c:formatCode>
                <c:ptCount val="4"/>
                <c:pt idx="0">
                  <c:v>28</c:v>
                </c:pt>
                <c:pt idx="1">
                  <c:v>177</c:v>
                </c:pt>
                <c:pt idx="2">
                  <c:v>5</c:v>
                </c:pt>
                <c:pt idx="3">
                  <c:v>2</c:v>
                </c:pt>
              </c:numCache>
            </c:numRef>
          </c:val>
          <c:extLst xmlns:c16r2="http://schemas.microsoft.com/office/drawing/2015/06/chart">
            <c:ext xmlns:c16="http://schemas.microsoft.com/office/drawing/2014/chart" uri="{C3380CC4-5D6E-409C-BE32-E72D297353CC}">
              <c16:uniqueId val="{00000008-DA1C-49BD-B86F-90CFFF5F7636}"/>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DA1C-49BD-B86F-90CFFF5F763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DA1C-49BD-B86F-90CFFF5F763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E-DA1C-49BD-B86F-90CFFF5F763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0-DA1C-49BD-B86F-90CFFF5F763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Hoja1!$A$13:$A$16</c:f>
              <c:strCache>
                <c:ptCount val="4"/>
                <c:pt idx="0">
                  <c:v>Acciones constitucionales</c:v>
                </c:pt>
                <c:pt idx="1">
                  <c:v>Demandas administrativas</c:v>
                </c:pt>
                <c:pt idx="2">
                  <c:v>Demandas laborales</c:v>
                </c:pt>
                <c:pt idx="3">
                  <c:v>Otras</c:v>
                </c:pt>
              </c:strCache>
            </c:strRef>
          </c:cat>
          <c:val>
            <c:numRef>
              <c:f>Hoja1!$C$13:$C$16</c:f>
              <c:numCache>
                <c:formatCode>0.0</c:formatCode>
                <c:ptCount val="4"/>
                <c:pt idx="0">
                  <c:v>13.20754716981132</c:v>
                </c:pt>
                <c:pt idx="1">
                  <c:v>83.490566037735846</c:v>
                </c:pt>
                <c:pt idx="2">
                  <c:v>2.358490566037736</c:v>
                </c:pt>
                <c:pt idx="3">
                  <c:v>0.94339622641509435</c:v>
                </c:pt>
              </c:numCache>
            </c:numRef>
          </c:val>
          <c:extLst xmlns:c16r2="http://schemas.microsoft.com/office/drawing/2015/06/chart">
            <c:ext xmlns:c16="http://schemas.microsoft.com/office/drawing/2014/chart" uri="{C3380CC4-5D6E-409C-BE32-E72D297353CC}">
              <c16:uniqueId val="{00000011-DA1C-49BD-B86F-90CFFF5F7636}"/>
            </c:ext>
          </c:extLst>
        </c:ser>
        <c:dLbls>
          <c:dLblPos val="outEnd"/>
          <c:showLegendKey val="0"/>
          <c:showVal val="0"/>
          <c:showCatName val="1"/>
          <c:showSerName val="0"/>
          <c:showPercent val="0"/>
          <c:showBubbleSize val="0"/>
          <c:showLeaderLines val="1"/>
        </c:dLbls>
      </c:pie3DChart>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1875"/>
          <c:w val="0.73611111111111116"/>
          <c:h val="0.69907407407407407"/>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A44-4446-B41B-258C79F6498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A44-4446-B41B-258C79F6498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A44-4446-B41B-258C79F6498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BA44-4446-B41B-258C79F64984}"/>
              </c:ext>
            </c:extLst>
          </c:dPt>
          <c:dLbls>
            <c:dLbl>
              <c:idx val="0"/>
              <c:layout>
                <c:manualLayout>
                  <c:x val="1.8055555555555446E-2"/>
                  <c:y val="1.157407407407406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s-E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34575"/>
                      <c:h val="0.15194444444444444"/>
                    </c:manualLayout>
                  </c15:layout>
                </c:ext>
                <c:ext xmlns:c16="http://schemas.microsoft.com/office/drawing/2014/chart" uri="{C3380CC4-5D6E-409C-BE32-E72D297353CC}">
                  <c16:uniqueId val="{00000001-BA44-4446-B41B-258C79F64984}"/>
                </c:ext>
              </c:extLst>
            </c:dLbl>
            <c:dLbl>
              <c:idx val="2"/>
              <c:layout>
                <c:manualLayout>
                  <c:x val="-5.5554930633670788E-3"/>
                  <c:y val="1.2758413165580604E-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32240266841644794"/>
                      <c:h val="0.18340296004666085"/>
                    </c:manualLayout>
                  </c15:layout>
                </c:ext>
                <c:ext xmlns:c16="http://schemas.microsoft.com/office/drawing/2014/chart" uri="{C3380CC4-5D6E-409C-BE32-E72D297353CC}">
                  <c16:uniqueId val="{00000005-BA44-4446-B41B-258C79F6498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Hoja2!$A$13:$A$16</c:f>
              <c:strCache>
                <c:ptCount val="4"/>
                <c:pt idx="0">
                  <c:v>Acciones constitucionales</c:v>
                </c:pt>
                <c:pt idx="1">
                  <c:v>Demandas administrativas</c:v>
                </c:pt>
                <c:pt idx="2">
                  <c:v>Demandas laborales</c:v>
                </c:pt>
                <c:pt idx="3">
                  <c:v>Otras</c:v>
                </c:pt>
              </c:strCache>
            </c:strRef>
          </c:cat>
          <c:val>
            <c:numRef>
              <c:f>Hoja2!$B$13:$B$16</c:f>
              <c:numCache>
                <c:formatCode>General</c:formatCode>
                <c:ptCount val="4"/>
                <c:pt idx="0">
                  <c:v>19</c:v>
                </c:pt>
                <c:pt idx="1">
                  <c:v>155</c:v>
                </c:pt>
                <c:pt idx="2">
                  <c:v>8</c:v>
                </c:pt>
                <c:pt idx="3">
                  <c:v>0</c:v>
                </c:pt>
              </c:numCache>
            </c:numRef>
          </c:val>
          <c:extLst xmlns:c16r2="http://schemas.microsoft.com/office/drawing/2015/06/chart">
            <c:ext xmlns:c16="http://schemas.microsoft.com/office/drawing/2014/chart" uri="{C3380CC4-5D6E-409C-BE32-E72D297353CC}">
              <c16:uniqueId val="{00000008-BA44-4446-B41B-258C79F64984}"/>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BA44-4446-B41B-258C79F6498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BA44-4446-B41B-258C79F6498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E-BA44-4446-B41B-258C79F6498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0-BA44-4446-B41B-258C79F6498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Hoja2!$A$13:$A$16</c:f>
              <c:strCache>
                <c:ptCount val="4"/>
                <c:pt idx="0">
                  <c:v>Acciones constitucionales</c:v>
                </c:pt>
                <c:pt idx="1">
                  <c:v>Demandas administrativas</c:v>
                </c:pt>
                <c:pt idx="2">
                  <c:v>Demandas laborales</c:v>
                </c:pt>
                <c:pt idx="3">
                  <c:v>Otras</c:v>
                </c:pt>
              </c:strCache>
            </c:strRef>
          </c:cat>
          <c:val>
            <c:numRef>
              <c:f>Hoja2!$C$13:$C$16</c:f>
              <c:numCache>
                <c:formatCode>0.0</c:formatCode>
                <c:ptCount val="4"/>
                <c:pt idx="0">
                  <c:v>10.43956043956044</c:v>
                </c:pt>
                <c:pt idx="1">
                  <c:v>85.164835164835168</c:v>
                </c:pt>
                <c:pt idx="2">
                  <c:v>4.395604395604396</c:v>
                </c:pt>
                <c:pt idx="3">
                  <c:v>0</c:v>
                </c:pt>
              </c:numCache>
            </c:numRef>
          </c:val>
          <c:extLst xmlns:c16r2="http://schemas.microsoft.com/office/drawing/2015/06/chart">
            <c:ext xmlns:c16="http://schemas.microsoft.com/office/drawing/2014/chart" uri="{C3380CC4-5D6E-409C-BE32-E72D297353CC}">
              <c16:uniqueId val="{00000011-BA44-4446-B41B-258C79F64984}"/>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09420289855072E-2"/>
          <c:y val="0.16331529147091908"/>
          <c:w val="0.79067662367051372"/>
          <c:h val="0.70050420168067229"/>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F46-48C0-BED1-74F972A02EB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F46-48C0-BED1-74F972A02EB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EF46-48C0-BED1-74F972A02EB3}"/>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Hoja1!$B$14:$B$16</c:f>
              <c:strCache>
                <c:ptCount val="3"/>
                <c:pt idx="0">
                  <c:v>Alto</c:v>
                </c:pt>
                <c:pt idx="1">
                  <c:v>Medio</c:v>
                </c:pt>
                <c:pt idx="2">
                  <c:v>Bajo</c:v>
                </c:pt>
              </c:strCache>
            </c:strRef>
          </c:cat>
          <c:val>
            <c:numRef>
              <c:f>Hoja1!$C$14:$C$16</c:f>
              <c:numCache>
                <c:formatCode>General</c:formatCode>
                <c:ptCount val="3"/>
                <c:pt idx="0">
                  <c:v>17</c:v>
                </c:pt>
                <c:pt idx="1">
                  <c:v>120</c:v>
                </c:pt>
                <c:pt idx="2">
                  <c:v>75</c:v>
                </c:pt>
              </c:numCache>
            </c:numRef>
          </c:val>
          <c:extLst xmlns:c16r2="http://schemas.microsoft.com/office/drawing/2015/06/chart">
            <c:ext xmlns:c16="http://schemas.microsoft.com/office/drawing/2014/chart" uri="{C3380CC4-5D6E-409C-BE32-E72D297353CC}">
              <c16:uniqueId val="{00000006-EF46-48C0-BED1-74F972A02EB3}"/>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8-EF46-48C0-BED1-74F972A02EB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EF46-48C0-BED1-74F972A02EB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EF46-48C0-BED1-74F972A02EB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Hoja1!$B$14:$B$16</c:f>
              <c:strCache>
                <c:ptCount val="3"/>
                <c:pt idx="0">
                  <c:v>Alto</c:v>
                </c:pt>
                <c:pt idx="1">
                  <c:v>Medio</c:v>
                </c:pt>
                <c:pt idx="2">
                  <c:v>Bajo</c:v>
                </c:pt>
              </c:strCache>
            </c:strRef>
          </c:cat>
          <c:val>
            <c:numRef>
              <c:f>Hoja1!$D$14:$D$16</c:f>
              <c:numCache>
                <c:formatCode>0.0</c:formatCode>
                <c:ptCount val="3"/>
                <c:pt idx="0">
                  <c:v>8.0188679245283012</c:v>
                </c:pt>
                <c:pt idx="1">
                  <c:v>56.60377358490566</c:v>
                </c:pt>
                <c:pt idx="2">
                  <c:v>35.377358490566039</c:v>
                </c:pt>
              </c:numCache>
            </c:numRef>
          </c:val>
          <c:extLst xmlns:c16r2="http://schemas.microsoft.com/office/drawing/2015/06/chart">
            <c:ext xmlns:c16="http://schemas.microsoft.com/office/drawing/2014/chart" uri="{C3380CC4-5D6E-409C-BE32-E72D297353CC}">
              <c16:uniqueId val="{0000000D-EF46-48C0-BED1-74F972A02EB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7B2C-45A7-9E5B-14BA9049F78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7B2C-45A7-9E5B-14BA9049F78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7B2C-45A7-9E5B-14BA9049F78F}"/>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Hoja2!$B$14:$B$16</c:f>
              <c:strCache>
                <c:ptCount val="3"/>
                <c:pt idx="0">
                  <c:v>Alto</c:v>
                </c:pt>
                <c:pt idx="1">
                  <c:v>Medio</c:v>
                </c:pt>
                <c:pt idx="2">
                  <c:v>Bajo</c:v>
                </c:pt>
              </c:strCache>
            </c:strRef>
          </c:cat>
          <c:val>
            <c:numRef>
              <c:f>Hoja2!$C$14:$C$16</c:f>
              <c:numCache>
                <c:formatCode>0.0</c:formatCode>
                <c:ptCount val="3"/>
                <c:pt idx="0">
                  <c:v>26</c:v>
                </c:pt>
                <c:pt idx="1">
                  <c:v>90</c:v>
                </c:pt>
                <c:pt idx="2">
                  <c:v>66</c:v>
                </c:pt>
              </c:numCache>
            </c:numRef>
          </c:val>
          <c:extLst xmlns:c16r2="http://schemas.microsoft.com/office/drawing/2015/06/chart">
            <c:ext xmlns:c16="http://schemas.microsoft.com/office/drawing/2014/chart" uri="{C3380CC4-5D6E-409C-BE32-E72D297353CC}">
              <c16:uniqueId val="{00000006-7B2C-45A7-9E5B-14BA9049F78F}"/>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8-7B2C-45A7-9E5B-14BA9049F78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7B2C-45A7-9E5B-14BA9049F78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7B2C-45A7-9E5B-14BA9049F78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Hoja2!$B$14:$B$16</c:f>
              <c:strCache>
                <c:ptCount val="3"/>
                <c:pt idx="0">
                  <c:v>Alto</c:v>
                </c:pt>
                <c:pt idx="1">
                  <c:v>Medio</c:v>
                </c:pt>
                <c:pt idx="2">
                  <c:v>Bajo</c:v>
                </c:pt>
              </c:strCache>
            </c:strRef>
          </c:cat>
          <c:val>
            <c:numRef>
              <c:f>Hoja2!$D$14:$D$16</c:f>
              <c:numCache>
                <c:formatCode>0.0</c:formatCode>
                <c:ptCount val="3"/>
                <c:pt idx="0">
                  <c:v>14.285714285714286</c:v>
                </c:pt>
                <c:pt idx="1">
                  <c:v>49.450549450549453</c:v>
                </c:pt>
                <c:pt idx="2">
                  <c:v>36.263736263736263</c:v>
                </c:pt>
              </c:numCache>
            </c:numRef>
          </c:val>
          <c:extLst xmlns:c16r2="http://schemas.microsoft.com/office/drawing/2015/06/chart">
            <c:ext xmlns:c16="http://schemas.microsoft.com/office/drawing/2014/chart" uri="{C3380CC4-5D6E-409C-BE32-E72D297353CC}">
              <c16:uniqueId val="{0000000D-7B2C-45A7-9E5B-14BA9049F78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383886796759103E-2"/>
          <c:y val="0.2007486967354887"/>
          <c:w val="0.75326121191372808"/>
          <c:h val="0.65226604738923766"/>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6A04-4B22-9FEB-8F222D141C5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6A04-4B22-9FEB-8F222D141C5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6A04-4B22-9FEB-8F222D141C5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Hoja1!$A$13:$A$15</c:f>
              <c:strCache>
                <c:ptCount val="3"/>
                <c:pt idx="0">
                  <c:v>Alto</c:v>
                </c:pt>
                <c:pt idx="1">
                  <c:v>Medio</c:v>
                </c:pt>
                <c:pt idx="2">
                  <c:v>Bajo</c:v>
                </c:pt>
              </c:strCache>
            </c:strRef>
          </c:cat>
          <c:val>
            <c:numRef>
              <c:f>Hoja1!$B$13:$B$15</c:f>
              <c:numCache>
                <c:formatCode>#,##0</c:formatCode>
                <c:ptCount val="3"/>
                <c:pt idx="0">
                  <c:v>2465852280</c:v>
                </c:pt>
                <c:pt idx="1">
                  <c:v>55899973362</c:v>
                </c:pt>
                <c:pt idx="2">
                  <c:v>5687663535</c:v>
                </c:pt>
              </c:numCache>
            </c:numRef>
          </c:val>
          <c:extLst xmlns:c16r2="http://schemas.microsoft.com/office/drawing/2015/06/chart">
            <c:ext xmlns:c16="http://schemas.microsoft.com/office/drawing/2014/chart" uri="{C3380CC4-5D6E-409C-BE32-E72D297353CC}">
              <c16:uniqueId val="{00000006-6A04-4B22-9FEB-8F222D141C50}"/>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8-6A04-4B22-9FEB-8F222D141C5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6A04-4B22-9FEB-8F222D141C5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6A04-4B22-9FEB-8F222D141C5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Hoja1!$A$13:$A$15</c:f>
              <c:strCache>
                <c:ptCount val="3"/>
                <c:pt idx="0">
                  <c:v>Alto</c:v>
                </c:pt>
                <c:pt idx="1">
                  <c:v>Medio</c:v>
                </c:pt>
                <c:pt idx="2">
                  <c:v>Bajo</c:v>
                </c:pt>
              </c:strCache>
            </c:strRef>
          </c:cat>
          <c:val>
            <c:numRef>
              <c:f>Hoja1!$C$13:$C$15</c:f>
              <c:numCache>
                <c:formatCode>0.0</c:formatCode>
                <c:ptCount val="3"/>
                <c:pt idx="0">
                  <c:v>3.8496767493587618</c:v>
                </c:pt>
                <c:pt idx="1">
                  <c:v>87.270770226943824</c:v>
                </c:pt>
                <c:pt idx="2">
                  <c:v>8.8795530236974152</c:v>
                </c:pt>
              </c:numCache>
            </c:numRef>
          </c:val>
          <c:extLst xmlns:c16r2="http://schemas.microsoft.com/office/drawing/2015/06/chart">
            <c:ext xmlns:c16="http://schemas.microsoft.com/office/drawing/2014/chart" uri="{C3380CC4-5D6E-409C-BE32-E72D297353CC}">
              <c16:uniqueId val="{0000000D-6A04-4B22-9FEB-8F222D141C50}"/>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127759364659239E-2"/>
          <c:y val="0.19750918845312471"/>
          <c:w val="0.89678663536362668"/>
          <c:h val="0.80013491107846912"/>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97B8-4412-BE75-33658322DBE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97B8-4412-BE75-33658322DBE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97B8-4412-BE75-33658322DBE3}"/>
              </c:ext>
            </c:extLst>
          </c:dPt>
          <c:dLbls>
            <c:dLbl>
              <c:idx val="0"/>
              <c:layout>
                <c:manualLayout>
                  <c:x val="6.9633791133190907E-3"/>
                  <c:y val="0"/>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s-E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97B8-4412-BE75-33658322DBE3}"/>
                </c:ext>
              </c:extLst>
            </c:dLbl>
            <c:dLbl>
              <c:idx val="2"/>
              <c:layout>
                <c:manualLayout>
                  <c:x val="2.9463878490598512E-2"/>
                  <c:y val="-1.137550113928066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s-E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2838447896715613"/>
                      <c:h val="0.16661417322834646"/>
                    </c:manualLayout>
                  </c15:layout>
                </c:ext>
                <c:ext xmlns:c16="http://schemas.microsoft.com/office/drawing/2014/chart" uri="{C3380CC4-5D6E-409C-BE32-E72D297353CC}">
                  <c16:uniqueId val="{00000005-97B8-4412-BE75-33658322DBE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Hoja2!$A$13:$A$15</c:f>
              <c:strCache>
                <c:ptCount val="3"/>
                <c:pt idx="0">
                  <c:v>Alto</c:v>
                </c:pt>
                <c:pt idx="1">
                  <c:v>Medio</c:v>
                </c:pt>
                <c:pt idx="2">
                  <c:v>Bajo</c:v>
                </c:pt>
              </c:strCache>
            </c:strRef>
          </c:cat>
          <c:val>
            <c:numRef>
              <c:f>Hoja2!$B$13:$B$15</c:f>
              <c:numCache>
                <c:formatCode>#,##0</c:formatCode>
                <c:ptCount val="3"/>
                <c:pt idx="0">
                  <c:v>2869515725</c:v>
                </c:pt>
                <c:pt idx="1">
                  <c:v>23646054719</c:v>
                </c:pt>
                <c:pt idx="2">
                  <c:v>35338727969</c:v>
                </c:pt>
              </c:numCache>
            </c:numRef>
          </c:val>
          <c:extLst xmlns:c16r2="http://schemas.microsoft.com/office/drawing/2015/06/chart">
            <c:ext xmlns:c16="http://schemas.microsoft.com/office/drawing/2014/chart" uri="{C3380CC4-5D6E-409C-BE32-E72D297353CC}">
              <c16:uniqueId val="{00000006-97B8-4412-BE75-33658322DBE3}"/>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8-97B8-4412-BE75-33658322DBE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97B8-4412-BE75-33658322DBE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97B8-4412-BE75-33658322DBE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Hoja2!$A$13:$A$15</c:f>
              <c:strCache>
                <c:ptCount val="3"/>
                <c:pt idx="0">
                  <c:v>Alto</c:v>
                </c:pt>
                <c:pt idx="1">
                  <c:v>Medio</c:v>
                </c:pt>
                <c:pt idx="2">
                  <c:v>Bajo</c:v>
                </c:pt>
              </c:strCache>
            </c:strRef>
          </c:cat>
          <c:val>
            <c:numRef>
              <c:f>Hoja2!$C$13:$C$15</c:f>
              <c:numCache>
                <c:formatCode>0.0</c:formatCode>
                <c:ptCount val="3"/>
                <c:pt idx="0">
                  <c:v>4.6391532983533281</c:v>
                </c:pt>
                <c:pt idx="1">
                  <c:v>38.228636207488336</c:v>
                </c:pt>
                <c:pt idx="2">
                  <c:v>57.132210494158336</c:v>
                </c:pt>
              </c:numCache>
            </c:numRef>
          </c:val>
          <c:extLst xmlns:c16r2="http://schemas.microsoft.com/office/drawing/2015/06/chart">
            <c:ext xmlns:c16="http://schemas.microsoft.com/office/drawing/2014/chart" uri="{C3380CC4-5D6E-409C-BE32-E72D297353CC}">
              <c16:uniqueId val="{0000000D-97B8-4412-BE75-33658322DBE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427244582043338E-2"/>
          <c:y val="0.1016260162601626"/>
          <c:w val="0.63622291021671828"/>
          <c:h val="0.7032520325203252"/>
        </c:manualLayout>
      </c:layout>
      <c:lineChart>
        <c:grouping val="standard"/>
        <c:varyColors val="0"/>
        <c:ser>
          <c:idx val="0"/>
          <c:order val="0"/>
          <c:tx>
            <c:strRef>
              <c:f>Sheet1!$A$2</c:f>
              <c:strCache>
                <c:ptCount val="1"/>
                <c:pt idx="0">
                  <c:v>CUBRIMIENTO</c:v>
                </c:pt>
              </c:strCache>
            </c:strRef>
          </c:tx>
          <c:spPr>
            <a:ln w="12739">
              <a:solidFill>
                <a:srgbClr val="000080"/>
              </a:solidFill>
              <a:prstDash val="solid"/>
            </a:ln>
          </c:spPr>
          <c:marker>
            <c:symbol val="diamond"/>
            <c:size val="5"/>
            <c:spPr>
              <a:solidFill>
                <a:srgbClr val="000080"/>
              </a:solidFill>
              <a:ln>
                <a:solidFill>
                  <a:srgbClr val="000080"/>
                </a:solidFill>
                <a:prstDash val="solid"/>
              </a:ln>
            </c:spPr>
          </c:marker>
          <c:cat>
            <c:numRef>
              <c:f>Sheet1!$B$1:$H$1</c:f>
              <c:numCache>
                <c:formatCode>General</c:formatCode>
                <c:ptCount val="7"/>
                <c:pt idx="0">
                  <c:v>2012</c:v>
                </c:pt>
                <c:pt idx="1">
                  <c:v>2013</c:v>
                </c:pt>
                <c:pt idx="2">
                  <c:v>2014</c:v>
                </c:pt>
                <c:pt idx="3">
                  <c:v>2015</c:v>
                </c:pt>
                <c:pt idx="4">
                  <c:v>2016</c:v>
                </c:pt>
                <c:pt idx="5">
                  <c:v>2017</c:v>
                </c:pt>
                <c:pt idx="6" formatCode="mmm\-\a\a">
                  <c:v>43252</c:v>
                </c:pt>
              </c:numCache>
            </c:numRef>
          </c:cat>
          <c:val>
            <c:numRef>
              <c:f>Sheet1!$B$2:$H$2</c:f>
              <c:numCache>
                <c:formatCode>0%</c:formatCode>
                <c:ptCount val="7"/>
                <c:pt idx="0">
                  <c:v>0.89580000000000004</c:v>
                </c:pt>
                <c:pt idx="1">
                  <c:v>0.70599999999999996</c:v>
                </c:pt>
                <c:pt idx="2">
                  <c:v>1.2395</c:v>
                </c:pt>
                <c:pt idx="3">
                  <c:v>1.3925000000000001</c:v>
                </c:pt>
                <c:pt idx="4">
                  <c:v>1.3616999999999999</c:v>
                </c:pt>
                <c:pt idx="5">
                  <c:v>1.3</c:v>
                </c:pt>
                <c:pt idx="6">
                  <c:v>1.29</c:v>
                </c:pt>
              </c:numCache>
            </c:numRef>
          </c:val>
          <c:smooth val="0"/>
          <c:extLst xmlns:c16r2="http://schemas.microsoft.com/office/drawing/2015/06/chart">
            <c:ext xmlns:c16="http://schemas.microsoft.com/office/drawing/2014/chart" uri="{C3380CC4-5D6E-409C-BE32-E72D297353CC}">
              <c16:uniqueId val="{00000000-D852-4B09-8EA6-EDF291462769}"/>
            </c:ext>
          </c:extLst>
        </c:ser>
        <c:dLbls>
          <c:showLegendKey val="0"/>
          <c:showVal val="0"/>
          <c:showCatName val="0"/>
          <c:showSerName val="0"/>
          <c:showPercent val="0"/>
          <c:showBubbleSize val="0"/>
        </c:dLbls>
        <c:marker val="1"/>
        <c:smooth val="0"/>
        <c:axId val="216417792"/>
        <c:axId val="216419712"/>
      </c:lineChart>
      <c:catAx>
        <c:axId val="216417792"/>
        <c:scaling>
          <c:orientation val="minMax"/>
        </c:scaling>
        <c:delete val="0"/>
        <c:axPos val="b"/>
        <c:majorGridlines>
          <c:spPr>
            <a:ln w="3185">
              <a:solidFill>
                <a:srgbClr val="000000"/>
              </a:solidFill>
              <a:prstDash val="solid"/>
            </a:ln>
          </c:spPr>
        </c:majorGridlines>
        <c:numFmt formatCode="General" sourceLinked="1"/>
        <c:majorTickMark val="out"/>
        <c:minorTickMark val="none"/>
        <c:tickLblPos val="nextTo"/>
        <c:spPr>
          <a:ln w="318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es-ES"/>
          </a:p>
        </c:txPr>
        <c:crossAx val="216419712"/>
        <c:crosses val="autoZero"/>
        <c:auto val="1"/>
        <c:lblAlgn val="ctr"/>
        <c:lblOffset val="100"/>
        <c:tickLblSkip val="1"/>
        <c:tickMarkSkip val="1"/>
        <c:noMultiLvlLbl val="0"/>
      </c:catAx>
      <c:valAx>
        <c:axId val="216419712"/>
        <c:scaling>
          <c:orientation val="minMax"/>
        </c:scaling>
        <c:delete val="0"/>
        <c:axPos val="l"/>
        <c:majorGridlines>
          <c:spPr>
            <a:ln w="3185">
              <a:solidFill>
                <a:srgbClr val="000000"/>
              </a:solidFill>
              <a:prstDash val="solid"/>
            </a:ln>
          </c:spPr>
        </c:majorGridlines>
        <c:numFmt formatCode="0%" sourceLinked="1"/>
        <c:majorTickMark val="out"/>
        <c:minorTickMark val="none"/>
        <c:tickLblPos val="nextTo"/>
        <c:spPr>
          <a:ln w="3185">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es-ES"/>
          </a:p>
        </c:txPr>
        <c:crossAx val="216417792"/>
        <c:crosses val="autoZero"/>
        <c:crossBetween val="midCat"/>
      </c:valAx>
      <c:spPr>
        <a:solidFill>
          <a:srgbClr val="C0C0C0"/>
        </a:solidFill>
        <a:ln w="12739">
          <a:solidFill>
            <a:srgbClr val="808080"/>
          </a:solidFill>
          <a:prstDash val="solid"/>
        </a:ln>
      </c:spPr>
    </c:plotArea>
    <c:legend>
      <c:legendPos val="r"/>
      <c:layout>
        <c:manualLayout>
          <c:xMode val="edge"/>
          <c:yMode val="edge"/>
          <c:x val="0.78173374613003099"/>
          <c:y val="0.3983739837398374"/>
          <c:w val="0.21207430340557276"/>
          <c:h val="0.1016260162601626"/>
        </c:manualLayout>
      </c:layout>
      <c:overlay val="0"/>
      <c:spPr>
        <a:noFill/>
        <a:ln w="3185">
          <a:solidFill>
            <a:srgbClr val="000000"/>
          </a:solidFill>
          <a:prstDash val="solid"/>
        </a:ln>
      </c:spPr>
      <c:txPr>
        <a:bodyPr/>
        <a:lstStyle/>
        <a:p>
          <a:pPr>
            <a:defRPr sz="1103" b="1" i="0" u="none" strike="noStrike" baseline="0">
              <a:solidFill>
                <a:srgbClr val="000000"/>
              </a:solidFill>
              <a:latin typeface="Calibri"/>
              <a:ea typeface="Calibri"/>
              <a:cs typeface="Calibri"/>
            </a:defRPr>
          </a:pPr>
          <a:endParaRPr lang="es-ES"/>
        </a:p>
      </c:txPr>
    </c:legend>
    <c:plotVisOnly val="1"/>
    <c:dispBlanksAs val="gap"/>
    <c:showDLblsOverMax val="0"/>
  </c:chart>
  <c:spPr>
    <a:noFill/>
    <a:ln>
      <a:noFill/>
    </a:ln>
  </c:spPr>
  <c:txPr>
    <a:bodyPr/>
    <a:lstStyle/>
    <a:p>
      <a:pPr>
        <a:defRPr sz="1204" b="1" i="0" u="none" strike="noStrike" baseline="0">
          <a:solidFill>
            <a:srgbClr val="000000"/>
          </a:solidFill>
          <a:latin typeface="Calibri"/>
          <a:ea typeface="Calibri"/>
          <a:cs typeface="Calibri"/>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111069433675556"/>
          <c:y val="2.5564897934650908E-2"/>
          <c:w val="0.77018662569761431"/>
          <c:h val="0.72742588909990891"/>
        </c:manualLayout>
      </c:layout>
      <c:bar3DChart>
        <c:barDir val="col"/>
        <c:grouping val="clustered"/>
        <c:varyColors val="0"/>
        <c:ser>
          <c:idx val="0"/>
          <c:order val="0"/>
          <c:tx>
            <c:strRef>
              <c:f>'PLAN INVERSION DEF (grafica)'!$AC$19</c:f>
              <c:strCache>
                <c:ptCount val="1"/>
                <c:pt idx="0">
                  <c:v>2018</c:v>
                </c:pt>
              </c:strCache>
            </c:strRef>
          </c:tx>
          <c:spPr>
            <a:solidFill>
              <a:schemeClr val="accent1"/>
            </a:solidFill>
            <a:ln>
              <a:noFill/>
            </a:ln>
            <a:effectLst/>
            <a:sp3d/>
          </c:spPr>
          <c:invertIfNegative val="0"/>
          <c:cat>
            <c:strRef>
              <c:f>'PLAN INVERSION DEF (grafica)'!$AB$25</c:f>
              <c:strCache>
                <c:ptCount val="1"/>
                <c:pt idx="0">
                  <c:v>Total</c:v>
                </c:pt>
              </c:strCache>
            </c:strRef>
          </c:cat>
          <c:val>
            <c:numRef>
              <c:f>'PLAN INVERSION DEF (grafica)'!$AC$25</c:f>
              <c:numCache>
                <c:formatCode>_(* #,##0_);_(* \(#,##0\);_(* "-"_);_(@_)</c:formatCode>
                <c:ptCount val="1"/>
                <c:pt idx="0">
                  <c:v>639172</c:v>
                </c:pt>
              </c:numCache>
            </c:numRef>
          </c:val>
          <c:extLst xmlns:c16r2="http://schemas.microsoft.com/office/drawing/2015/06/chart">
            <c:ext xmlns:c16="http://schemas.microsoft.com/office/drawing/2014/chart" uri="{C3380CC4-5D6E-409C-BE32-E72D297353CC}">
              <c16:uniqueId val="{00000000-9BFA-48C6-A776-05870BA9CCEA}"/>
            </c:ext>
          </c:extLst>
        </c:ser>
        <c:ser>
          <c:idx val="1"/>
          <c:order val="1"/>
          <c:tx>
            <c:strRef>
              <c:f>'PLAN INVERSION DEF (grafica)'!$AD$19</c:f>
              <c:strCache>
                <c:ptCount val="1"/>
                <c:pt idx="0">
                  <c:v>2019</c:v>
                </c:pt>
              </c:strCache>
            </c:strRef>
          </c:tx>
          <c:spPr>
            <a:solidFill>
              <a:schemeClr val="accent2"/>
            </a:solidFill>
            <a:ln>
              <a:noFill/>
            </a:ln>
            <a:effectLst/>
            <a:sp3d/>
          </c:spPr>
          <c:invertIfNegative val="0"/>
          <c:cat>
            <c:strRef>
              <c:f>'PLAN INVERSION DEF (grafica)'!$AB$25</c:f>
              <c:strCache>
                <c:ptCount val="1"/>
                <c:pt idx="0">
                  <c:v>Total</c:v>
                </c:pt>
              </c:strCache>
            </c:strRef>
          </c:cat>
          <c:val>
            <c:numRef>
              <c:f>'PLAN INVERSION DEF (grafica)'!$AD$25</c:f>
              <c:numCache>
                <c:formatCode>_(* #,##0_);_(* \(#,##0\);_(* "-"??_);_(@_)</c:formatCode>
                <c:ptCount val="1"/>
                <c:pt idx="0">
                  <c:v>701805</c:v>
                </c:pt>
              </c:numCache>
            </c:numRef>
          </c:val>
          <c:extLst xmlns:c16r2="http://schemas.microsoft.com/office/drawing/2015/06/chart">
            <c:ext xmlns:c16="http://schemas.microsoft.com/office/drawing/2014/chart" uri="{C3380CC4-5D6E-409C-BE32-E72D297353CC}">
              <c16:uniqueId val="{00000001-9BFA-48C6-A776-05870BA9CCEA}"/>
            </c:ext>
          </c:extLst>
        </c:ser>
        <c:dLbls>
          <c:showLegendKey val="0"/>
          <c:showVal val="0"/>
          <c:showCatName val="0"/>
          <c:showSerName val="0"/>
          <c:showPercent val="0"/>
          <c:showBubbleSize val="0"/>
        </c:dLbls>
        <c:gapWidth val="150"/>
        <c:shape val="box"/>
        <c:axId val="217860736"/>
        <c:axId val="217866624"/>
        <c:axId val="0"/>
      </c:bar3DChart>
      <c:catAx>
        <c:axId val="217860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17866624"/>
        <c:crosses val="autoZero"/>
        <c:auto val="1"/>
        <c:lblAlgn val="ctr"/>
        <c:lblOffset val="100"/>
        <c:noMultiLvlLbl val="0"/>
      </c:catAx>
      <c:valAx>
        <c:axId val="2178666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17860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mn-cs"/>
              </a:defRPr>
            </a:pPr>
            <a:endParaRPr lang="es-E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ublishDate>
  <Abstract/>
  <CompanyAddress>2018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Cám17</b:Tag>
    <b:SourceType>Report</b:SourceType>
    <b:Guid>{D70F07FD-DDF1-4F85-A07D-9629A70A5BE1}</b:Guid>
    <b:Author>
      <b:Author>
        <b:Corporate>Cámara de Comercio de Pasto</b:Corporate>
      </b:Author>
    </b:Author>
    <b:Title>Informe Coyuntura Económica Regional. Departamento de Nariño 2016</b:Title>
    <b:Year>2017</b:Year>
    <b:Publisher>Cámara de Comercio de Pasto</b:Publisher>
    <b:City>Pasto</b:City>
    <b:Department>Departamento de planeación y competitividad regional</b:Department>
    <b:Pages>25</b:Pages>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80E97D-F572-4926-B43B-71E9B16B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2664</TotalTime>
  <Pages>112</Pages>
  <Words>30181</Words>
  <Characters>165996</Characters>
  <Application>Microsoft Office Word</Application>
  <DocSecurity>0</DocSecurity>
  <Lines>1383</Lines>
  <Paragraphs>391</Paragraphs>
  <ScaleCrop>false</ScaleCrop>
  <HeadingPairs>
    <vt:vector size="2" baseType="variant">
      <vt:variant>
        <vt:lpstr>Título</vt:lpstr>
      </vt:variant>
      <vt:variant>
        <vt:i4>1</vt:i4>
      </vt:variant>
    </vt:vector>
  </HeadingPairs>
  <TitlesOfParts>
    <vt:vector size="1" baseType="lpstr">
      <vt:lpstr>Marco Fiscal de Mediano Plazo          2019</vt:lpstr>
    </vt:vector>
  </TitlesOfParts>
  <Company>Septiembre</Company>
  <LinksUpToDate>false</LinksUpToDate>
  <CharactersWithSpaces>195786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Marco Fiscal de Mediano Plazo          2019</dc:title>
  <dc:subject>Alcaldía de Pasto</dc:subject>
  <dc:creator>Secretaría de Hacienda y Tesorería                                                                                      Oficina de Planeación de Gestión Institucional</dc:creator>
  <cp:keywords/>
  <dc:description/>
  <cp:lastModifiedBy>Nelson</cp:lastModifiedBy>
  <cp:revision>53</cp:revision>
  <cp:lastPrinted>2018-10-01T17:31:00Z</cp:lastPrinted>
  <dcterms:created xsi:type="dcterms:W3CDTF">2018-12-06T22:08:00Z</dcterms:created>
  <dcterms:modified xsi:type="dcterms:W3CDTF">2018-12-14T23:05:00Z</dcterms:modified>
  <cp:category>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lacarorp@hotmail.com@www.mendeley.com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